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40"/>
        <w:spacing w:after="0"/>
        <w:rPr>
          <w:sz w:val="20"/>
          <w:szCs w:val="20"/>
          <w:color w:val="auto"/>
        </w:rPr>
      </w:pPr>
      <w:r>
        <w:rPr>
          <w:rFonts w:ascii="Arial" w:cs="Arial" w:eastAsia="Arial" w:hAnsi="Arial"/>
          <w:sz w:val="26"/>
          <w:szCs w:val="26"/>
          <w:b w:val="1"/>
          <w:bCs w:val="1"/>
          <w:color w:val="auto"/>
        </w:rPr>
        <w:t>UNITED STATES</w:t>
      </w:r>
    </w:p>
    <w:p>
      <w:pPr>
        <w:spacing w:after="0" w:line="21" w:lineRule="exact"/>
        <w:rPr>
          <w:sz w:val="24"/>
          <w:szCs w:val="24"/>
          <w:color w:val="auto"/>
        </w:rPr>
      </w:pPr>
    </w:p>
    <w:p>
      <w:pPr>
        <w:jc w:val="center"/>
        <w:ind w:right="-1240"/>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240"/>
        <w:spacing w:after="0"/>
        <w:rPr>
          <w:sz w:val="20"/>
          <w:szCs w:val="20"/>
          <w:color w:val="auto"/>
        </w:rPr>
      </w:pPr>
      <w:r>
        <w:rPr>
          <w:rFonts w:ascii="Arial" w:cs="Arial" w:eastAsia="Arial" w:hAnsi="Arial"/>
          <w:sz w:val="17"/>
          <w:szCs w:val="17"/>
          <w:b w:val="1"/>
          <w:bCs w:val="1"/>
          <w:color w:val="auto"/>
        </w:rPr>
        <w:t>Washington, D.C. 20549</w:t>
      </w:r>
    </w:p>
    <w:p>
      <w:pPr>
        <w:spacing w:after="0" w:line="165" w:lineRule="exact"/>
        <w:rPr>
          <w:sz w:val="24"/>
          <w:szCs w:val="24"/>
          <w:color w:val="auto"/>
        </w:rPr>
      </w:pPr>
    </w:p>
    <w:p>
      <w:pPr>
        <w:jc w:val="center"/>
        <w:ind w:right="-1240"/>
        <w:spacing w:after="0"/>
        <w:rPr>
          <w:sz w:val="20"/>
          <w:szCs w:val="20"/>
          <w:color w:val="auto"/>
        </w:rPr>
      </w:pPr>
      <w:r>
        <w:rPr>
          <w:rFonts w:ascii="Arial" w:cs="Arial" w:eastAsia="Arial" w:hAnsi="Arial"/>
          <w:sz w:val="26"/>
          <w:szCs w:val="26"/>
          <w:b w:val="1"/>
          <w:bCs w:val="1"/>
          <w:color w:val="auto"/>
        </w:rPr>
        <w:t>FORM 8-K</w:t>
      </w:r>
    </w:p>
    <w:p>
      <w:pPr>
        <w:spacing w:after="0" w:line="202" w:lineRule="exact"/>
        <w:rPr>
          <w:sz w:val="24"/>
          <w:szCs w:val="24"/>
          <w:color w:val="auto"/>
        </w:rPr>
      </w:pPr>
    </w:p>
    <w:p>
      <w:pPr>
        <w:jc w:val="center"/>
        <w:ind w:right="-1240"/>
        <w:spacing w:after="0"/>
        <w:rPr>
          <w:sz w:val="20"/>
          <w:szCs w:val="20"/>
          <w:color w:val="auto"/>
        </w:rPr>
      </w:pPr>
      <w:r>
        <w:rPr>
          <w:rFonts w:ascii="Arial" w:cs="Arial" w:eastAsia="Arial" w:hAnsi="Arial"/>
          <w:sz w:val="17"/>
          <w:szCs w:val="17"/>
          <w:b w:val="1"/>
          <w:bCs w:val="1"/>
          <w:color w:val="auto"/>
        </w:rPr>
        <w:t>CURRENT REPORT</w:t>
      </w:r>
    </w:p>
    <w:p>
      <w:pPr>
        <w:spacing w:after="0" w:line="204" w:lineRule="exact"/>
        <w:rPr>
          <w:sz w:val="24"/>
          <w:szCs w:val="24"/>
          <w:color w:val="auto"/>
        </w:rPr>
      </w:pPr>
    </w:p>
    <w:p>
      <w:pPr>
        <w:jc w:val="center"/>
        <w:ind w:right="-1240"/>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213" w:lineRule="exact"/>
        <w:rPr>
          <w:sz w:val="24"/>
          <w:szCs w:val="24"/>
          <w:color w:val="auto"/>
        </w:rPr>
      </w:pPr>
    </w:p>
    <w:p>
      <w:pPr>
        <w:jc w:val="center"/>
        <w:ind w:right="-1240"/>
        <w:spacing w:after="0"/>
        <w:rPr>
          <w:sz w:val="20"/>
          <w:szCs w:val="20"/>
          <w:color w:val="auto"/>
        </w:rPr>
      </w:pPr>
      <w:r>
        <w:rPr>
          <w:rFonts w:ascii="Arial" w:cs="Arial" w:eastAsia="Arial" w:hAnsi="Arial"/>
          <w:sz w:val="14"/>
          <w:szCs w:val="14"/>
          <w:color w:val="auto"/>
        </w:rPr>
        <w:t>Date of Report (Date of earliest event reported): February 2, 2010</w:t>
      </w:r>
    </w:p>
    <w:p>
      <w:pPr>
        <w:spacing w:after="0" w:line="185" w:lineRule="exact"/>
        <w:rPr>
          <w:sz w:val="24"/>
          <w:szCs w:val="24"/>
          <w:color w:val="auto"/>
        </w:rPr>
      </w:pPr>
    </w:p>
    <w:p>
      <w:pPr>
        <w:ind w:left="4260"/>
        <w:spacing w:after="0"/>
        <w:rPr>
          <w:sz w:val="20"/>
          <w:szCs w:val="20"/>
          <w:color w:val="auto"/>
        </w:rPr>
      </w:pPr>
      <w:r>
        <w:rPr>
          <w:rFonts w:ascii="Arial" w:cs="Arial" w:eastAsia="Arial" w:hAnsi="Arial"/>
          <w:sz w:val="35"/>
          <w:szCs w:val="35"/>
          <w:b w:val="1"/>
          <w:bCs w:val="1"/>
          <w:color w:val="auto"/>
        </w:rPr>
        <w:t>MANPOWER INC.</w:t>
      </w:r>
    </w:p>
    <w:p>
      <w:pPr>
        <w:spacing w:after="0" w:line="36"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239"/>
          </w:cols>
          <w:pgMar w:left="220" w:top="192" w:right="1440" w:bottom="1440" w:gutter="0" w:footer="0" w:header="0"/>
        </w:sectPr>
      </w:pPr>
    </w:p>
    <w:p>
      <w:pPr>
        <w:spacing w:after="0" w:line="367" w:lineRule="exact"/>
        <w:rPr>
          <w:sz w:val="24"/>
          <w:szCs w:val="24"/>
          <w:color w:val="auto"/>
        </w:rPr>
      </w:pPr>
    </w:p>
    <w:p>
      <w:pPr>
        <w:jc w:val="center"/>
        <w:ind w:left="1120"/>
        <w:spacing w:after="0"/>
        <w:rPr>
          <w:sz w:val="20"/>
          <w:szCs w:val="20"/>
          <w:color w:val="auto"/>
        </w:rPr>
      </w:pPr>
      <w:r>
        <w:rPr>
          <w:rFonts w:ascii="Arial" w:cs="Arial" w:eastAsia="Arial" w:hAnsi="Arial"/>
          <w:sz w:val="14"/>
          <w:szCs w:val="14"/>
          <w:b w:val="1"/>
          <w:bCs w:val="1"/>
          <w:color w:val="auto"/>
        </w:rPr>
        <w:t>Wisconsin</w:t>
      </w:r>
    </w:p>
    <w:p>
      <w:pPr>
        <w:spacing w:after="0" w:line="26" w:lineRule="exact"/>
        <w:rPr>
          <w:sz w:val="24"/>
          <w:szCs w:val="24"/>
          <w:color w:val="auto"/>
        </w:rPr>
      </w:pPr>
    </w:p>
    <w:p>
      <w:pPr>
        <w:jc w:val="center"/>
        <w:ind w:left="112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480"/>
        <w:spacing w:after="0"/>
        <w:rPr>
          <w:sz w:val="20"/>
          <w:szCs w:val="20"/>
          <w:color w:val="auto"/>
        </w:rPr>
      </w:pPr>
      <w:r>
        <w:rPr>
          <w:rFonts w:ascii="Arial" w:cs="Arial" w:eastAsia="Arial" w:hAnsi="Arial"/>
          <w:sz w:val="14"/>
          <w:szCs w:val="14"/>
          <w:b w:val="1"/>
          <w:bCs w:val="1"/>
          <w:color w:val="auto"/>
        </w:rPr>
        <w:t>1-10686</w:t>
      </w:r>
    </w:p>
    <w:p>
      <w:pPr>
        <w:spacing w:after="0" w:line="26" w:lineRule="exact"/>
        <w:rPr>
          <w:sz w:val="24"/>
          <w:szCs w:val="24"/>
          <w:color w:val="auto"/>
        </w:rPr>
      </w:pPr>
    </w:p>
    <w:p>
      <w:pPr>
        <w:jc w:val="center"/>
        <w:ind w:right="4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39-1672779</w:t>
      </w:r>
    </w:p>
    <w:p>
      <w:pPr>
        <w:spacing w:after="0" w:line="26" w:lineRule="exact"/>
        <w:rPr>
          <w:sz w:val="24"/>
          <w:szCs w:val="24"/>
          <w:color w:val="auto"/>
        </w:rPr>
      </w:pPr>
    </w:p>
    <w:p>
      <w:pPr>
        <w:jc w:val="center"/>
        <w:ind w:right="359"/>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160" w:space="720"/>
            <w:col w:w="2160" w:space="720"/>
            <w:col w:w="2479"/>
          </w:cols>
          <w:pgMar w:left="220" w:top="192" w:right="1440" w:bottom="1440" w:gutter="0" w:footer="0" w:header="0"/>
          <w:type w:val="continuous"/>
        </w:sectPr>
      </w:pPr>
    </w:p>
    <w:p>
      <w:pPr>
        <w:spacing w:after="0" w:line="203" w:lineRule="exact"/>
        <w:rPr>
          <w:sz w:val="24"/>
          <w:szCs w:val="24"/>
          <w:color w:val="auto"/>
        </w:rPr>
      </w:pPr>
    </w:p>
    <w:p>
      <w:pPr>
        <w:jc w:val="center"/>
        <w:ind w:right="160"/>
        <w:spacing w:after="0"/>
        <w:rPr>
          <w:sz w:val="20"/>
          <w:szCs w:val="20"/>
          <w:color w:val="auto"/>
        </w:rPr>
      </w:pPr>
      <w:r>
        <w:rPr>
          <w:rFonts w:ascii="Arial" w:cs="Arial" w:eastAsia="Arial" w:hAnsi="Arial"/>
          <w:sz w:val="14"/>
          <w:szCs w:val="14"/>
          <w:b w:val="1"/>
          <w:bCs w:val="1"/>
          <w:color w:val="auto"/>
        </w:rPr>
        <w:t>100 Manpower Place</w:t>
      </w:r>
    </w:p>
    <w:p>
      <w:pPr>
        <w:spacing w:after="0" w:line="26" w:lineRule="exact"/>
        <w:rPr>
          <w:sz w:val="24"/>
          <w:szCs w:val="24"/>
          <w:color w:val="auto"/>
        </w:rPr>
      </w:pPr>
    </w:p>
    <w:p>
      <w:pPr>
        <w:jc w:val="center"/>
        <w:ind w:right="160"/>
        <w:spacing w:after="0"/>
        <w:rPr>
          <w:sz w:val="20"/>
          <w:szCs w:val="20"/>
          <w:color w:val="auto"/>
        </w:rPr>
      </w:pPr>
      <w:r>
        <w:rPr>
          <w:rFonts w:ascii="Arial" w:cs="Arial" w:eastAsia="Arial" w:hAnsi="Arial"/>
          <w:sz w:val="14"/>
          <w:szCs w:val="14"/>
          <w:b w:val="1"/>
          <w:bCs w:val="1"/>
          <w:color w:val="auto"/>
        </w:rPr>
        <w:t>Milwaukee, Wisconsin</w:t>
      </w:r>
    </w:p>
    <w:p>
      <w:pPr>
        <w:spacing w:after="0" w:line="13" w:lineRule="exact"/>
        <w:rPr>
          <w:sz w:val="24"/>
          <w:szCs w:val="24"/>
          <w:color w:val="auto"/>
        </w:rPr>
      </w:pPr>
    </w:p>
    <w:p>
      <w:pPr>
        <w:jc w:val="center"/>
        <w:ind w:right="1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jc w:val="center"/>
        <w:ind w:right="1959"/>
        <w:spacing w:after="0"/>
        <w:rPr>
          <w:sz w:val="20"/>
          <w:szCs w:val="20"/>
          <w:color w:val="auto"/>
        </w:rPr>
      </w:pPr>
      <w:r>
        <w:rPr>
          <w:rFonts w:ascii="Arial" w:cs="Arial" w:eastAsia="Arial" w:hAnsi="Arial"/>
          <w:sz w:val="14"/>
          <w:szCs w:val="14"/>
          <w:b w:val="1"/>
          <w:bCs w:val="1"/>
          <w:color w:val="auto"/>
        </w:rPr>
        <w:t>53212</w:t>
      </w:r>
    </w:p>
    <w:p>
      <w:pPr>
        <w:spacing w:after="0" w:line="26" w:lineRule="exact"/>
        <w:rPr>
          <w:sz w:val="24"/>
          <w:szCs w:val="24"/>
          <w:color w:val="auto"/>
        </w:rPr>
      </w:pPr>
    </w:p>
    <w:p>
      <w:pPr>
        <w:jc w:val="center"/>
        <w:ind w:right="1959"/>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6880" w:space="720"/>
            <w:col w:w="2639"/>
          </w:cols>
          <w:pgMar w:left="220" w:top="192" w:right="1440" w:bottom="1440" w:gutter="0" w:footer="0" w:header="0"/>
          <w:type w:val="continuous"/>
        </w:sectPr>
      </w:pPr>
    </w:p>
    <w:p>
      <w:pPr>
        <w:spacing w:after="0" w:line="11"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Registrant's telephone number, including area code: (414) 961-1000</w:t>
      </w: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22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Written communications pursuant to Rule 425 under the Securities Act (17 CFR 230.425)</w:t>
      </w:r>
    </w:p>
    <w:p>
      <w:pPr>
        <w:spacing w:after="0" w:line="209" w:lineRule="exact"/>
        <w:rPr>
          <w:sz w:val="24"/>
          <w:szCs w:val="24"/>
          <w:color w:val="auto"/>
        </w:rPr>
      </w:pPr>
    </w:p>
    <w:p>
      <w:pPr>
        <w:ind w:left="440"/>
        <w:spacing w:after="0"/>
        <w:rPr>
          <w:sz w:val="20"/>
          <w:szCs w:val="20"/>
          <w:color w:val="auto"/>
        </w:rPr>
      </w:pPr>
      <w:r>
        <w:rPr>
          <w:rFonts w:ascii="Arial" w:cs="Arial" w:eastAsia="Arial" w:hAnsi="Arial"/>
          <w:sz w:val="14"/>
          <w:szCs w:val="14"/>
          <w:color w:val="auto"/>
        </w:rPr>
        <w:t>Soliciting material pursuant to Rule 14a-12 under the Securities Act (17 CFR 240.14a-12)</w:t>
      </w:r>
    </w:p>
    <w:p>
      <w:pPr>
        <w:spacing w:after="0" w:line="209" w:lineRule="exact"/>
        <w:rPr>
          <w:sz w:val="24"/>
          <w:szCs w:val="24"/>
          <w:color w:val="auto"/>
        </w:rPr>
      </w:pPr>
    </w:p>
    <w:p>
      <w:pPr>
        <w:ind w:left="440"/>
        <w:spacing w:after="0"/>
        <w:rPr>
          <w:sz w:val="20"/>
          <w:szCs w:val="20"/>
          <w:color w:val="auto"/>
        </w:rPr>
      </w:pPr>
      <w:r>
        <w:rPr>
          <w:rFonts w:ascii="Arial" w:cs="Arial" w:eastAsia="Arial" w:hAnsi="Arial"/>
          <w:sz w:val="14"/>
          <w:szCs w:val="14"/>
          <w:color w:val="auto"/>
        </w:rPr>
        <w:t>Pre-commencement communications pursuant to Rule 14d-2(b) under the Exchange Act (17 CFR 240.14d-2(b))</w:t>
      </w:r>
    </w:p>
    <w:p>
      <w:pPr>
        <w:spacing w:after="0" w:line="209" w:lineRule="exact"/>
        <w:rPr>
          <w:sz w:val="24"/>
          <w:szCs w:val="24"/>
          <w:color w:val="auto"/>
        </w:rPr>
      </w:pPr>
    </w:p>
    <w:p>
      <w:pPr>
        <w:ind w:left="440"/>
        <w:spacing w:after="0"/>
        <w:rPr>
          <w:sz w:val="20"/>
          <w:szCs w:val="20"/>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279005"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10239"/>
          </w:cols>
          <w:pgMar w:left="220" w:top="192"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213" w:lineRule="exact"/>
        <w:rPr>
          <w:sz w:val="20"/>
          <w:szCs w:val="20"/>
          <w:color w:val="auto"/>
        </w:rPr>
      </w:pPr>
    </w:p>
    <w:p>
      <w:pPr>
        <w:ind w:right="60" w:firstLine="522"/>
        <w:spacing w:after="0" w:line="292" w:lineRule="auto"/>
        <w:rPr>
          <w:sz w:val="20"/>
          <w:szCs w:val="20"/>
          <w:color w:val="auto"/>
        </w:rPr>
      </w:pPr>
      <w:r>
        <w:rPr>
          <w:rFonts w:ascii="Arial" w:cs="Arial" w:eastAsia="Arial" w:hAnsi="Arial"/>
          <w:sz w:val="14"/>
          <w:szCs w:val="14"/>
          <w:color w:val="auto"/>
        </w:rPr>
        <w:t>On February 2, 2010, we issued a press release announcing our results of operations for the three months and year ended December 31, 2009. A copy of the press release is attached hereto as Exhibit 99.1 and is incorporated herein by reference.</w:t>
      </w:r>
    </w:p>
    <w:p>
      <w:pPr>
        <w:spacing w:after="0" w:line="152" w:lineRule="exact"/>
        <w:rPr>
          <w:sz w:val="20"/>
          <w:szCs w:val="20"/>
          <w:color w:val="auto"/>
        </w:rPr>
      </w:pPr>
    </w:p>
    <w:p>
      <w:pPr>
        <w:ind w:right="160" w:firstLine="522"/>
        <w:spacing w:after="0" w:line="297" w:lineRule="auto"/>
        <w:rPr>
          <w:sz w:val="20"/>
          <w:szCs w:val="20"/>
          <w:color w:val="auto"/>
        </w:rPr>
      </w:pPr>
      <w:r>
        <w:rPr>
          <w:rFonts w:ascii="Arial" w:cs="Arial" w:eastAsia="Arial" w:hAnsi="Arial"/>
          <w:sz w:val="13"/>
          <w:szCs w:val="13"/>
          <w:color w:val="auto"/>
        </w:rPr>
        <w:t>During the fourth quarter of 2009, we determined that our Other EMEA reportable segment prematurely recognized revenues related to a workforce solutions contract. These revenues were recorded on a cash-basis rather than being deferred and earned over the four-year performance period following the month the services were performed. Accordingly, we have restated our annual and quarterly financial results for 2007, 2008, and the nine months ended September 30, 2009. This restatement has no impact on cash flows and only impacts the timing of when revenues are earned, as total revenues for the contract are expected to remain unchanged. Attached hereto as Exhibit 99.3 are the effects of this restatement on 2009, 2008 and 2007.</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96"/>
              </w:rPr>
              <w:t>Item 9.01. Exhibits</w:t>
            </w:r>
            <w:r>
              <w:rPr>
                <w:rFonts w:ascii="Arial" w:cs="Arial" w:eastAsia="Arial" w:hAnsi="Arial"/>
                <w:sz w:val="14"/>
                <w:szCs w:val="14"/>
                <w:color w:val="auto"/>
                <w:w w:val="96"/>
              </w:rPr>
              <w:t>.</w:t>
            </w:r>
          </w:p>
        </w:tc>
        <w:tc>
          <w:tcPr>
            <w:tcW w:w="40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373"/>
        </w:trPr>
        <w:tc>
          <w:tcPr>
            <w:tcW w:w="20" w:type="dxa"/>
            <w:vAlign w:val="bottom"/>
          </w:tcPr>
          <w:p>
            <w:pPr>
              <w:spacing w:after="0"/>
              <w:rPr>
                <w:sz w:val="24"/>
                <w:szCs w:val="24"/>
                <w:color w:val="auto"/>
              </w:rPr>
            </w:pP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Exhibit No.</w:t>
            </w:r>
          </w:p>
        </w:tc>
        <w:tc>
          <w:tcPr>
            <w:tcW w:w="400" w:type="dxa"/>
            <w:vAlign w:val="bottom"/>
          </w:tcPr>
          <w:p>
            <w:pPr>
              <w:spacing w:after="0"/>
              <w:rPr>
                <w:sz w:val="24"/>
                <w:szCs w:val="24"/>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344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Arial" w:cs="Arial" w:eastAsia="Arial" w:hAnsi="Arial"/>
                <w:sz w:val="14"/>
                <w:szCs w:val="14"/>
                <w:color w:val="auto"/>
              </w:rPr>
              <w:t>99.1</w:t>
            </w:r>
          </w:p>
        </w:tc>
        <w:tc>
          <w:tcPr>
            <w:tcW w:w="4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Press Release dated February 2, 2010</w:t>
            </w:r>
          </w:p>
        </w:tc>
        <w:tc>
          <w:tcPr>
            <w:tcW w:w="3440" w:type="dxa"/>
            <w:vAlign w:val="bottom"/>
          </w:tcPr>
          <w:p>
            <w:pPr>
              <w:spacing w:after="0"/>
              <w:rPr>
                <w:sz w:val="14"/>
                <w:szCs w:val="14"/>
                <w:color w:val="auto"/>
              </w:rPr>
            </w:pPr>
          </w:p>
        </w:tc>
      </w:tr>
      <w:tr>
        <w:trPr>
          <w:trHeight w:val="174"/>
        </w:trPr>
        <w:tc>
          <w:tcPr>
            <w:tcW w:w="1540" w:type="dxa"/>
            <w:vAlign w:val="bottom"/>
            <w:gridSpan w:val="2"/>
          </w:tcPr>
          <w:p>
            <w:pPr>
              <w:jc w:val="right"/>
              <w:ind w:right="528"/>
              <w:spacing w:after="0"/>
              <w:rPr>
                <w:sz w:val="20"/>
                <w:szCs w:val="20"/>
                <w:color w:val="auto"/>
              </w:rPr>
            </w:pPr>
            <w:r>
              <w:rPr>
                <w:rFonts w:ascii="Arial" w:cs="Arial" w:eastAsia="Arial" w:hAnsi="Arial"/>
                <w:sz w:val="14"/>
                <w:szCs w:val="14"/>
                <w:color w:val="auto"/>
              </w:rPr>
              <w:t>99.2</w:t>
            </w:r>
          </w:p>
        </w:tc>
        <w:tc>
          <w:tcPr>
            <w:tcW w:w="40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Presentation materials for February 2, 2010 conference call</w:t>
            </w:r>
          </w:p>
        </w:tc>
        <w:tc>
          <w:tcPr>
            <w:tcW w:w="3440" w:type="dxa"/>
            <w:vAlign w:val="bottom"/>
          </w:tcPr>
          <w:p>
            <w:pPr>
              <w:spacing w:after="0"/>
              <w:rPr>
                <w:sz w:val="15"/>
                <w:szCs w:val="15"/>
                <w:color w:val="auto"/>
              </w:rPr>
            </w:pPr>
          </w:p>
        </w:tc>
      </w:tr>
      <w:tr>
        <w:trPr>
          <w:trHeight w:val="183"/>
        </w:trPr>
        <w:tc>
          <w:tcPr>
            <w:tcW w:w="1540" w:type="dxa"/>
            <w:vAlign w:val="bottom"/>
            <w:gridSpan w:val="2"/>
          </w:tcPr>
          <w:p>
            <w:pPr>
              <w:jc w:val="right"/>
              <w:ind w:right="528"/>
              <w:spacing w:after="0"/>
              <w:rPr>
                <w:sz w:val="20"/>
                <w:szCs w:val="20"/>
                <w:color w:val="auto"/>
              </w:rPr>
            </w:pPr>
            <w:r>
              <w:rPr>
                <w:rFonts w:ascii="Arial" w:cs="Arial" w:eastAsia="Arial" w:hAnsi="Arial"/>
                <w:sz w:val="14"/>
                <w:szCs w:val="14"/>
                <w:color w:val="auto"/>
              </w:rPr>
              <w:t>99.3</w:t>
            </w:r>
          </w:p>
        </w:tc>
        <w:tc>
          <w:tcPr>
            <w:tcW w:w="40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Summary of Restated Results</w:t>
            </w:r>
          </w:p>
        </w:tc>
        <w:tc>
          <w:tcPr>
            <w:tcW w:w="3440" w:type="dxa"/>
            <w:vAlign w:val="bottom"/>
          </w:tcPr>
          <w:p>
            <w:pPr>
              <w:spacing w:after="0"/>
              <w:rPr>
                <w:sz w:val="15"/>
                <w:szCs w:val="15"/>
                <w:color w:val="auto"/>
              </w:rPr>
            </w:pPr>
          </w:p>
        </w:tc>
      </w:tr>
      <w:tr>
        <w:trPr>
          <w:trHeight w:val="486"/>
        </w:trPr>
        <w:tc>
          <w:tcPr>
            <w:tcW w:w="20" w:type="dxa"/>
            <w:vAlign w:val="bottom"/>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08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4"/>
          <w:szCs w:val="14"/>
          <w:b w:val="1"/>
          <w:bCs w:val="1"/>
          <w:color w:val="auto"/>
        </w:rPr>
        <w:t>SIGNATURES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MANPOWER INC.</w:t>
      </w:r>
    </w:p>
    <w:p>
      <w:pPr>
        <w:spacing w:after="0" w:line="187" w:lineRule="exact"/>
        <w:rPr>
          <w:sz w:val="20"/>
          <w:szCs w:val="20"/>
          <w:color w:val="auto"/>
        </w:rPr>
      </w:pPr>
    </w:p>
    <w:p>
      <w:pPr>
        <w:spacing w:after="0"/>
        <w:tabs>
          <w:tab w:leader="none" w:pos="3480" w:val="left"/>
          <w:tab w:leader="none" w:pos="3880" w:val="left"/>
        </w:tabs>
        <w:rPr>
          <w:sz w:val="20"/>
          <w:szCs w:val="20"/>
          <w:color w:val="auto"/>
        </w:rPr>
      </w:pPr>
      <w:r>
        <w:rPr>
          <w:rFonts w:ascii="Arial" w:cs="Arial" w:eastAsia="Arial" w:hAnsi="Arial"/>
          <w:sz w:val="14"/>
          <w:szCs w:val="14"/>
          <w:color w:val="auto"/>
        </w:rPr>
        <w:t>Dated: February 2, 2010</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15240</wp:posOffset>
            </wp:positionV>
            <wp:extent cx="2044700"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4700" cy="13970"/>
                    </a:xfrm>
                    <a:prstGeom prst="rect">
                      <a:avLst/>
                    </a:prstGeom>
                    <a:noFill/>
                  </pic:spPr>
                </pic:pic>
              </a:graphicData>
            </a:graphic>
          </wp:anchor>
        </w:drawing>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Michael J. Van Handel</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Executive Vice President and</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7900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11180"/>
          </w:cols>
          <w:pgMar w:left="220" w:top="321"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7"/>
        </w:trPr>
        <w:tc>
          <w:tcPr>
            <w:tcW w:w="1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80" w:type="dxa"/>
            <w:vAlign w:val="bottom"/>
          </w:tcPr>
          <w:p>
            <w:pPr>
              <w:ind w:left="3240"/>
              <w:spacing w:after="0"/>
              <w:rPr>
                <w:sz w:val="20"/>
                <w:szCs w:val="20"/>
                <w:color w:val="auto"/>
              </w:rPr>
            </w:pPr>
            <w:r>
              <w:rPr>
                <w:rFonts w:ascii="Arial" w:cs="Arial" w:eastAsia="Arial" w:hAnsi="Arial"/>
                <w:sz w:val="14"/>
                <w:szCs w:val="14"/>
                <w:b w:val="1"/>
                <w:bCs w:val="1"/>
                <w:color w:val="auto"/>
              </w:rPr>
              <w:t>EXHIBIT INDEX</w:t>
            </w:r>
          </w:p>
        </w:tc>
      </w:tr>
      <w:tr>
        <w:trPr>
          <w:trHeight w:val="373"/>
        </w:trPr>
        <w:tc>
          <w:tcPr>
            <w:tcW w:w="1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Exhibit No.</w:t>
            </w:r>
          </w:p>
        </w:tc>
        <w:tc>
          <w:tcPr>
            <w:tcW w:w="400" w:type="dxa"/>
            <w:vAlign w:val="bottom"/>
          </w:tcPr>
          <w:p>
            <w:pPr>
              <w:spacing w:after="0"/>
              <w:rPr>
                <w:sz w:val="24"/>
                <w:szCs w:val="24"/>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63"/>
        </w:trPr>
        <w:tc>
          <w:tcPr>
            <w:tcW w:w="1540" w:type="dxa"/>
            <w:vAlign w:val="bottom"/>
          </w:tcPr>
          <w:p>
            <w:pPr>
              <w:jc w:val="right"/>
              <w:ind w:right="528"/>
              <w:spacing w:after="0"/>
              <w:rPr>
                <w:sz w:val="20"/>
                <w:szCs w:val="20"/>
                <w:color w:val="auto"/>
              </w:rPr>
            </w:pPr>
            <w:r>
              <w:rPr>
                <w:rFonts w:ascii="Arial" w:cs="Arial" w:eastAsia="Arial" w:hAnsi="Arial"/>
                <w:sz w:val="14"/>
                <w:szCs w:val="14"/>
                <w:color w:val="auto"/>
              </w:rPr>
              <w:t>99.1</w:t>
            </w:r>
          </w:p>
        </w:tc>
        <w:tc>
          <w:tcPr>
            <w:tcW w:w="4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Press Release dated February 2, 2010</w:t>
            </w:r>
          </w:p>
        </w:tc>
      </w:tr>
      <w:tr>
        <w:trPr>
          <w:trHeight w:val="174"/>
        </w:trPr>
        <w:tc>
          <w:tcPr>
            <w:tcW w:w="1540" w:type="dxa"/>
            <w:vAlign w:val="bottom"/>
          </w:tcPr>
          <w:p>
            <w:pPr>
              <w:jc w:val="right"/>
              <w:ind w:right="528"/>
              <w:spacing w:after="0"/>
              <w:rPr>
                <w:sz w:val="20"/>
                <w:szCs w:val="20"/>
                <w:color w:val="auto"/>
              </w:rPr>
            </w:pPr>
            <w:r>
              <w:rPr>
                <w:rFonts w:ascii="Arial" w:cs="Arial" w:eastAsia="Arial" w:hAnsi="Arial"/>
                <w:sz w:val="14"/>
                <w:szCs w:val="14"/>
                <w:color w:val="auto"/>
              </w:rPr>
              <w:t>99.2</w:t>
            </w:r>
          </w:p>
        </w:tc>
        <w:tc>
          <w:tcPr>
            <w:tcW w:w="40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Presentation materials for February 2, 2010 conference call</w:t>
            </w:r>
          </w:p>
        </w:tc>
      </w:tr>
      <w:tr>
        <w:trPr>
          <w:trHeight w:val="183"/>
        </w:trPr>
        <w:tc>
          <w:tcPr>
            <w:tcW w:w="1540" w:type="dxa"/>
            <w:vAlign w:val="bottom"/>
          </w:tcPr>
          <w:p>
            <w:pPr>
              <w:jc w:val="right"/>
              <w:ind w:right="528"/>
              <w:spacing w:after="0"/>
              <w:rPr>
                <w:sz w:val="20"/>
                <w:szCs w:val="20"/>
                <w:color w:val="auto"/>
              </w:rPr>
            </w:pPr>
            <w:r>
              <w:rPr>
                <w:rFonts w:ascii="Arial" w:cs="Arial" w:eastAsia="Arial" w:hAnsi="Arial"/>
                <w:sz w:val="14"/>
                <w:szCs w:val="14"/>
                <w:color w:val="auto"/>
              </w:rPr>
              <w:t>99.3</w:t>
            </w:r>
          </w:p>
        </w:tc>
        <w:tc>
          <w:tcPr>
            <w:tcW w:w="40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Summary of Restated Results</w:t>
            </w:r>
          </w:p>
        </w:tc>
      </w:tr>
    </w:tbl>
    <w:p>
      <w:pPr>
        <w:sectPr>
          <w:pgSz w:w="11900" w:h="16838" w:orient="portrait"/>
          <w:cols w:equalWidth="0" w:num="1">
            <w:col w:w="10239"/>
          </w:cols>
          <w:pgMar w:left="22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932180" cy="863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32180" cy="863600"/>
                    </a:xfrm>
                    <a:prstGeom prst="rect">
                      <a:avLst/>
                    </a:prstGeom>
                    <a:noFill/>
                  </pic:spPr>
                </pic:pic>
              </a:graphicData>
            </a:graphic>
          </wp:anchor>
        </w:drawing>
      </w:r>
    </w:p>
    <w:p>
      <w:pPr>
        <w:sectPr>
          <w:pgSz w:w="11900" w:h="16838" w:orient="portrait"/>
          <w:cols w:equalWidth="0" w:num="1">
            <w:col w:w="11460"/>
          </w:cols>
          <w:pgMar w:left="220" w:top="31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Mike Van Handel</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Manpower Inc.</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+1.414.906.6305</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michael.vanhandel@manpower.com</w:t>
      </w:r>
    </w:p>
    <w:p>
      <w:pPr>
        <w:spacing w:after="0" w:line="200" w:lineRule="exact"/>
        <w:rPr>
          <w:sz w:val="20"/>
          <w:szCs w:val="20"/>
          <w:color w:val="auto"/>
        </w:rPr>
      </w:pPr>
    </w:p>
    <w:p>
      <w:pPr>
        <w:sectPr>
          <w:pgSz w:w="11900" w:h="16838" w:orient="portrait"/>
          <w:cols w:equalWidth="0" w:num="2">
            <w:col w:w="3680" w:space="720"/>
            <w:col w:w="7060"/>
          </w:cols>
          <w:pgMar w:left="220" w:top="313" w:right="21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Manpower Reports 4</w:t>
      </w:r>
      <w:r>
        <w:rPr>
          <w:rFonts w:ascii="Arial" w:cs="Arial" w:eastAsia="Arial" w:hAnsi="Arial"/>
          <w:sz w:val="10"/>
          <w:szCs w:val="10"/>
          <w:b w:val="1"/>
          <w:bCs w:val="1"/>
          <w:color w:val="auto"/>
        </w:rPr>
        <w:t>th</w:t>
      </w:r>
      <w:r>
        <w:rPr>
          <w:rFonts w:ascii="Arial" w:cs="Arial" w:eastAsia="Arial" w:hAnsi="Arial"/>
          <w:sz w:val="14"/>
          <w:szCs w:val="14"/>
          <w:b w:val="1"/>
          <w:bCs w:val="1"/>
          <w:color w:val="auto"/>
        </w:rPr>
        <w:t xml:space="preserve"> Quarter and Full Year 2009 Results</w:t>
      </w:r>
    </w:p>
    <w:p>
      <w:pPr>
        <w:sectPr>
          <w:pgSz w:w="11900" w:h="16838" w:orient="portrait"/>
          <w:cols w:equalWidth="0" w:num="1">
            <w:col w:w="11460"/>
          </w:cols>
          <w:pgMar w:left="220" w:top="313" w:right="219" w:bottom="1440" w:gutter="0" w:footer="0" w:header="0"/>
          <w:type w:val="continuous"/>
        </w:sectPr>
      </w:pPr>
    </w:p>
    <w:p>
      <w:pPr>
        <w:spacing w:after="0" w:line="376" w:lineRule="exact"/>
        <w:rPr>
          <w:sz w:val="20"/>
          <w:szCs w:val="20"/>
          <w:color w:val="auto"/>
        </w:rPr>
      </w:pPr>
    </w:p>
    <w:p>
      <w:pPr>
        <w:ind w:right="20" w:firstLine="551"/>
        <w:spacing w:after="0" w:line="254" w:lineRule="auto"/>
        <w:rPr>
          <w:sz w:val="20"/>
          <w:szCs w:val="20"/>
          <w:color w:val="auto"/>
        </w:rPr>
      </w:pPr>
      <w:r>
        <w:rPr>
          <w:rFonts w:ascii="Arial" w:cs="Arial" w:eastAsia="Arial" w:hAnsi="Arial"/>
          <w:sz w:val="16"/>
          <w:szCs w:val="16"/>
          <w:color w:val="auto"/>
        </w:rPr>
        <w:t>MILWAUKEE, WI, USA, February 2, 2010 – Manpower Inc. (NYSE: MAN) today reported that net earnings per diluted share for the three months ended December 31, 2009 decreased to 37 cents from 97 cents in the prior year period. Net earnings in the quarter decreased to $29.1 million from $76.0 million a year earlier. Revenues for the fourth quarter totaled $4.4 billion, a decrease of 4 percent from the year earlier period, or a decrease of 12 percent in constant currency.</w:t>
      </w:r>
    </w:p>
    <w:p>
      <w:pPr>
        <w:spacing w:after="0" w:line="166" w:lineRule="exact"/>
        <w:rPr>
          <w:sz w:val="20"/>
          <w:szCs w:val="20"/>
          <w:color w:val="auto"/>
        </w:rPr>
      </w:pPr>
    </w:p>
    <w:p>
      <w:pPr>
        <w:jc w:val="both"/>
        <w:ind w:right="580"/>
        <w:spacing w:after="0" w:line="254" w:lineRule="auto"/>
        <w:rPr>
          <w:sz w:val="20"/>
          <w:szCs w:val="20"/>
          <w:color w:val="auto"/>
        </w:rPr>
      </w:pPr>
      <w:r>
        <w:rPr>
          <w:rFonts w:ascii="Arial" w:cs="Arial" w:eastAsia="Arial" w:hAnsi="Arial"/>
          <w:sz w:val="16"/>
          <w:szCs w:val="16"/>
          <w:color w:val="auto"/>
        </w:rPr>
        <w:t>Included in the fourth quarter results is a $12.7 million ($9.0 million after tax, or 11 cents per diluted share) reorganization charge, primarily related to office closures and consolidations, and severance costs. Net earnings in the fourth quarter were favorably impacted by 5 cents per diluted share, as foreign currencies were relatively stronger compared to the prior year period.</w:t>
      </w:r>
    </w:p>
    <w:p>
      <w:pPr>
        <w:spacing w:after="0" w:line="166" w:lineRule="exact"/>
        <w:rPr>
          <w:sz w:val="20"/>
          <w:szCs w:val="20"/>
          <w:color w:val="auto"/>
        </w:rPr>
      </w:pPr>
    </w:p>
    <w:p>
      <w:pPr>
        <w:ind w:right="160"/>
        <w:spacing w:after="0" w:line="279" w:lineRule="auto"/>
        <w:rPr>
          <w:sz w:val="20"/>
          <w:szCs w:val="20"/>
          <w:color w:val="auto"/>
        </w:rPr>
      </w:pPr>
      <w:r>
        <w:rPr>
          <w:rFonts w:ascii="Arial" w:cs="Arial" w:eastAsia="Arial" w:hAnsi="Arial"/>
          <w:sz w:val="15"/>
          <w:szCs w:val="15"/>
          <w:color w:val="auto"/>
        </w:rPr>
        <w:t>Jeffrey A. Joerres, Manpower Inc. Chairman and CEO, said, “We continue to see solid evidence of improving trends in nearly all geographies we operate in. Each week that passes, we are more confident about the sustainability of the recovery. The U.S. is experiencing the highest level of year-over-year growth trends. As we look to the first quarter of 2010, we are anticipating positive year-over-year revenue growth for the company as a whole, which is the first time since the third quarter of 2008.</w:t>
      </w:r>
    </w:p>
    <w:p>
      <w:pPr>
        <w:spacing w:after="0" w:line="149"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“We are anticipating the first quarter of 2010 diluted earnings per share to be a loss in the range of 5 cents to 15 cents, which includes an estimated favorable currency impact of 3 cents.”</w:t>
      </w:r>
    </w:p>
    <w:p>
      <w:pPr>
        <w:spacing w:after="0" w:line="156"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Net earnings per diluted share for the year ended December 31, 2009 decreased to a loss of 12 cents from earnings of $2.58 per diluted share in 2008. Net earnings were a loss of $9.2 million compared to earnings of $205.5 million in the prior year. Revenues for the year were $16.0 billion, a decrease of 26 percent from the prior year, or 21 percent in constant currency.</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Earnings per diluted share for the full year 2009 include a loss on the sale of an equity investment and goodwill impairment charge totaling 85 cents, a charge of 6 cents related to the repayment of our revolver borrowings and extinguishment of an interest rate swap, and reorganization charges totaling 31 cents. Additionally, 2009 results were favorably impacted by 1 cent per diluted share due to changes in foreign currencies compared to the prior year.</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Included in the full year 2008 results is the favorable impact of the business tax refund and recoverable payroll taxes in France totaling $0.91 per diluted share. Also included is the goodwill and intangible asset impairment charge of $1.94 per diluted share, an increase in our legal reserve of 63 cents per diluted share and reorganization charges of 34 cents per diluted share.</w:t>
      </w:r>
    </w:p>
    <w:p>
      <w:pPr>
        <w:spacing w:after="0" w:line="166"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During the fourth quarter, the company became aware that it had prematurely recognized revenue related to a workforce solutions contract in 2007, 2008 and the 9 month period ended September 30, 2009. As a result, operating results have been restated for these periods, resulting in a reduction of revenues and operating profit of $14.2 million, $15.7 million and $9.7 million, respectively and diluted earnings per share of 13 cents, 17 cents and 12 cents, respectively. Further information regarding this restatement can be found in the company’s Form 8-K filing dated February 2, 2010.</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In conjunction with its fourth quarter earnings release, Manpower will broadcast its conference call live over the Internet on February 2, 2010 at 7:30 a.m. CST (8:30 a.m.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EST). Interested parties are invited to listen to the webcast and view the presentation by logging on to http://investor.manpower.com.</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Supplemental financial information referenced in the conference call can be found at http://investor.manpower.com.</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 Inc.</w:t>
      </w:r>
    </w:p>
    <w:p>
      <w:pPr>
        <w:spacing w:after="0" w:line="19"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Manpower Inc. (NYSE: MAN) is a world leader in the employment services industry; creating and delivering services that enable clients to win in the changing world of work. With more than 60 years of experience, the company offers employers a range of services for the entire employment and business cycle including permanent, temporary and contract recruitment; employee assessment and selection; training; outplacement; outsourcing and consulting. Manpower's worldwide network of 4,000 offices in 82 countries and territories enables the company to meet the needs of 400,000 clients per year, including small and medium size enterprises in all industry sectors, as well as the world's largest multinational corporations. The focus of Manpower’s work is on raising productivity through improved quality, efficiency and cost-reduction across the total workforce, enabling clients to concentrate on their core business activities. Manpower Inc. operates under five brands: Manpower, Manpower Professional, Elan, Jefferson Wells and Right Management. More information on Manpower Inc. is available at </w:t>
      </w:r>
      <w:r>
        <w:rPr>
          <w:rFonts w:ascii="Arial" w:cs="Arial" w:eastAsia="Arial" w:hAnsi="Arial"/>
          <w:sz w:val="15"/>
          <w:szCs w:val="15"/>
          <w:u w:val="single" w:color="auto"/>
          <w:color w:val="auto"/>
        </w:rPr>
        <w:t>www.manpower.com</w:t>
      </w:r>
      <w:r>
        <w:rPr>
          <w:rFonts w:ascii="Arial" w:cs="Arial" w:eastAsia="Arial" w:hAnsi="Arial"/>
          <w:sz w:val="15"/>
          <w:szCs w:val="15"/>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9"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2008, which information is incorporated herein by reference.</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27900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11460"/>
          </w:cols>
          <w:pgMar w:left="220" w:top="313" w:right="219" w:bottom="1440" w:gutter="0" w:footer="0" w:header="0"/>
          <w:type w:val="continuous"/>
        </w:sectPr>
      </w:pPr>
    </w:p>
    <w:bookmarkStart w:id="5" w:name="page6"/>
    <w:bookmarkEnd w:id="5"/>
    <w:p>
      <w:pPr>
        <w:jc w:val="center"/>
        <w:ind w:right="120"/>
        <w:spacing w:after="0"/>
        <w:rPr>
          <w:sz w:val="20"/>
          <w:szCs w:val="20"/>
          <w:color w:val="auto"/>
        </w:rPr>
      </w:pPr>
      <w:r>
        <w:rPr>
          <w:rFonts w:ascii="Arial" w:cs="Arial" w:eastAsia="Arial" w:hAnsi="Arial"/>
          <w:sz w:val="17"/>
          <w:szCs w:val="17"/>
          <w:color w:val="auto"/>
        </w:rPr>
        <w:t>Manpower Inc.</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Results of Operations</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 millions, except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4"/>
                <w:szCs w:val="14"/>
                <w:b w:val="1"/>
                <w:bCs w:val="1"/>
                <w:color w:val="auto"/>
                <w:w w:val="94"/>
              </w:rPr>
              <w:t>Three Months Ended December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 Variance</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center"/>
              <w:ind w:right="760"/>
              <w:spacing w:after="0" w:line="159" w:lineRule="exact"/>
              <w:rPr>
                <w:sz w:val="20"/>
                <w:szCs w:val="20"/>
                <w:color w:val="auto"/>
              </w:rPr>
            </w:pPr>
            <w:r>
              <w:rPr>
                <w:rFonts w:ascii="Arial" w:cs="Arial" w:eastAsia="Arial" w:hAnsi="Arial"/>
                <w:sz w:val="14"/>
                <w:szCs w:val="14"/>
                <w:b w:val="1"/>
                <w:bCs w:val="1"/>
                <w:color w:val="auto"/>
                <w:w w:val="94"/>
              </w:rPr>
              <w:t>Amount</w:t>
            </w:r>
          </w:p>
        </w:tc>
        <w:tc>
          <w:tcPr>
            <w:tcW w:w="88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Constant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Reported</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left="688"/>
              <w:spacing w:after="0"/>
              <w:rPr>
                <w:sz w:val="20"/>
                <w:szCs w:val="20"/>
                <w:color w:val="auto"/>
              </w:rPr>
            </w:pPr>
            <w:r>
              <w:rPr>
                <w:rFonts w:ascii="Arial" w:cs="Arial" w:eastAsia="Arial" w:hAnsi="Arial"/>
                <w:sz w:val="14"/>
                <w:szCs w:val="14"/>
                <w:color w:val="auto"/>
                <w:w w:val="95"/>
              </w:rPr>
              <w:t>(Unaudited)</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 (a) (b)</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4,412.6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4,589.6</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Cost of services</w:t>
            </w:r>
          </w:p>
        </w:tc>
        <w:tc>
          <w:tcPr>
            <w:tcW w:w="2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3,656.5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3,639.2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0.5%</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Gross profit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950.4</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-20.5%</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Selling and administrative expenses</w:t>
            </w:r>
          </w:p>
        </w:tc>
        <w:tc>
          <w:tcPr>
            <w:tcW w:w="2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713.3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804.8</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-11.4%</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Operating profit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145.6</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-70.6%</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Interest and other expenses</w:t>
            </w:r>
          </w:p>
        </w:tc>
        <w:tc>
          <w:tcPr>
            <w:tcW w:w="2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12.3</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Earnings before income taxes</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133.3</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-77.3%</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57.3</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-98.0%</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earnings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76.0</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-61.8%</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060" w:type="dxa"/>
            <w:vAlign w:val="bottom"/>
          </w:tcPr>
          <w:p>
            <w:pPr>
              <w:spacing w:after="0" w:line="157" w:lineRule="exact"/>
              <w:rPr>
                <w:sz w:val="20"/>
                <w:szCs w:val="20"/>
                <w:color w:val="auto"/>
              </w:rPr>
            </w:pPr>
            <w:r>
              <w:rPr>
                <w:rFonts w:ascii="Arial" w:cs="Arial" w:eastAsia="Arial" w:hAnsi="Arial"/>
                <w:sz w:val="14"/>
                <w:szCs w:val="14"/>
                <w:color w:val="auto"/>
              </w:rPr>
              <w:t>Net earnings per share - basic</w:t>
            </w:r>
          </w:p>
        </w:tc>
        <w:tc>
          <w:tcPr>
            <w:tcW w:w="260" w:type="dxa"/>
            <w:vAlign w:val="bottom"/>
          </w:tcPr>
          <w:p>
            <w:pPr>
              <w:jc w:val="right"/>
              <w:ind w:right="108"/>
              <w:spacing w:after="0" w:line="157"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0.37</w:t>
            </w:r>
          </w:p>
        </w:tc>
        <w:tc>
          <w:tcPr>
            <w:tcW w:w="2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0.98</w:t>
            </w:r>
          </w:p>
        </w:tc>
        <w:tc>
          <w:tcPr>
            <w:tcW w:w="260" w:type="dxa"/>
            <w:vAlign w:val="bottom"/>
          </w:tcPr>
          <w:p>
            <w:pPr>
              <w:spacing w:after="0"/>
              <w:rPr>
                <w:sz w:val="13"/>
                <w:szCs w:val="13"/>
                <w:color w:val="auto"/>
              </w:rPr>
            </w:pPr>
          </w:p>
        </w:tc>
        <w:tc>
          <w:tcPr>
            <w:tcW w:w="11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-62.2%</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earnings per share - diluted</w:t>
            </w:r>
          </w:p>
        </w:tc>
        <w:tc>
          <w:tcPr>
            <w:tcW w:w="26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0.37</w:t>
            </w:r>
          </w:p>
        </w:tc>
        <w:tc>
          <w:tcPr>
            <w:tcW w:w="2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0.97</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-61.9%</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060" w:type="dxa"/>
            <w:vAlign w:val="bottom"/>
          </w:tcPr>
          <w:p>
            <w:pPr>
              <w:spacing w:after="0" w:line="157" w:lineRule="exact"/>
              <w:rPr>
                <w:sz w:val="20"/>
                <w:szCs w:val="20"/>
                <w:color w:val="auto"/>
              </w:rPr>
            </w:pPr>
            <w:r>
              <w:rPr>
                <w:rFonts w:ascii="Arial" w:cs="Arial" w:eastAsia="Arial" w:hAnsi="Arial"/>
                <w:sz w:val="14"/>
                <w:szCs w:val="14"/>
                <w:color w:val="auto"/>
              </w:rPr>
              <w:t>Weighted average shares - basic</w:t>
            </w:r>
          </w:p>
        </w:tc>
        <w:tc>
          <w:tcPr>
            <w:tcW w:w="260" w:type="dxa"/>
            <w:vAlign w:val="bottom"/>
          </w:tcPr>
          <w:p>
            <w:pPr>
              <w:spacing w:after="0"/>
              <w:rPr>
                <w:sz w:val="13"/>
                <w:szCs w:val="13"/>
                <w:color w:val="auto"/>
              </w:rPr>
            </w:pPr>
          </w:p>
        </w:tc>
        <w:tc>
          <w:tcPr>
            <w:tcW w:w="10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78.5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77.8</w:t>
            </w:r>
          </w:p>
        </w:tc>
        <w:tc>
          <w:tcPr>
            <w:tcW w:w="260" w:type="dxa"/>
            <w:vAlign w:val="bottom"/>
          </w:tcPr>
          <w:p>
            <w:pPr>
              <w:spacing w:after="0"/>
              <w:rPr>
                <w:sz w:val="13"/>
                <w:szCs w:val="13"/>
                <w:color w:val="auto"/>
              </w:rPr>
            </w:pPr>
          </w:p>
        </w:tc>
        <w:tc>
          <w:tcPr>
            <w:tcW w:w="11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0.9%</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Weighted average shares - diluted</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79.7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78.0</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380" w:firstLine="7"/>
        <w:spacing w:after="0" w:line="333" w:lineRule="auto"/>
        <w:tabs>
          <w:tab w:leader="none" w:pos="19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Revenues from services include fees received from our franchise offices of $5.7 million and $7.3 million for the three months ended December 31, 2009 and 2008, respectively. These fees areprimarily based on revenues generated by the franchise offices, which were $213.4 million and $236.5 million for the three months ended December 31, 2009 and 2008, respectively.</w:t>
      </w:r>
    </w:p>
    <w:p>
      <w:pPr>
        <w:spacing w:after="0" w:line="107" w:lineRule="exact"/>
        <w:rPr>
          <w:rFonts w:ascii="Arial" w:cs="Arial" w:eastAsia="Arial" w:hAnsi="Arial"/>
          <w:sz w:val="13"/>
          <w:szCs w:val="13"/>
          <w:color w:val="auto"/>
        </w:rPr>
      </w:pPr>
    </w:p>
    <w:p>
      <w:pPr>
        <w:ind w:right="260" w:firstLine="7"/>
        <w:spacing w:after="0" w:line="267" w:lineRule="auto"/>
        <w:tabs>
          <w:tab w:leader="none" w:pos="205" w:val="left"/>
        </w:tabs>
        <w:numPr>
          <w:ilvl w:val="0"/>
          <w:numId w:val="1"/>
        </w:numPr>
        <w:rPr>
          <w:rFonts w:ascii="Arial" w:cs="Arial" w:eastAsia="Arial" w:hAnsi="Arial"/>
          <w:sz w:val="14"/>
          <w:szCs w:val="14"/>
          <w:color w:val="auto"/>
        </w:rPr>
      </w:pPr>
      <w:r>
        <w:rPr>
          <w:rFonts w:ascii="Arial" w:cs="Arial" w:eastAsia="Arial" w:hAnsi="Arial"/>
          <w:sz w:val="14"/>
          <w:szCs w:val="14"/>
          <w:color w:val="auto"/>
        </w:rPr>
        <w:t>During the fourth quarter of 2009, we determined that our Other EMEA reportable segment prematurely recognized revenues related to a workforce solutions contract. These revenues were recorded on a cash-basis rather than being deferred and earned over the four-year performance period following the month the services were performed. Accordingly, we have restated our annual and quarterly financial results for 2007, 2008, and the nine months ended September 30, 2009. The impact on the fourth quarter of 2008 was a $3.3 million reduction of revenues and operating profit and a $0.04 reduction in net earnings per diluted share. This restatement has no impact on cash flows and only impacts the timing of when revenues are earned, as total revenues for the contract are expected to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167640</wp:posOffset>
            </wp:positionV>
            <wp:extent cx="7279005"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11460"/>
          </w:cols>
          <w:pgMar w:left="220" w:top="319" w:right="21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7"/>
          <w:szCs w:val="17"/>
          <w:color w:val="auto"/>
        </w:rPr>
        <w:t>Manpower Inc.</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Operating Unit Results</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4"/>
                <w:szCs w:val="14"/>
                <w:b w:val="1"/>
                <w:bCs w:val="1"/>
                <w:color w:val="auto"/>
                <w:w w:val="94"/>
              </w:rPr>
              <w:t>Three Months Ended December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 Variance</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ind w:left="60"/>
              <w:spacing w:after="0" w:line="159"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228"/>
              <w:spacing w:after="0" w:line="159" w:lineRule="exact"/>
              <w:rPr>
                <w:sz w:val="20"/>
                <w:szCs w:val="20"/>
                <w:color w:val="auto"/>
              </w:rPr>
            </w:pPr>
            <w:r>
              <w:rPr>
                <w:rFonts w:ascii="Arial" w:cs="Arial" w:eastAsia="Arial" w:hAnsi="Arial"/>
                <w:sz w:val="14"/>
                <w:szCs w:val="14"/>
                <w:b w:val="1"/>
                <w:bCs w:val="1"/>
                <w:color w:val="auto"/>
                <w:w w:val="92"/>
              </w:rPr>
              <w:t>Constant</w:t>
            </w:r>
          </w:p>
        </w:tc>
        <w:tc>
          <w:tcPr>
            <w:tcW w:w="12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Reported</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left="688"/>
              <w:spacing w:after="0"/>
              <w:rPr>
                <w:sz w:val="20"/>
                <w:szCs w:val="20"/>
                <w:color w:val="auto"/>
              </w:rPr>
            </w:pPr>
            <w:r>
              <w:rPr>
                <w:rFonts w:ascii="Arial" w:cs="Arial" w:eastAsia="Arial" w:hAnsi="Arial"/>
                <w:sz w:val="14"/>
                <w:szCs w:val="14"/>
                <w:color w:val="auto"/>
                <w:w w:val="95"/>
              </w:rPr>
              <w:t>(Unaudited)</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 (a)</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Americas: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United States (c)</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435.8</w:t>
            </w:r>
          </w:p>
        </w:tc>
        <w:tc>
          <w:tcPr>
            <w:tcW w:w="1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462.5</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76"/>
        </w:trPr>
        <w:tc>
          <w:tcPr>
            <w:tcW w:w="20" w:type="dxa"/>
            <w:vAlign w:val="bottom"/>
          </w:tcPr>
          <w:p>
            <w:pPr>
              <w:spacing w:after="0"/>
              <w:rPr>
                <w:sz w:val="15"/>
                <w:szCs w:val="15"/>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Other Americas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9.2%</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6.2%</w:t>
            </w: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722.4</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74"/>
        </w:trPr>
        <w:tc>
          <w:tcPr>
            <w:tcW w:w="20" w:type="dxa"/>
            <w:vAlign w:val="bottom"/>
          </w:tcPr>
          <w:p>
            <w:pPr>
              <w:spacing w:after="0"/>
              <w:rPr>
                <w:sz w:val="15"/>
                <w:szCs w:val="15"/>
                <w:color w:val="auto"/>
              </w:rPr>
            </w:pPr>
          </w:p>
        </w:tc>
        <w:tc>
          <w:tcPr>
            <w:tcW w:w="60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France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1,351.4</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EMEA:</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Italy</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301.2</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-10.6%</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76"/>
        </w:trPr>
        <w:tc>
          <w:tcPr>
            <w:tcW w:w="20" w:type="dxa"/>
            <w:vAlign w:val="bottom"/>
          </w:tcPr>
          <w:p>
            <w:pPr>
              <w:spacing w:after="0"/>
              <w:rPr>
                <w:sz w:val="15"/>
                <w:szCs w:val="15"/>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Other EMEA (b)</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1,578.3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-6.4%</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-14.2%</w:t>
            </w:r>
          </w:p>
        </w:tc>
      </w:tr>
      <w:tr>
        <w:trPr>
          <w:trHeight w:val="176"/>
        </w:trPr>
        <w:tc>
          <w:tcPr>
            <w:tcW w:w="20" w:type="dxa"/>
            <w:vAlign w:val="bottom"/>
          </w:tcPr>
          <w:p>
            <w:pPr>
              <w:spacing w:after="0"/>
              <w:rPr>
                <w:sz w:val="15"/>
                <w:szCs w:val="15"/>
                <w:color w:val="auto"/>
              </w:rPr>
            </w:pPr>
          </w:p>
        </w:tc>
        <w:tc>
          <w:tcPr>
            <w:tcW w:w="60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1,747.0</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1,879.5</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449.1</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-6.3%</w:t>
            </w: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Right Management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123.6</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76"/>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Jefferson Wells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-32.1%</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-32.1%</w:t>
            </w: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4,412.6</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4,589.6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58"/>
        </w:trPr>
        <w:tc>
          <w:tcPr>
            <w:tcW w:w="20" w:type="dxa"/>
            <w:vAlign w:val="bottom"/>
          </w:tcPr>
          <w:p>
            <w:pPr>
              <w:spacing w:after="0"/>
              <w:rPr>
                <w:sz w:val="13"/>
                <w:szCs w:val="13"/>
                <w:color w:val="auto"/>
              </w:rPr>
            </w:pPr>
          </w:p>
        </w:tc>
        <w:tc>
          <w:tcPr>
            <w:tcW w:w="6060" w:type="dxa"/>
            <w:vAlign w:val="bottom"/>
            <w:tcBorders>
              <w:top w:val="single" w:sz="8" w:color="CCEEFF"/>
            </w:tcBorders>
          </w:tcPr>
          <w:p>
            <w:pPr>
              <w:spacing w:after="0" w:line="157" w:lineRule="exact"/>
              <w:rPr>
                <w:sz w:val="20"/>
                <w:szCs w:val="20"/>
                <w:color w:val="auto"/>
              </w:rPr>
            </w:pPr>
            <w:r>
              <w:rPr>
                <w:rFonts w:ascii="Arial" w:cs="Arial" w:eastAsia="Arial" w:hAnsi="Arial"/>
                <w:sz w:val="14"/>
                <w:szCs w:val="14"/>
                <w:color w:val="auto"/>
              </w:rPr>
              <w:t>Operating Unit (Loss) Profit:</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Americas: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United States (c)</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(5.0)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5"/>
                <w:szCs w:val="15"/>
                <w:color w:val="auto"/>
              </w:rPr>
            </w:pPr>
          </w:p>
        </w:tc>
        <w:tc>
          <w:tcPr>
            <w:tcW w:w="1380" w:type="dxa"/>
            <w:vAlign w:val="bottom"/>
            <w:gridSpan w:val="3"/>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76"/>
        </w:trPr>
        <w:tc>
          <w:tcPr>
            <w:tcW w:w="20" w:type="dxa"/>
            <w:vAlign w:val="bottom"/>
          </w:tcPr>
          <w:p>
            <w:pPr>
              <w:spacing w:after="0"/>
              <w:rPr>
                <w:sz w:val="15"/>
                <w:szCs w:val="15"/>
                <w:color w:val="auto"/>
              </w:rPr>
            </w:pP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 Americas</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49.3%</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50.9%</w:t>
            </w: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-55.8%</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-52.8%</w:t>
            </w: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France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109.1</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-95.4%</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-95.9%</w:t>
            </w: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EMEA:</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Italy</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24.3</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-54.7%</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-59.8%</w:t>
            </w:r>
          </w:p>
        </w:tc>
      </w:tr>
      <w:tr>
        <w:trPr>
          <w:trHeight w:val="176"/>
        </w:trPr>
        <w:tc>
          <w:tcPr>
            <w:tcW w:w="20" w:type="dxa"/>
            <w:vAlign w:val="bottom"/>
          </w:tcPr>
          <w:p>
            <w:pPr>
              <w:spacing w:after="0"/>
              <w:rPr>
                <w:sz w:val="15"/>
                <w:szCs w:val="15"/>
                <w:color w:val="auto"/>
              </w:rPr>
            </w:pP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 EMEA (b)</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-32.2%</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-41.1%</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-47.4%</w:t>
            </w: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Asia Pacific</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Right Management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17.0</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22.2%</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15.7%</w:t>
            </w: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Jefferson Wells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(13.8)</w:t>
            </w:r>
          </w:p>
        </w:tc>
        <w:tc>
          <w:tcPr>
            <w:tcW w:w="2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r>
      <w:tr>
        <w:trPr>
          <w:trHeight w:val="174"/>
        </w:trPr>
        <w:tc>
          <w:tcPr>
            <w:tcW w:w="20" w:type="dxa"/>
            <w:vAlign w:val="bottom"/>
          </w:tcPr>
          <w:p>
            <w:pPr>
              <w:spacing w:after="0"/>
              <w:rPr>
                <w:sz w:val="15"/>
                <w:szCs w:val="15"/>
                <w:color w:val="auto"/>
              </w:rPr>
            </w:pPr>
          </w:p>
        </w:tc>
        <w:tc>
          <w:tcPr>
            <w:tcW w:w="60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174.4</w:t>
            </w:r>
          </w:p>
        </w:tc>
        <w:tc>
          <w:tcPr>
            <w:tcW w:w="2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expenses</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140"/>
              <w:spacing w:after="0"/>
              <w:rPr>
                <w:sz w:val="20"/>
                <w:szCs w:val="20"/>
                <w:color w:val="auto"/>
              </w:rPr>
            </w:pPr>
            <w:r>
              <w:rPr>
                <w:rFonts w:ascii="Arial" w:cs="Arial" w:eastAsia="Arial" w:hAnsi="Arial"/>
                <w:sz w:val="14"/>
                <w:szCs w:val="14"/>
                <w:color w:val="auto"/>
              </w:rPr>
              <w:t>Operating profit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145.6</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-70.6%</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-74.7%</w:t>
            </w:r>
          </w:p>
        </w:tc>
      </w:tr>
      <w:tr>
        <w:trPr>
          <w:trHeight w:val="176"/>
        </w:trPr>
        <w:tc>
          <w:tcPr>
            <w:tcW w:w="20" w:type="dxa"/>
            <w:vAlign w:val="bottom"/>
          </w:tcPr>
          <w:p>
            <w:pPr>
              <w:spacing w:after="0"/>
              <w:rPr>
                <w:sz w:val="15"/>
                <w:szCs w:val="15"/>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and other expenses (d)</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140"/>
              <w:spacing w:after="0"/>
              <w:rPr>
                <w:sz w:val="20"/>
                <w:szCs w:val="20"/>
                <w:color w:val="auto"/>
              </w:rPr>
            </w:pPr>
            <w:r>
              <w:rPr>
                <w:rFonts w:ascii="Arial" w:cs="Arial" w:eastAsia="Arial" w:hAnsi="Arial"/>
                <w:sz w:val="14"/>
                <w:szCs w:val="14"/>
                <w:color w:val="auto"/>
              </w:rPr>
              <w:t>Earnings before income taxes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30.2</w:t>
            </w:r>
          </w:p>
        </w:tc>
        <w:tc>
          <w:tcPr>
            <w:tcW w:w="14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133.3</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40" w:firstLine="7"/>
        <w:spacing w:after="0" w:line="275" w:lineRule="auto"/>
        <w:tabs>
          <w:tab w:leader="none" w:pos="197"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segment reporting was realigned during the first quarter of 2009 due to a change in management structure. Other Americas and Asia Pacific, previously reported in Other Operations, are now separate reportable segments. The United States and Other Americas reportable segments are reported as Americas. The Italy and Other EMEA reportable segments are reported as EMEA. Historical amounts have been restated to conform to the current year presentation.</w:t>
      </w:r>
    </w:p>
    <w:p>
      <w:pPr>
        <w:spacing w:after="0" w:line="142" w:lineRule="exact"/>
        <w:rPr>
          <w:rFonts w:ascii="Arial" w:cs="Arial" w:eastAsia="Arial" w:hAnsi="Arial"/>
          <w:sz w:val="14"/>
          <w:szCs w:val="14"/>
          <w:color w:val="auto"/>
        </w:rPr>
      </w:pPr>
    </w:p>
    <w:p>
      <w:pPr>
        <w:ind w:right="200" w:firstLine="7"/>
        <w:spacing w:after="0" w:line="297" w:lineRule="auto"/>
        <w:tabs>
          <w:tab w:leader="none" w:pos="205" w:val="left"/>
        </w:tabs>
        <w:numPr>
          <w:ilvl w:val="0"/>
          <w:numId w:val="2"/>
        </w:numPr>
        <w:rPr>
          <w:rFonts w:ascii="Arial" w:cs="Arial" w:eastAsia="Arial" w:hAnsi="Arial"/>
          <w:sz w:val="13"/>
          <w:szCs w:val="13"/>
          <w:color w:val="auto"/>
        </w:rPr>
      </w:pPr>
      <w:r>
        <w:rPr>
          <w:rFonts w:ascii="Arial" w:cs="Arial" w:eastAsia="Arial" w:hAnsi="Arial"/>
          <w:sz w:val="13"/>
          <w:szCs w:val="13"/>
          <w:color w:val="auto"/>
        </w:rPr>
        <w:t>During the fourth quarter of 2009, we determined that our Other EMEA reportable segment prematurely recognized revenues related to a workforce solutions contract. These revenues were recorded on a cash-basis rather than being deferred and earned over the four-year performance period following the month the services were performed. Accordingly, we have restated our annual and quarterly financial results for 2007, 2008, and the nine months ended September 30, 2009. The impact on the fourth quarter of 2008 was a $3.3 million reduction of revenues and operating unit profit. This restatement has no impact on cash flows and only impacts the timing of when revenues are earned, as total revenues for the contract are expected to remain unchanged.</w:t>
      </w:r>
    </w:p>
    <w:p>
      <w:pPr>
        <w:spacing w:after="0" w:line="130" w:lineRule="exact"/>
        <w:rPr>
          <w:rFonts w:ascii="Arial" w:cs="Arial" w:eastAsia="Arial" w:hAnsi="Arial"/>
          <w:sz w:val="13"/>
          <w:szCs w:val="13"/>
          <w:color w:val="auto"/>
        </w:rPr>
      </w:pPr>
    </w:p>
    <w:p>
      <w:pPr>
        <w:ind w:right="420" w:firstLine="7"/>
        <w:spacing w:after="0" w:line="275" w:lineRule="auto"/>
        <w:tabs>
          <w:tab w:leader="none" w:pos="197"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the United States, revenues from services include fees received from our franchise offices of $3.1 million and $3.9 million for the three months ended December 31, 2009 and 2008, respectively. These fees are primarily based on revenues generated by the franchise offices, which were $135.6 million and $143.5 million for the three months ended December 31, 2009 and 2008, respectively.</w:t>
      </w:r>
    </w:p>
    <w:p>
      <w:pPr>
        <w:spacing w:after="0" w:line="142" w:lineRule="exact"/>
        <w:rPr>
          <w:rFonts w:ascii="Arial" w:cs="Arial" w:eastAsia="Arial" w:hAnsi="Arial"/>
          <w:sz w:val="14"/>
          <w:szCs w:val="14"/>
          <w:color w:val="auto"/>
        </w:rPr>
      </w:pPr>
    </w:p>
    <w:p>
      <w:pPr>
        <w:ind w:left="200" w:hanging="193"/>
        <w:spacing w:after="0"/>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components of interest and other expenses were: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2008</w:t>
            </w:r>
          </w:p>
        </w:tc>
        <w:tc>
          <w:tcPr>
            <w:tcW w:w="2840" w:type="dxa"/>
            <w:vAlign w:val="bottom"/>
          </w:tcPr>
          <w:p>
            <w:pPr>
              <w:spacing w:after="0"/>
              <w:rPr>
                <w:sz w:val="15"/>
                <w:szCs w:val="15"/>
                <w:color w:val="auto"/>
              </w:rPr>
            </w:pPr>
          </w:p>
        </w:tc>
      </w:tr>
      <w:tr>
        <w:trPr>
          <w:trHeight w:val="174"/>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expense</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700" w:type="dxa"/>
            <w:vAlign w:val="bottom"/>
            <w:gridSpan w:val="2"/>
            <w:shd w:val="clear" w:color="auto" w:fill="CCEEFF"/>
          </w:tcPr>
          <w:p>
            <w:pPr>
              <w:jc w:val="right"/>
              <w:ind w:right="2840"/>
              <w:spacing w:after="0"/>
              <w:rPr>
                <w:sz w:val="20"/>
                <w:szCs w:val="20"/>
                <w:color w:val="auto"/>
              </w:rPr>
            </w:pPr>
            <w:r>
              <w:rPr>
                <w:rFonts w:ascii="Arial" w:cs="Arial" w:eastAsia="Arial" w:hAnsi="Arial"/>
                <w:sz w:val="14"/>
                <w:szCs w:val="14"/>
                <w:color w:val="auto"/>
              </w:rPr>
              <w:t>15.0</w:t>
            </w:r>
          </w:p>
        </w:tc>
      </w:tr>
      <w:tr>
        <w:trPr>
          <w:trHeight w:val="174"/>
        </w:trPr>
        <w:tc>
          <w:tcPr>
            <w:tcW w:w="6080" w:type="dxa"/>
            <w:vAlign w:val="bottom"/>
          </w:tcPr>
          <w:p>
            <w:pPr>
              <w:ind w:left="300"/>
              <w:spacing w:after="0"/>
              <w:rPr>
                <w:sz w:val="20"/>
                <w:szCs w:val="20"/>
                <w:color w:val="auto"/>
              </w:rPr>
            </w:pPr>
            <w:r>
              <w:rPr>
                <w:rFonts w:ascii="Arial" w:cs="Arial" w:eastAsia="Arial" w:hAnsi="Arial"/>
                <w:sz w:val="14"/>
                <w:szCs w:val="14"/>
                <w:color w:val="auto"/>
              </w:rPr>
              <w:t>Interest income</w:t>
            </w:r>
          </w:p>
        </w:tc>
        <w:tc>
          <w:tcPr>
            <w:tcW w:w="84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00" w:type="dxa"/>
            <w:vAlign w:val="bottom"/>
            <w:gridSpan w:val="2"/>
          </w:tcPr>
          <w:p>
            <w:pPr>
              <w:jc w:val="right"/>
              <w:ind w:right="2800"/>
              <w:spacing w:after="0"/>
              <w:rPr>
                <w:sz w:val="20"/>
                <w:szCs w:val="20"/>
                <w:color w:val="auto"/>
              </w:rPr>
            </w:pPr>
            <w:r>
              <w:rPr>
                <w:rFonts w:ascii="Arial" w:cs="Arial" w:eastAsia="Arial" w:hAnsi="Arial"/>
                <w:sz w:val="14"/>
                <w:szCs w:val="14"/>
                <w:color w:val="auto"/>
              </w:rPr>
              <w:t>(5.6)</w:t>
            </w:r>
          </w:p>
        </w:tc>
      </w:tr>
      <w:tr>
        <w:trPr>
          <w:trHeight w:val="174"/>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Foreign exchange gains</w:t>
            </w:r>
          </w:p>
        </w:tc>
        <w:tc>
          <w:tcPr>
            <w:tcW w:w="8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jc w:val="right"/>
              <w:ind w:right="2800"/>
              <w:spacing w:after="0"/>
              <w:rPr>
                <w:sz w:val="20"/>
                <w:szCs w:val="20"/>
                <w:color w:val="auto"/>
              </w:rPr>
            </w:pPr>
            <w:r>
              <w:rPr>
                <w:rFonts w:ascii="Arial" w:cs="Arial" w:eastAsia="Arial" w:hAnsi="Arial"/>
                <w:sz w:val="14"/>
                <w:szCs w:val="14"/>
                <w:color w:val="auto"/>
              </w:rPr>
              <w:t>(0.8)</w:t>
            </w:r>
          </w:p>
        </w:tc>
      </w:tr>
      <w:tr>
        <w:trPr>
          <w:trHeight w:val="174"/>
        </w:trPr>
        <w:tc>
          <w:tcPr>
            <w:tcW w:w="6080" w:type="dxa"/>
            <w:vAlign w:val="bottom"/>
          </w:tcPr>
          <w:p>
            <w:pPr>
              <w:ind w:left="300"/>
              <w:spacing w:after="0"/>
              <w:rPr>
                <w:sz w:val="20"/>
                <w:szCs w:val="20"/>
                <w:color w:val="auto"/>
              </w:rPr>
            </w:pPr>
            <w:r>
              <w:rPr>
                <w:rFonts w:ascii="Arial" w:cs="Arial" w:eastAsia="Arial" w:hAnsi="Arial"/>
                <w:sz w:val="14"/>
                <w:szCs w:val="14"/>
                <w:color w:val="auto"/>
              </w:rPr>
              <w:t>Miscellaneous expenses, net</w:t>
            </w:r>
          </w:p>
        </w:tc>
        <w:tc>
          <w:tcPr>
            <w:tcW w:w="8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00" w:type="dxa"/>
            <w:vAlign w:val="bottom"/>
            <w:gridSpan w:val="2"/>
          </w:tcPr>
          <w:p>
            <w:pPr>
              <w:jc w:val="right"/>
              <w:ind w:right="2840"/>
              <w:spacing w:after="0"/>
              <w:rPr>
                <w:sz w:val="20"/>
                <w:szCs w:val="20"/>
                <w:color w:val="auto"/>
              </w:rPr>
            </w:pPr>
            <w:r>
              <w:rPr>
                <w:rFonts w:ascii="Arial" w:cs="Arial" w:eastAsia="Arial" w:hAnsi="Arial"/>
                <w:sz w:val="14"/>
                <w:szCs w:val="14"/>
                <w:color w:val="auto"/>
              </w:rPr>
              <w:t>3.7</w:t>
            </w:r>
          </w:p>
        </w:tc>
      </w:tr>
      <w:tr>
        <w:trPr>
          <w:trHeight w:val="22"/>
        </w:trPr>
        <w:tc>
          <w:tcPr>
            <w:tcW w:w="6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14"/>
        </w:trPr>
        <w:tc>
          <w:tcPr>
            <w:tcW w:w="60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700" w:type="dxa"/>
            <w:vAlign w:val="bottom"/>
            <w:gridSpan w:val="2"/>
            <w:shd w:val="clear" w:color="auto" w:fill="CCEEFF"/>
          </w:tcPr>
          <w:p>
            <w:pPr>
              <w:jc w:val="right"/>
              <w:ind w:right="2840"/>
              <w:spacing w:after="0"/>
              <w:rPr>
                <w:sz w:val="20"/>
                <w:szCs w:val="20"/>
                <w:color w:val="auto"/>
              </w:rPr>
            </w:pPr>
            <w:r>
              <w:rPr>
                <w:rFonts w:ascii="Arial" w:cs="Arial" w:eastAsia="Arial" w:hAnsi="Arial"/>
                <w:sz w:val="14"/>
                <w:szCs w:val="14"/>
                <w:color w:val="auto"/>
              </w:rPr>
              <w:t>12.3</w:t>
            </w:r>
          </w:p>
        </w:tc>
      </w:tr>
      <w:tr>
        <w:trPr>
          <w:trHeight w:val="468"/>
        </w:trPr>
        <w:tc>
          <w:tcPr>
            <w:tcW w:w="6080" w:type="dxa"/>
            <w:vAlign w:val="bottom"/>
            <w:tcBorders>
              <w:top w:val="single" w:sz="8" w:color="CCEEFF"/>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860" w:type="dxa"/>
            <w:vAlign w:val="bottom"/>
            <w:tcBorders>
              <w:top w:val="single" w:sz="8" w:color="auto"/>
              <w:bottom w:val="single" w:sz="8" w:color="808080"/>
            </w:tcBorders>
          </w:tcPr>
          <w:p>
            <w:pPr>
              <w:spacing w:after="0"/>
              <w:rPr>
                <w:sz w:val="24"/>
                <w:szCs w:val="24"/>
                <w:color w:val="auto"/>
              </w:rPr>
            </w:pPr>
          </w:p>
        </w:tc>
        <w:tc>
          <w:tcPr>
            <w:tcW w:w="284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19" w:right="21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7"/>
          <w:szCs w:val="17"/>
          <w:color w:val="auto"/>
        </w:rPr>
        <w:t>Manpower Inc.</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Results of Operations</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 millions, except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right="760"/>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 Variance</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ind w:left="60"/>
              <w:spacing w:after="0" w:line="159"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228"/>
              <w:spacing w:after="0" w:line="159" w:lineRule="exact"/>
              <w:rPr>
                <w:sz w:val="20"/>
                <w:szCs w:val="20"/>
                <w:color w:val="auto"/>
              </w:rPr>
            </w:pPr>
            <w:r>
              <w:rPr>
                <w:rFonts w:ascii="Arial" w:cs="Arial" w:eastAsia="Arial" w:hAnsi="Arial"/>
                <w:sz w:val="14"/>
                <w:szCs w:val="14"/>
                <w:b w:val="1"/>
                <w:bCs w:val="1"/>
                <w:color w:val="auto"/>
                <w:w w:val="92"/>
              </w:rPr>
              <w:t>Constant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Reported</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center"/>
              <w:ind w:left="548"/>
              <w:spacing w:after="0"/>
              <w:rPr>
                <w:sz w:val="20"/>
                <w:szCs w:val="20"/>
                <w:color w:val="auto"/>
              </w:rPr>
            </w:pPr>
            <w:r>
              <w:rPr>
                <w:rFonts w:ascii="Arial" w:cs="Arial" w:eastAsia="Arial" w:hAnsi="Arial"/>
                <w:sz w:val="14"/>
                <w:szCs w:val="14"/>
                <w:color w:val="auto"/>
                <w:w w:val="95"/>
              </w:rPr>
              <w:t>(Unaudited)</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 (a) (c)</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16,038.7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21,537.1</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-25.5%</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Cost of services</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13,220.5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17,450.2</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-24.2%</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Gross profit</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2,818.2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4,086.9</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-31.0%</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Selling and administrative expenses</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2,715.5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3,430.3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-20.8%</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Goodwill and intangible asset impairment charges (b)</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163.1</w:t>
            </w:r>
          </w:p>
        </w:tc>
        <w:tc>
          <w:tcPr>
            <w:tcW w:w="2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520"/>
              <w:spacing w:after="0"/>
              <w:rPr>
                <w:sz w:val="20"/>
                <w:szCs w:val="20"/>
                <w:color w:val="auto"/>
              </w:rPr>
            </w:pPr>
            <w:r>
              <w:rPr>
                <w:rFonts w:ascii="Arial" w:cs="Arial" w:eastAsia="Arial" w:hAnsi="Arial"/>
                <w:sz w:val="14"/>
                <w:szCs w:val="14"/>
                <w:color w:val="auto"/>
              </w:rPr>
              <w:t>Selling and administrative expenses</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2,776.5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3,593.4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-22.7%</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Operating profit</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493.5</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-91.5%</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Interest and other expenses</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50.9</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26.9%</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(Loss) earnings before income taxes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442.6</w:t>
            </w:r>
          </w:p>
        </w:tc>
        <w:tc>
          <w:tcPr>
            <w:tcW w:w="2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6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237.1</w:t>
            </w:r>
          </w:p>
        </w:tc>
        <w:tc>
          <w:tcPr>
            <w:tcW w:w="260" w:type="dxa"/>
            <w:vAlign w:val="bottom"/>
          </w:tcPr>
          <w:p>
            <w:pPr>
              <w:spacing w:after="0"/>
              <w:rPr>
                <w:sz w:val="15"/>
                <w:szCs w:val="15"/>
                <w:color w:val="auto"/>
              </w:rPr>
            </w:pPr>
          </w:p>
        </w:tc>
        <w:tc>
          <w:tcPr>
            <w:tcW w:w="1380" w:type="dxa"/>
            <w:vAlign w:val="bottom"/>
            <w:gridSpan w:val="3"/>
          </w:tcPr>
          <w:p>
            <w:pPr>
              <w:ind w:left="640"/>
              <w:spacing w:after="0"/>
              <w:rPr>
                <w:sz w:val="20"/>
                <w:szCs w:val="20"/>
                <w:color w:val="auto"/>
              </w:rPr>
            </w:pPr>
            <w:r>
              <w:rPr>
                <w:rFonts w:ascii="Arial" w:cs="Arial" w:eastAsia="Arial" w:hAnsi="Arial"/>
                <w:sz w:val="14"/>
                <w:szCs w:val="14"/>
                <w:color w:val="auto"/>
              </w:rPr>
              <w:t>N/A</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(loss) earnings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205.5</w:t>
            </w:r>
          </w:p>
        </w:tc>
        <w:tc>
          <w:tcPr>
            <w:tcW w:w="26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060" w:type="dxa"/>
            <w:vAlign w:val="bottom"/>
          </w:tcPr>
          <w:p>
            <w:pPr>
              <w:spacing w:after="0" w:line="157" w:lineRule="exact"/>
              <w:rPr>
                <w:sz w:val="20"/>
                <w:szCs w:val="20"/>
                <w:color w:val="auto"/>
              </w:rPr>
            </w:pPr>
            <w:r>
              <w:rPr>
                <w:rFonts w:ascii="Arial" w:cs="Arial" w:eastAsia="Arial" w:hAnsi="Arial"/>
                <w:sz w:val="14"/>
                <w:szCs w:val="14"/>
                <w:color w:val="auto"/>
              </w:rPr>
              <w:t>Net (loss) earnings per share - basic</w:t>
            </w:r>
          </w:p>
        </w:tc>
        <w:tc>
          <w:tcPr>
            <w:tcW w:w="260" w:type="dxa"/>
            <w:vAlign w:val="bottom"/>
          </w:tcPr>
          <w:p>
            <w:pPr>
              <w:jc w:val="right"/>
              <w:ind w:right="108"/>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(0.12)</w:t>
            </w:r>
          </w:p>
        </w:tc>
        <w:tc>
          <w:tcPr>
            <w:tcW w:w="3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2.61</w:t>
            </w:r>
          </w:p>
        </w:tc>
        <w:tc>
          <w:tcPr>
            <w:tcW w:w="260" w:type="dxa"/>
            <w:vAlign w:val="bottom"/>
          </w:tcPr>
          <w:p>
            <w:pPr>
              <w:spacing w:after="0"/>
              <w:rPr>
                <w:sz w:val="13"/>
                <w:szCs w:val="13"/>
                <w:color w:val="auto"/>
              </w:rPr>
            </w:pPr>
          </w:p>
        </w:tc>
        <w:tc>
          <w:tcPr>
            <w:tcW w:w="1380" w:type="dxa"/>
            <w:vAlign w:val="bottom"/>
            <w:gridSpan w:val="3"/>
          </w:tcPr>
          <w:p>
            <w:pPr>
              <w:ind w:left="640"/>
              <w:spacing w:after="0" w:line="157" w:lineRule="exact"/>
              <w:rPr>
                <w:sz w:val="20"/>
                <w:szCs w:val="20"/>
                <w:color w:val="auto"/>
              </w:rPr>
            </w:pPr>
            <w:r>
              <w:rPr>
                <w:rFonts w:ascii="Arial" w:cs="Arial" w:eastAsia="Arial" w:hAnsi="Arial"/>
                <w:sz w:val="14"/>
                <w:szCs w:val="14"/>
                <w:color w:val="auto"/>
              </w:rPr>
              <w:t>N/A</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(loss) earnings per share - diluted</w:t>
            </w:r>
          </w:p>
        </w:tc>
        <w:tc>
          <w:tcPr>
            <w:tcW w:w="26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(0.12)</w:t>
            </w:r>
          </w:p>
        </w:tc>
        <w:tc>
          <w:tcPr>
            <w:tcW w:w="3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2.58</w:t>
            </w:r>
          </w:p>
        </w:tc>
        <w:tc>
          <w:tcPr>
            <w:tcW w:w="2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640"/>
              <w:spacing w:after="0" w:line="157"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060" w:type="dxa"/>
            <w:vAlign w:val="bottom"/>
          </w:tcPr>
          <w:p>
            <w:pPr>
              <w:spacing w:after="0" w:line="157" w:lineRule="exact"/>
              <w:rPr>
                <w:sz w:val="20"/>
                <w:szCs w:val="20"/>
                <w:color w:val="auto"/>
              </w:rPr>
            </w:pPr>
            <w:r>
              <w:rPr>
                <w:rFonts w:ascii="Arial" w:cs="Arial" w:eastAsia="Arial" w:hAnsi="Arial"/>
                <w:sz w:val="14"/>
                <w:szCs w:val="14"/>
                <w:color w:val="auto"/>
              </w:rPr>
              <w:t>Weighted average shares - basic</w:t>
            </w:r>
          </w:p>
        </w:tc>
        <w:tc>
          <w:tcPr>
            <w:tcW w:w="260" w:type="dxa"/>
            <w:vAlign w:val="bottom"/>
          </w:tcPr>
          <w:p>
            <w:pPr>
              <w:spacing w:after="0"/>
              <w:rPr>
                <w:sz w:val="13"/>
                <w:szCs w:val="13"/>
                <w:color w:val="auto"/>
              </w:rPr>
            </w:pPr>
          </w:p>
        </w:tc>
        <w:tc>
          <w:tcPr>
            <w:tcW w:w="10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78.3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78.7</w:t>
            </w:r>
          </w:p>
        </w:tc>
        <w:tc>
          <w:tcPr>
            <w:tcW w:w="260" w:type="dxa"/>
            <w:vAlign w:val="bottom"/>
          </w:tcPr>
          <w:p>
            <w:pPr>
              <w:spacing w:after="0"/>
              <w:rPr>
                <w:sz w:val="13"/>
                <w:szCs w:val="13"/>
                <w:color w:val="auto"/>
              </w:rPr>
            </w:pPr>
          </w:p>
        </w:tc>
        <w:tc>
          <w:tcPr>
            <w:tcW w:w="11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-0.5%</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Weighted average shares - diluted</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79.7</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-1.7%</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480" w:firstLine="7"/>
        <w:spacing w:after="0" w:line="333" w:lineRule="auto"/>
        <w:tabs>
          <w:tab w:leader="none" w:pos="197" w:val="left"/>
        </w:tabs>
        <w:numPr>
          <w:ilvl w:val="0"/>
          <w:numId w:val="3"/>
        </w:numPr>
        <w:rPr>
          <w:rFonts w:ascii="Arial" w:cs="Arial" w:eastAsia="Arial" w:hAnsi="Arial"/>
          <w:sz w:val="13"/>
          <w:szCs w:val="13"/>
          <w:color w:val="auto"/>
        </w:rPr>
      </w:pPr>
      <w:r>
        <w:rPr>
          <w:rFonts w:ascii="Arial" w:cs="Arial" w:eastAsia="Arial" w:hAnsi="Arial"/>
          <w:sz w:val="13"/>
          <w:szCs w:val="13"/>
          <w:color w:val="auto"/>
        </w:rPr>
        <w:t>Revenues from services include fees received from our franchise offices of $22.3 million and $30.9 million for the years ended December 31, 2009 and 2008, respectively. These fees are primarily based on revenues generated by the franchise offices, which were $746.7 million and $1,148.1 million for the years ended December 31, 2009 and 2008, respectively.</w:t>
      </w:r>
    </w:p>
    <w:p>
      <w:pPr>
        <w:spacing w:after="0" w:line="107" w:lineRule="exact"/>
        <w:rPr>
          <w:rFonts w:ascii="Arial" w:cs="Arial" w:eastAsia="Arial" w:hAnsi="Arial"/>
          <w:sz w:val="13"/>
          <w:szCs w:val="13"/>
          <w:color w:val="auto"/>
        </w:rPr>
      </w:pPr>
    </w:p>
    <w:p>
      <w:pPr>
        <w:ind w:right="300" w:firstLine="7"/>
        <w:spacing w:after="0" w:line="275" w:lineRule="auto"/>
        <w:tabs>
          <w:tab w:leader="none" w:pos="203"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goodwill impairment charge for the year ended December 31, 2009 relates to our investment in Jefferson Wells. The goodwill and intangible asset impairment charge for the year ended December 31, 2008 relates to our investment in Right Management. The impact on net earnings is $61.0 million and $154.6 million, or $0.78 and $1.94 per diluted share, for the years ended December 31, 2009 and 2008, respectively.</w:t>
      </w:r>
    </w:p>
    <w:p>
      <w:pPr>
        <w:spacing w:after="0" w:line="142" w:lineRule="exact"/>
        <w:rPr>
          <w:rFonts w:ascii="Arial" w:cs="Arial" w:eastAsia="Arial" w:hAnsi="Arial"/>
          <w:sz w:val="14"/>
          <w:szCs w:val="14"/>
          <w:color w:val="auto"/>
        </w:rPr>
      </w:pPr>
    </w:p>
    <w:p>
      <w:pPr>
        <w:ind w:right="180" w:firstLine="7"/>
        <w:spacing w:after="0" w:line="266" w:lineRule="auto"/>
        <w:tabs>
          <w:tab w:leader="none" w:pos="197" w:val="left"/>
        </w:tabs>
        <w:numPr>
          <w:ilvl w:val="0"/>
          <w:numId w:val="3"/>
        </w:numPr>
        <w:rPr>
          <w:rFonts w:ascii="Arial" w:cs="Arial" w:eastAsia="Arial" w:hAnsi="Arial"/>
          <w:sz w:val="14"/>
          <w:szCs w:val="14"/>
          <w:color w:val="auto"/>
        </w:rPr>
      </w:pPr>
      <w:r>
        <w:rPr>
          <w:rFonts w:ascii="Arial" w:cs="Arial" w:eastAsia="Arial" w:hAnsi="Arial"/>
          <w:sz w:val="14"/>
          <w:szCs w:val="14"/>
          <w:color w:val="auto"/>
        </w:rPr>
        <w:t>During the fourth quarter of 2009, we determined that our Other EMEA reportable segment prematurely recognized revenues related to a workforce solutions contract. These revenues were recorded on a cash-basis rather than being deferred and earned over the four-year performance period following the month the services were performed. Accordingly, we have restated our annual and quarterly financial results for 2007, 2008, and the nine months ended September 30, 2009. The impact was a $15.7 million reduction of revenues and operating profit and a $0.17 reduction in net earnings per diluted share for the year ended 2008. The impact was a $9.7 million reduction of revenues and operating profit and a $0.12 reduction in net earnings per diluted share for the nine months ended 2009. This restatement has no impact on cash flows and only impacts the timing of when revenues are earned, as total revenues for the contract are expected to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727900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11460"/>
          </w:cols>
          <w:pgMar w:left="220" w:top="319" w:right="21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7"/>
          <w:szCs w:val="17"/>
          <w:color w:val="auto"/>
        </w:rPr>
        <w:t>Manpower Inc.</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Operating Unit Results</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right="760"/>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 Variance</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ind w:left="60"/>
              <w:spacing w:after="0" w:line="159"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228"/>
              <w:spacing w:after="0" w:line="159" w:lineRule="exact"/>
              <w:rPr>
                <w:sz w:val="20"/>
                <w:szCs w:val="20"/>
                <w:color w:val="auto"/>
              </w:rPr>
            </w:pPr>
            <w:r>
              <w:rPr>
                <w:rFonts w:ascii="Arial" w:cs="Arial" w:eastAsia="Arial" w:hAnsi="Arial"/>
                <w:sz w:val="14"/>
                <w:szCs w:val="14"/>
                <w:b w:val="1"/>
                <w:bCs w:val="1"/>
                <w:color w:val="auto"/>
                <w:w w:val="92"/>
              </w:rPr>
              <w:t>Constant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Reported</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center"/>
              <w:ind w:left="548"/>
              <w:spacing w:after="0"/>
              <w:rPr>
                <w:sz w:val="20"/>
                <w:szCs w:val="20"/>
                <w:color w:val="auto"/>
              </w:rPr>
            </w:pPr>
            <w:r>
              <w:rPr>
                <w:rFonts w:ascii="Arial" w:cs="Arial" w:eastAsia="Arial" w:hAnsi="Arial"/>
                <w:sz w:val="14"/>
                <w:szCs w:val="14"/>
                <w:color w:val="auto"/>
                <w:w w:val="95"/>
              </w:rPr>
              <w:t>(Unaudited)</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 (a)</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Americas: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United States (c)</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1,593.7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1,945.4</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-18.1%</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Other Americas</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967.3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1,129.8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-14.4%</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2,561.0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3,075.2</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France</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4,675.5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6,935.6</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-32.6%</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EMEA:</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Italy</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950.8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1,519.5</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-37.4%</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Other EMEA (b)</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5,371.7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7,422.0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-27.6%</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6,322.5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8,941.5</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-29.3%</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1,728.0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1,841.6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-6.2%</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Right Management</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452.2</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23.7%</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Jefferson Wells</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192.3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291.0</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-33.9%</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16,038.7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21,537.1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Operating Unit (Loss) Profit: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Americas: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United States (c)</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32.2</w:t>
            </w:r>
          </w:p>
        </w:tc>
        <w:tc>
          <w:tcPr>
            <w:tcW w:w="2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Other Americas</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25.9</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-22.4%</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58.1</w:t>
            </w:r>
          </w:p>
        </w:tc>
        <w:tc>
          <w:tcPr>
            <w:tcW w:w="2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France</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299.0</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-93.0%</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EMEA:</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Italy</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120.3</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-76.8%</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Other EMEA (b)</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233.8</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-87.4%</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354.1</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-83.8%</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29.2</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-9.3%</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Right Management</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44.7</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153.6%</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60"/>
              <w:spacing w:after="0"/>
              <w:rPr>
                <w:sz w:val="20"/>
                <w:szCs w:val="20"/>
                <w:color w:val="auto"/>
              </w:rPr>
            </w:pPr>
            <w:r>
              <w:rPr>
                <w:rFonts w:ascii="Arial" w:cs="Arial" w:eastAsia="Arial" w:hAnsi="Arial"/>
                <w:sz w:val="14"/>
                <w:szCs w:val="14"/>
                <w:color w:val="auto"/>
              </w:rPr>
              <w:t>Jefferson Wells</w:t>
            </w:r>
          </w:p>
        </w:tc>
        <w:tc>
          <w:tcPr>
            <w:tcW w:w="26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(19.6)</w:t>
            </w:r>
          </w:p>
        </w:tc>
        <w:tc>
          <w:tcPr>
            <w:tcW w:w="260" w:type="dxa"/>
            <w:vAlign w:val="bottom"/>
          </w:tcPr>
          <w:p>
            <w:pPr>
              <w:spacing w:after="0"/>
              <w:rPr>
                <w:sz w:val="15"/>
                <w:szCs w:val="15"/>
                <w:color w:val="auto"/>
              </w:rPr>
            </w:pPr>
          </w:p>
        </w:tc>
        <w:tc>
          <w:tcPr>
            <w:tcW w:w="1380" w:type="dxa"/>
            <w:vAlign w:val="bottom"/>
            <w:gridSpan w:val="3"/>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765.5</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Corporate expenses</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108.9</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Goodwill and intangible asset impairment charges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163.1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140"/>
              <w:spacing w:after="0"/>
              <w:rPr>
                <w:sz w:val="20"/>
                <w:szCs w:val="20"/>
                <w:color w:val="auto"/>
              </w:rPr>
            </w:pPr>
            <w:r>
              <w:rPr>
                <w:rFonts w:ascii="Arial" w:cs="Arial" w:eastAsia="Arial" w:hAnsi="Arial"/>
                <w:sz w:val="14"/>
                <w:szCs w:val="14"/>
                <w:color w:val="auto"/>
              </w:rPr>
              <w:t>Operating profit</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493.5</w:t>
            </w: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-91.5%</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Interest and other expenses (d)</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50.9</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140"/>
              <w:spacing w:after="0"/>
              <w:rPr>
                <w:sz w:val="20"/>
                <w:szCs w:val="20"/>
                <w:color w:val="auto"/>
              </w:rPr>
            </w:pPr>
            <w:r>
              <w:rPr>
                <w:rFonts w:ascii="Arial" w:cs="Arial" w:eastAsia="Arial" w:hAnsi="Arial"/>
                <w:sz w:val="14"/>
                <w:szCs w:val="14"/>
                <w:color w:val="auto"/>
              </w:rPr>
              <w:t>(Loss) earnings before income taxes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(22.9)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442.6</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40" w:firstLine="7"/>
        <w:spacing w:after="0" w:line="275" w:lineRule="auto"/>
        <w:tabs>
          <w:tab w:leader="none" w:pos="197"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segment reporting was realigned during the first quarter of 2009 due to a change in management structure. Other Americas and Asia Pacific, previously reported in Other Operations, are now separate reportable segments. The United States and Other Americas reportable segments are reported as Americas. The Italy and Other EMEA reportable segments are reported as EMEA. Historical amounts have been restated to conform to the current year presentation.</w:t>
      </w:r>
    </w:p>
    <w:p>
      <w:pPr>
        <w:spacing w:after="0" w:line="142" w:lineRule="exact"/>
        <w:rPr>
          <w:rFonts w:ascii="Arial" w:cs="Arial" w:eastAsia="Arial" w:hAnsi="Arial"/>
          <w:sz w:val="14"/>
          <w:szCs w:val="14"/>
          <w:color w:val="auto"/>
        </w:rPr>
      </w:pPr>
    </w:p>
    <w:p>
      <w:pPr>
        <w:ind w:right="180" w:firstLine="7"/>
        <w:spacing w:after="0" w:line="267" w:lineRule="auto"/>
        <w:tabs>
          <w:tab w:leader="none" w:pos="205"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the fourth quarter of 2009, we determined that our Other EMEA reportable segment prematurely recognized revenues related to a workforce solutions contract. These revenues were recorded on a cash-basis rather than being deferred and earned over the four-year performance period following the month the services were performed. Accordingly, we have restated our annual and quarterly financial results for 2007, 2008, and the nine months ended September 30, 2009. The impact was a $15.7 million reduction of revenues and operating unit profit for the year ended 2008. The impact was a $9.7 million reduction of revenues and operating unit profit for the nine months ended 2009. This restatement has no impact on cash flows and only impacts the timing of when revenues are earned, as total revenues for the contract are expected to remain unchanged.</w:t>
      </w:r>
    </w:p>
    <w:p>
      <w:pPr>
        <w:spacing w:after="0" w:line="148" w:lineRule="exact"/>
        <w:rPr>
          <w:rFonts w:ascii="Arial" w:cs="Arial" w:eastAsia="Arial" w:hAnsi="Arial"/>
          <w:sz w:val="14"/>
          <w:szCs w:val="14"/>
          <w:color w:val="auto"/>
        </w:rPr>
      </w:pPr>
    </w:p>
    <w:p>
      <w:pPr>
        <w:ind w:right="500" w:firstLine="7"/>
        <w:spacing w:after="0" w:line="275" w:lineRule="auto"/>
        <w:tabs>
          <w:tab w:leader="none" w:pos="19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United States, revenues from services include fees received from our franchise offices of $10.5 million and $17.7 million for the years ended December 31, 2009 and 2008, respectively. These fees are primarily based on revenues generated by the franchise offices, which were $459.3 million and $746.2 million for the years ended December 31, 2009 and 2008, respectively.</w:t>
      </w:r>
    </w:p>
    <w:p>
      <w:pPr>
        <w:spacing w:after="0" w:line="142" w:lineRule="exact"/>
        <w:rPr>
          <w:rFonts w:ascii="Arial" w:cs="Arial" w:eastAsia="Arial" w:hAnsi="Arial"/>
          <w:sz w:val="14"/>
          <w:szCs w:val="14"/>
          <w:color w:val="auto"/>
        </w:rPr>
      </w:pPr>
    </w:p>
    <w:p>
      <w:pPr>
        <w:ind w:left="240" w:hanging="233"/>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components of interest and other expenses were: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2008</w:t>
            </w:r>
          </w:p>
        </w:tc>
        <w:tc>
          <w:tcPr>
            <w:tcW w:w="2840" w:type="dxa"/>
            <w:vAlign w:val="bottom"/>
          </w:tcPr>
          <w:p>
            <w:pPr>
              <w:spacing w:after="0"/>
              <w:rPr>
                <w:sz w:val="15"/>
                <w:szCs w:val="15"/>
                <w:color w:val="auto"/>
              </w:rPr>
            </w:pPr>
          </w:p>
        </w:tc>
      </w:tr>
      <w:tr>
        <w:trPr>
          <w:trHeight w:val="174"/>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expense</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700" w:type="dxa"/>
            <w:vAlign w:val="bottom"/>
            <w:gridSpan w:val="2"/>
            <w:shd w:val="clear" w:color="auto" w:fill="CCEEFF"/>
          </w:tcPr>
          <w:p>
            <w:pPr>
              <w:jc w:val="right"/>
              <w:ind w:right="2840"/>
              <w:spacing w:after="0"/>
              <w:rPr>
                <w:sz w:val="20"/>
                <w:szCs w:val="20"/>
                <w:color w:val="auto"/>
              </w:rPr>
            </w:pPr>
            <w:r>
              <w:rPr>
                <w:rFonts w:ascii="Arial" w:cs="Arial" w:eastAsia="Arial" w:hAnsi="Arial"/>
                <w:sz w:val="14"/>
                <w:szCs w:val="14"/>
                <w:color w:val="auto"/>
              </w:rPr>
              <w:t>63.9</w:t>
            </w:r>
          </w:p>
        </w:tc>
      </w:tr>
      <w:tr>
        <w:trPr>
          <w:trHeight w:val="174"/>
        </w:trPr>
        <w:tc>
          <w:tcPr>
            <w:tcW w:w="6080" w:type="dxa"/>
            <w:vAlign w:val="bottom"/>
          </w:tcPr>
          <w:p>
            <w:pPr>
              <w:ind w:left="300"/>
              <w:spacing w:after="0"/>
              <w:rPr>
                <w:sz w:val="20"/>
                <w:szCs w:val="20"/>
                <w:color w:val="auto"/>
              </w:rPr>
            </w:pPr>
            <w:r>
              <w:rPr>
                <w:rFonts w:ascii="Arial" w:cs="Arial" w:eastAsia="Arial" w:hAnsi="Arial"/>
                <w:sz w:val="14"/>
                <w:szCs w:val="14"/>
                <w:color w:val="auto"/>
              </w:rPr>
              <w:t>Interest income</w:t>
            </w:r>
          </w:p>
        </w:tc>
        <w:tc>
          <w:tcPr>
            <w:tcW w:w="82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(11.7)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00" w:type="dxa"/>
            <w:vAlign w:val="bottom"/>
            <w:gridSpan w:val="2"/>
          </w:tcPr>
          <w:p>
            <w:pPr>
              <w:jc w:val="right"/>
              <w:ind w:right="2800"/>
              <w:spacing w:after="0"/>
              <w:rPr>
                <w:sz w:val="20"/>
                <w:szCs w:val="20"/>
                <w:color w:val="auto"/>
              </w:rPr>
            </w:pPr>
            <w:r>
              <w:rPr>
                <w:rFonts w:ascii="Arial" w:cs="Arial" w:eastAsia="Arial" w:hAnsi="Arial"/>
                <w:sz w:val="14"/>
                <w:szCs w:val="14"/>
                <w:color w:val="auto"/>
              </w:rPr>
              <w:t>(22.1)</w:t>
            </w:r>
          </w:p>
        </w:tc>
      </w:tr>
      <w:tr>
        <w:trPr>
          <w:trHeight w:val="174"/>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Foreign exchange loss (gain)</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jc w:val="right"/>
              <w:ind w:right="2800"/>
              <w:spacing w:after="0"/>
              <w:rPr>
                <w:sz w:val="20"/>
                <w:szCs w:val="20"/>
                <w:color w:val="auto"/>
              </w:rPr>
            </w:pPr>
            <w:r>
              <w:rPr>
                <w:rFonts w:ascii="Arial" w:cs="Arial" w:eastAsia="Arial" w:hAnsi="Arial"/>
                <w:sz w:val="14"/>
                <w:szCs w:val="14"/>
                <w:color w:val="auto"/>
              </w:rPr>
              <w:t>(2.9)</w:t>
            </w:r>
          </w:p>
        </w:tc>
      </w:tr>
      <w:tr>
        <w:trPr>
          <w:trHeight w:val="174"/>
        </w:trPr>
        <w:tc>
          <w:tcPr>
            <w:tcW w:w="6080" w:type="dxa"/>
            <w:vAlign w:val="bottom"/>
          </w:tcPr>
          <w:p>
            <w:pPr>
              <w:ind w:left="300"/>
              <w:spacing w:after="0"/>
              <w:rPr>
                <w:sz w:val="20"/>
                <w:szCs w:val="20"/>
                <w:color w:val="auto"/>
              </w:rPr>
            </w:pPr>
            <w:r>
              <w:rPr>
                <w:rFonts w:ascii="Arial" w:cs="Arial" w:eastAsia="Arial" w:hAnsi="Arial"/>
                <w:sz w:val="14"/>
                <w:szCs w:val="14"/>
                <w:color w:val="auto"/>
              </w:rPr>
              <w:t>Miscellaneous expenses, net</w:t>
            </w:r>
          </w:p>
        </w:tc>
        <w:tc>
          <w:tcPr>
            <w:tcW w:w="8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00" w:type="dxa"/>
            <w:vAlign w:val="bottom"/>
            <w:gridSpan w:val="2"/>
          </w:tcPr>
          <w:p>
            <w:pPr>
              <w:jc w:val="right"/>
              <w:ind w:right="2840"/>
              <w:spacing w:after="0"/>
              <w:rPr>
                <w:sz w:val="20"/>
                <w:szCs w:val="20"/>
                <w:color w:val="auto"/>
              </w:rPr>
            </w:pPr>
            <w:r>
              <w:rPr>
                <w:rFonts w:ascii="Arial" w:cs="Arial" w:eastAsia="Arial" w:hAnsi="Arial"/>
                <w:sz w:val="14"/>
                <w:szCs w:val="14"/>
                <w:color w:val="auto"/>
              </w:rPr>
              <w:t>12.0</w:t>
            </w:r>
          </w:p>
        </w:tc>
      </w:tr>
      <w:tr>
        <w:trPr>
          <w:trHeight w:val="176"/>
        </w:trPr>
        <w:tc>
          <w:tcPr>
            <w:tcW w:w="6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Loss from sale of an equity investment</w:t>
            </w:r>
          </w:p>
        </w:tc>
        <w:tc>
          <w:tcPr>
            <w:tcW w:w="8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40" w:type="dxa"/>
            <w:vAlign w:val="bottom"/>
            <w:tcBorders>
              <w:bottom w:val="single" w:sz="8" w:color="CCEEFF"/>
            </w:tcBorders>
            <w:shd w:val="clear" w:color="auto" w:fill="CCEEFF"/>
          </w:tcPr>
          <w:p>
            <w:pPr>
              <w:spacing w:after="0"/>
              <w:rPr>
                <w:sz w:val="15"/>
                <w:szCs w:val="15"/>
                <w:color w:val="auto"/>
              </w:rPr>
            </w:pPr>
          </w:p>
        </w:tc>
      </w:tr>
      <w:tr>
        <w:trPr>
          <w:trHeight w:val="174"/>
        </w:trPr>
        <w:tc>
          <w:tcPr>
            <w:tcW w:w="6080" w:type="dxa"/>
            <w:vAlign w:val="bottom"/>
          </w:tcPr>
          <w:p>
            <w:pPr>
              <w:spacing w:after="0"/>
              <w:rPr>
                <w:sz w:val="15"/>
                <w:szCs w:val="15"/>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64.6</w:t>
            </w:r>
          </w:p>
        </w:tc>
        <w:tc>
          <w:tcPr>
            <w:tcW w:w="1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700" w:type="dxa"/>
            <w:vAlign w:val="bottom"/>
            <w:gridSpan w:val="2"/>
          </w:tcPr>
          <w:p>
            <w:pPr>
              <w:jc w:val="right"/>
              <w:ind w:right="2840"/>
              <w:spacing w:after="0"/>
              <w:rPr>
                <w:sz w:val="20"/>
                <w:szCs w:val="20"/>
                <w:color w:val="auto"/>
              </w:rPr>
            </w:pPr>
            <w:r>
              <w:rPr>
                <w:rFonts w:ascii="Arial" w:cs="Arial" w:eastAsia="Arial" w:hAnsi="Arial"/>
                <w:sz w:val="14"/>
                <w:szCs w:val="14"/>
                <w:color w:val="auto"/>
              </w:rPr>
              <w:t>50.9</w:t>
            </w:r>
          </w:p>
        </w:tc>
      </w:tr>
      <w:tr>
        <w:trPr>
          <w:trHeight w:val="20"/>
        </w:trPr>
        <w:tc>
          <w:tcPr>
            <w:tcW w:w="6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73"/>
        </w:trPr>
        <w:tc>
          <w:tcPr>
            <w:tcW w:w="608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14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28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19" w:right="21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7"/>
          <w:szCs w:val="17"/>
          <w:color w:val="auto"/>
        </w:rPr>
        <w:t>Manpower Inc.</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Consolidated Balance Sheets</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 31</w:t>
            </w:r>
          </w:p>
        </w:tc>
        <w:tc>
          <w:tcPr>
            <w:tcW w:w="28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 31</w:t>
            </w:r>
          </w:p>
        </w:tc>
      </w:tr>
      <w:tr>
        <w:trPr>
          <w:trHeight w:val="190"/>
        </w:trPr>
        <w:tc>
          <w:tcPr>
            <w:tcW w:w="8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r>
      <w:tr>
        <w:trPr>
          <w:trHeight w:val="174"/>
        </w:trPr>
        <w:tc>
          <w:tcPr>
            <w:tcW w:w="8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4"/>
        </w:trPr>
        <w:tc>
          <w:tcPr>
            <w:tcW w:w="884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1,014.6</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874.0</w:t>
            </w:r>
          </w:p>
        </w:tc>
        <w:tc>
          <w:tcPr>
            <w:tcW w:w="100" w:type="dxa"/>
            <w:vAlign w:val="bottom"/>
            <w:shd w:val="clear" w:color="auto" w:fill="CCEEFF"/>
          </w:tcPr>
          <w:p>
            <w:pPr>
              <w:spacing w:after="0"/>
              <w:rPr>
                <w:sz w:val="15"/>
                <w:szCs w:val="15"/>
                <w:color w:val="auto"/>
              </w:rPr>
            </w:pPr>
          </w:p>
        </w:tc>
      </w:tr>
      <w:tr>
        <w:trPr>
          <w:trHeight w:val="174"/>
        </w:trPr>
        <w:tc>
          <w:tcPr>
            <w:tcW w:w="8840" w:type="dxa"/>
            <w:vAlign w:val="bottom"/>
          </w:tcPr>
          <w:p>
            <w:pPr>
              <w:ind w:left="54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3,070.8</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3,629.7</w:t>
            </w: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179.6</w:t>
            </w:r>
          </w:p>
        </w:tc>
        <w:tc>
          <w:tcPr>
            <w:tcW w:w="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119.9</w:t>
            </w:r>
          </w:p>
        </w:tc>
      </w:tr>
      <w:tr>
        <w:trPr>
          <w:trHeight w:val="176"/>
        </w:trPr>
        <w:tc>
          <w:tcPr>
            <w:tcW w:w="8840" w:type="dxa"/>
            <w:vAlign w:val="bottom"/>
          </w:tcPr>
          <w:p>
            <w:pPr>
              <w:ind w:left="540"/>
              <w:spacing w:after="0"/>
              <w:rPr>
                <w:sz w:val="20"/>
                <w:szCs w:val="20"/>
                <w:color w:val="auto"/>
              </w:rPr>
            </w:pPr>
            <w:r>
              <w:rPr>
                <w:rFonts w:ascii="Arial" w:cs="Arial" w:eastAsia="Arial" w:hAnsi="Arial"/>
                <w:sz w:val="14"/>
                <w:szCs w:val="14"/>
                <w:color w:val="auto"/>
              </w:rPr>
              <w:t>Future income tax benefits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4,332.4</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4,690.1</w:t>
            </w:r>
          </w:p>
        </w:tc>
        <w:tc>
          <w:tcPr>
            <w:tcW w:w="100" w:type="dxa"/>
            <w:vAlign w:val="bottom"/>
            <w:shd w:val="clear" w:color="auto" w:fill="CCEEFF"/>
          </w:tcPr>
          <w:p>
            <w:pPr>
              <w:spacing w:after="0"/>
              <w:rPr>
                <w:sz w:val="15"/>
                <w:szCs w:val="15"/>
                <w:color w:val="auto"/>
              </w:rPr>
            </w:pPr>
          </w:p>
        </w:tc>
      </w:tr>
      <w:tr>
        <w:trPr>
          <w:trHeight w:val="174"/>
        </w:trPr>
        <w:tc>
          <w:tcPr>
            <w:tcW w:w="8840" w:type="dxa"/>
            <w:vAlign w:val="bottom"/>
          </w:tcPr>
          <w:p>
            <w:pPr>
              <w:spacing w:after="0"/>
              <w:rPr>
                <w:sz w:val="20"/>
                <w:szCs w:val="20"/>
                <w:color w:val="auto"/>
              </w:rPr>
            </w:pPr>
            <w:r>
              <w:rPr>
                <w:rFonts w:ascii="Arial" w:cs="Arial" w:eastAsia="Arial" w:hAnsi="Arial"/>
                <w:sz w:val="14"/>
                <w:szCs w:val="14"/>
                <w:b w:val="1"/>
                <w:bCs w:val="1"/>
                <w:color w:val="auto"/>
              </w:rPr>
              <w:t>Other assets: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Goodwill and other intangible assets, net</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1,357.5</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1,388.1</w:t>
            </w:r>
          </w:p>
        </w:tc>
        <w:tc>
          <w:tcPr>
            <w:tcW w:w="100" w:type="dxa"/>
            <w:vAlign w:val="bottom"/>
            <w:shd w:val="clear" w:color="auto" w:fill="CCEEFF"/>
          </w:tcPr>
          <w:p>
            <w:pPr>
              <w:spacing w:after="0"/>
              <w:rPr>
                <w:sz w:val="15"/>
                <w:szCs w:val="15"/>
                <w:color w:val="auto"/>
              </w:rPr>
            </w:pPr>
          </w:p>
        </w:tc>
      </w:tr>
      <w:tr>
        <w:trPr>
          <w:trHeight w:val="176"/>
        </w:trPr>
        <w:tc>
          <w:tcPr>
            <w:tcW w:w="8840" w:type="dxa"/>
            <w:vAlign w:val="bottom"/>
          </w:tcPr>
          <w:p>
            <w:pPr>
              <w:ind w:left="5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347.5</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330.6</w:t>
            </w: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Total other assets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1,705.0</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1,718.7</w:t>
            </w:r>
          </w:p>
        </w:tc>
        <w:tc>
          <w:tcPr>
            <w:tcW w:w="100" w:type="dxa"/>
            <w:vAlign w:val="bottom"/>
            <w:shd w:val="clear" w:color="auto" w:fill="CCEEFF"/>
          </w:tcPr>
          <w:p>
            <w:pPr>
              <w:spacing w:after="0"/>
              <w:rPr>
                <w:sz w:val="15"/>
                <w:szCs w:val="15"/>
                <w:color w:val="auto"/>
              </w:rPr>
            </w:pPr>
          </w:p>
        </w:tc>
      </w:tr>
      <w:tr>
        <w:trPr>
          <w:trHeight w:val="174"/>
        </w:trPr>
        <w:tc>
          <w:tcPr>
            <w:tcW w:w="8840" w:type="dxa"/>
            <w:vAlign w:val="bottom"/>
          </w:tcPr>
          <w:p>
            <w:pPr>
              <w:spacing w:after="0"/>
              <w:rPr>
                <w:sz w:val="20"/>
                <w:szCs w:val="20"/>
                <w:color w:val="auto"/>
              </w:rPr>
            </w:pPr>
            <w:r>
              <w:rPr>
                <w:rFonts w:ascii="Arial" w:cs="Arial" w:eastAsia="Arial" w:hAnsi="Arial"/>
                <w:sz w:val="14"/>
                <w:szCs w:val="14"/>
                <w:b w:val="1"/>
                <w:bCs w:val="1"/>
                <w:color w:val="auto"/>
              </w:rPr>
              <w:t>Property and equipment:</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Land, buildings, leasehold improvements and equipment</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703.6</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744.0</w:t>
            </w:r>
          </w:p>
        </w:tc>
        <w:tc>
          <w:tcPr>
            <w:tcW w:w="100" w:type="dxa"/>
            <w:vAlign w:val="bottom"/>
            <w:shd w:val="clear" w:color="auto" w:fill="CCEEFF"/>
          </w:tcPr>
          <w:p>
            <w:pPr>
              <w:spacing w:after="0"/>
              <w:rPr>
                <w:sz w:val="15"/>
                <w:szCs w:val="15"/>
                <w:color w:val="auto"/>
              </w:rPr>
            </w:pPr>
          </w:p>
        </w:tc>
      </w:tr>
      <w:tr>
        <w:trPr>
          <w:trHeight w:val="176"/>
        </w:trPr>
        <w:tc>
          <w:tcPr>
            <w:tcW w:w="8840" w:type="dxa"/>
            <w:vAlign w:val="bottom"/>
          </w:tcPr>
          <w:p>
            <w:pPr>
              <w:ind w:left="540"/>
              <w:spacing w:after="0"/>
              <w:rPr>
                <w:sz w:val="20"/>
                <w:szCs w:val="20"/>
                <w:color w:val="auto"/>
              </w:rPr>
            </w:pPr>
            <w:r>
              <w:rPr>
                <w:rFonts w:ascii="Arial" w:cs="Arial" w:eastAsia="Arial" w:hAnsi="Arial"/>
                <w:sz w:val="14"/>
                <w:szCs w:val="14"/>
                <w:color w:val="auto"/>
              </w:rPr>
              <w:t>Less: accumulated depreciation and amortization</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527.2</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530.6</w:t>
            </w:r>
          </w:p>
        </w:tc>
        <w:tc>
          <w:tcPr>
            <w:tcW w:w="100" w:type="dxa"/>
            <w:vAlign w:val="bottom"/>
          </w:tcPr>
          <w:p>
            <w:pPr>
              <w:spacing w:after="0"/>
              <w:rPr>
                <w:sz w:val="15"/>
                <w:szCs w:val="15"/>
                <w:color w:val="auto"/>
              </w:rPr>
            </w:pPr>
          </w:p>
        </w:tc>
      </w:tr>
      <w:tr>
        <w:trPr>
          <w:trHeight w:val="176"/>
        </w:trPr>
        <w:tc>
          <w:tcPr>
            <w:tcW w:w="88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color w:val="auto"/>
              </w:rPr>
              <w:t>Net property and equipment</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213.4</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4"/>
        </w:trPr>
        <w:tc>
          <w:tcPr>
            <w:tcW w:w="8840" w:type="dxa"/>
            <w:vAlign w:val="bottom"/>
          </w:tcPr>
          <w:p>
            <w:pPr>
              <w:ind w:left="1540"/>
              <w:spacing w:after="0"/>
              <w:rPr>
                <w:sz w:val="20"/>
                <w:szCs w:val="20"/>
                <w:color w:val="auto"/>
              </w:rPr>
            </w:pPr>
            <w:r>
              <w:rPr>
                <w:rFonts w:ascii="Arial" w:cs="Arial" w:eastAsia="Arial" w:hAnsi="Arial"/>
                <w:sz w:val="14"/>
                <w:szCs w:val="14"/>
                <w:color w:val="auto"/>
              </w:rPr>
              <w:t>Total assets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6,213.8</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6,622.2</w:t>
            </w:r>
          </w:p>
        </w:tc>
        <w:tc>
          <w:tcPr>
            <w:tcW w:w="100" w:type="dxa"/>
            <w:vAlign w:val="bottom"/>
          </w:tcPr>
          <w:p>
            <w:pPr>
              <w:spacing w:after="0"/>
              <w:rPr>
                <w:sz w:val="15"/>
                <w:szCs w:val="15"/>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8"/>
        </w:trPr>
        <w:tc>
          <w:tcPr>
            <w:tcW w:w="88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LIABILITIES AND SHAREHOLDERS' EQUITY</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4"/>
        </w:trPr>
        <w:tc>
          <w:tcPr>
            <w:tcW w:w="884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944.4</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896.3</w:t>
            </w:r>
          </w:p>
        </w:tc>
        <w:tc>
          <w:tcPr>
            <w:tcW w:w="100" w:type="dxa"/>
            <w:vAlign w:val="bottom"/>
            <w:shd w:val="clear" w:color="auto" w:fill="CCEEFF"/>
          </w:tcPr>
          <w:p>
            <w:pPr>
              <w:spacing w:after="0"/>
              <w:rPr>
                <w:sz w:val="15"/>
                <w:szCs w:val="15"/>
                <w:color w:val="auto"/>
              </w:rPr>
            </w:pPr>
          </w:p>
        </w:tc>
      </w:tr>
      <w:tr>
        <w:trPr>
          <w:trHeight w:val="174"/>
        </w:trPr>
        <w:tc>
          <w:tcPr>
            <w:tcW w:w="8840" w:type="dxa"/>
            <w:vAlign w:val="bottom"/>
          </w:tcPr>
          <w:p>
            <w:pPr>
              <w:ind w:left="540"/>
              <w:spacing w:after="0"/>
              <w:rPr>
                <w:sz w:val="20"/>
                <w:szCs w:val="20"/>
                <w:color w:val="auto"/>
              </w:rPr>
            </w:pPr>
            <w:r>
              <w:rPr>
                <w:rFonts w:ascii="Arial" w:cs="Arial" w:eastAsia="Arial" w:hAnsi="Arial"/>
                <w:sz w:val="14"/>
                <w:szCs w:val="14"/>
                <w:color w:val="auto"/>
              </w:rPr>
              <w:t>Employee compensation payable</w:t>
            </w: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187.8</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213.2</w:t>
            </w: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Accrued liabilities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465.9</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585.7</w:t>
            </w:r>
          </w:p>
        </w:tc>
        <w:tc>
          <w:tcPr>
            <w:tcW w:w="100" w:type="dxa"/>
            <w:vAlign w:val="bottom"/>
            <w:shd w:val="clear" w:color="auto" w:fill="CCEEFF"/>
          </w:tcPr>
          <w:p>
            <w:pPr>
              <w:spacing w:after="0"/>
              <w:rPr>
                <w:sz w:val="15"/>
                <w:szCs w:val="15"/>
                <w:color w:val="auto"/>
              </w:rPr>
            </w:pPr>
          </w:p>
        </w:tc>
      </w:tr>
      <w:tr>
        <w:trPr>
          <w:trHeight w:val="174"/>
        </w:trPr>
        <w:tc>
          <w:tcPr>
            <w:tcW w:w="8840" w:type="dxa"/>
            <w:vAlign w:val="bottom"/>
          </w:tcPr>
          <w:p>
            <w:pPr>
              <w:ind w:left="540"/>
              <w:spacing w:after="0"/>
              <w:rPr>
                <w:sz w:val="20"/>
                <w:szCs w:val="20"/>
                <w:color w:val="auto"/>
              </w:rPr>
            </w:pPr>
            <w:r>
              <w:rPr>
                <w:rFonts w:ascii="Arial" w:cs="Arial" w:eastAsia="Arial" w:hAnsi="Arial"/>
                <w:sz w:val="14"/>
                <w:szCs w:val="14"/>
                <w:color w:val="auto"/>
              </w:rPr>
              <w:t>Accrued payroll taxes and insurance</w:t>
            </w: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572.0</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617.5</w:t>
            </w: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Value added taxes payable</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391.2</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w:t>
            </w:r>
          </w:p>
        </w:tc>
        <w:tc>
          <w:tcPr>
            <w:tcW w:w="100" w:type="dxa"/>
            <w:vAlign w:val="bottom"/>
            <w:shd w:val="clear" w:color="auto" w:fill="CCEEFF"/>
          </w:tcPr>
          <w:p>
            <w:pPr>
              <w:spacing w:after="0"/>
              <w:rPr>
                <w:sz w:val="15"/>
                <w:szCs w:val="15"/>
                <w:color w:val="auto"/>
              </w:rPr>
            </w:pPr>
          </w:p>
        </w:tc>
      </w:tr>
      <w:tr>
        <w:trPr>
          <w:trHeight w:val="176"/>
        </w:trPr>
        <w:tc>
          <w:tcPr>
            <w:tcW w:w="8840" w:type="dxa"/>
            <w:vAlign w:val="bottom"/>
          </w:tcPr>
          <w:p>
            <w:pPr>
              <w:ind w:left="540"/>
              <w:spacing w:after="0"/>
              <w:rPr>
                <w:sz w:val="20"/>
                <w:szCs w:val="20"/>
                <w:color w:val="auto"/>
              </w:rPr>
            </w:pPr>
            <w:r>
              <w:rPr>
                <w:rFonts w:ascii="Arial" w:cs="Arial" w:eastAsia="Arial" w:hAnsi="Arial"/>
                <w:sz w:val="14"/>
                <w:szCs w:val="14"/>
                <w:color w:val="auto"/>
              </w:rPr>
              <w:t>Short-term borrowings and currentmaturities of long-term debt</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2,603.0</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2,907.5</w:t>
            </w:r>
          </w:p>
        </w:tc>
        <w:tc>
          <w:tcPr>
            <w:tcW w:w="100" w:type="dxa"/>
            <w:vAlign w:val="bottom"/>
            <w:shd w:val="clear" w:color="auto" w:fill="CCEEFF"/>
          </w:tcPr>
          <w:p>
            <w:pPr>
              <w:spacing w:after="0"/>
              <w:rPr>
                <w:sz w:val="15"/>
                <w:szCs w:val="15"/>
                <w:color w:val="auto"/>
              </w:rPr>
            </w:pPr>
          </w:p>
        </w:tc>
      </w:tr>
      <w:tr>
        <w:trPr>
          <w:trHeight w:val="174"/>
        </w:trPr>
        <w:tc>
          <w:tcPr>
            <w:tcW w:w="8840" w:type="dxa"/>
            <w:vAlign w:val="bottom"/>
          </w:tcPr>
          <w:p>
            <w:pPr>
              <w:spacing w:after="0"/>
              <w:rPr>
                <w:sz w:val="20"/>
                <w:szCs w:val="20"/>
                <w:color w:val="auto"/>
              </w:rPr>
            </w:pPr>
            <w:r>
              <w:rPr>
                <w:rFonts w:ascii="Arial" w:cs="Arial" w:eastAsia="Arial" w:hAnsi="Arial"/>
                <w:sz w:val="14"/>
                <w:szCs w:val="14"/>
                <w:b w:val="1"/>
                <w:bCs w:val="1"/>
                <w:color w:val="auto"/>
              </w:rPr>
              <w:t>Other liabilities: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Long-term debt</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715.6</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837.3</w:t>
            </w:r>
          </w:p>
        </w:tc>
        <w:tc>
          <w:tcPr>
            <w:tcW w:w="100" w:type="dxa"/>
            <w:vAlign w:val="bottom"/>
            <w:shd w:val="clear" w:color="auto" w:fill="CCEEFF"/>
          </w:tcPr>
          <w:p>
            <w:pPr>
              <w:spacing w:after="0"/>
              <w:rPr>
                <w:sz w:val="15"/>
                <w:szCs w:val="15"/>
                <w:color w:val="auto"/>
              </w:rPr>
            </w:pPr>
          </w:p>
        </w:tc>
      </w:tr>
      <w:tr>
        <w:trPr>
          <w:trHeight w:val="176"/>
        </w:trPr>
        <w:tc>
          <w:tcPr>
            <w:tcW w:w="8840" w:type="dxa"/>
            <w:vAlign w:val="bottom"/>
          </w:tcPr>
          <w:p>
            <w:pPr>
              <w:ind w:left="54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358.7</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418.0</w:t>
            </w: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Total other liabilities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1,074.3</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1,255.3</w:t>
            </w:r>
          </w:p>
        </w:tc>
        <w:tc>
          <w:tcPr>
            <w:tcW w:w="100" w:type="dxa"/>
            <w:vAlign w:val="bottom"/>
            <w:shd w:val="clear" w:color="auto" w:fill="CCEEFF"/>
          </w:tcPr>
          <w:p>
            <w:pPr>
              <w:spacing w:after="0"/>
              <w:rPr>
                <w:sz w:val="15"/>
                <w:szCs w:val="15"/>
                <w:color w:val="auto"/>
              </w:rPr>
            </w:pPr>
          </w:p>
        </w:tc>
      </w:tr>
      <w:tr>
        <w:trPr>
          <w:trHeight w:val="174"/>
        </w:trPr>
        <w:tc>
          <w:tcPr>
            <w:tcW w:w="8840" w:type="dxa"/>
            <w:vAlign w:val="bottom"/>
          </w:tcPr>
          <w:p>
            <w:pPr>
              <w:spacing w:after="0"/>
              <w:rPr>
                <w:sz w:val="20"/>
                <w:szCs w:val="20"/>
                <w:color w:val="auto"/>
              </w:rPr>
            </w:pPr>
            <w:r>
              <w:rPr>
                <w:rFonts w:ascii="Arial" w:cs="Arial" w:eastAsia="Arial" w:hAnsi="Arial"/>
                <w:sz w:val="14"/>
                <w:szCs w:val="14"/>
                <w:b w:val="1"/>
                <w:bCs w:val="1"/>
                <w:color w:val="auto"/>
              </w:rPr>
              <w:t>Shareholders' equity:</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Common stock</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r>
      <w:tr>
        <w:trPr>
          <w:trHeight w:val="174"/>
        </w:trPr>
        <w:tc>
          <w:tcPr>
            <w:tcW w:w="8840" w:type="dxa"/>
            <w:vAlign w:val="bottom"/>
          </w:tcPr>
          <w:p>
            <w:pPr>
              <w:ind w:left="540"/>
              <w:spacing w:after="0"/>
              <w:rPr>
                <w:sz w:val="20"/>
                <w:szCs w:val="20"/>
                <w:color w:val="auto"/>
              </w:rPr>
            </w:pPr>
            <w:r>
              <w:rPr>
                <w:rFonts w:ascii="Arial" w:cs="Arial" w:eastAsia="Arial" w:hAnsi="Arial"/>
                <w:sz w:val="14"/>
                <w:szCs w:val="14"/>
                <w:color w:val="auto"/>
              </w:rPr>
              <w:t>Capital in excess of par value</w:t>
            </w: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2,544.2</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2,514.8</w:t>
            </w:r>
          </w:p>
        </w:tc>
        <w:tc>
          <w:tcPr>
            <w:tcW w:w="100" w:type="dxa"/>
            <w:vAlign w:val="bottom"/>
          </w:tcPr>
          <w:p>
            <w:pPr>
              <w:spacing w:after="0"/>
              <w:rPr>
                <w:sz w:val="15"/>
                <w:szCs w:val="15"/>
                <w:color w:val="auto"/>
              </w:rPr>
            </w:pPr>
          </w:p>
        </w:tc>
      </w:tr>
      <w:tr>
        <w:trPr>
          <w:trHeight w:val="174"/>
        </w:trPr>
        <w:tc>
          <w:tcPr>
            <w:tcW w:w="8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Retained earnings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1,109.6</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1,176.8</w:t>
            </w:r>
          </w:p>
        </w:tc>
        <w:tc>
          <w:tcPr>
            <w:tcW w:w="100" w:type="dxa"/>
            <w:vAlign w:val="bottom"/>
            <w:shd w:val="clear" w:color="auto" w:fill="CCEEFF"/>
          </w:tcPr>
          <w:p>
            <w:pPr>
              <w:spacing w:after="0"/>
              <w:rPr>
                <w:sz w:val="15"/>
                <w:szCs w:val="15"/>
                <w:color w:val="auto"/>
              </w:rPr>
            </w:pPr>
          </w:p>
        </w:tc>
      </w:tr>
      <w:tr>
        <w:trPr>
          <w:trHeight w:val="174"/>
        </w:trPr>
        <w:tc>
          <w:tcPr>
            <w:tcW w:w="8840" w:type="dxa"/>
            <w:vAlign w:val="bottom"/>
          </w:tcPr>
          <w:p>
            <w:pPr>
              <w:ind w:left="54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106.9</w:t>
            </w:r>
          </w:p>
        </w:tc>
        <w:tc>
          <w:tcPr>
            <w:tcW w:w="28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(8.9)</w:t>
            </w:r>
          </w:p>
        </w:tc>
      </w:tr>
      <w:tr>
        <w:trPr>
          <w:trHeight w:val="176"/>
        </w:trPr>
        <w:tc>
          <w:tcPr>
            <w:tcW w:w="8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Treasury stock, at cost</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(1,225.2)</w:t>
            </w:r>
          </w:p>
        </w:tc>
        <w:tc>
          <w:tcPr>
            <w:tcW w:w="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(1,224.3)</w:t>
            </w:r>
          </w:p>
        </w:tc>
      </w:tr>
      <w:tr>
        <w:trPr>
          <w:trHeight w:val="176"/>
        </w:trPr>
        <w:tc>
          <w:tcPr>
            <w:tcW w:w="8840" w:type="dxa"/>
            <w:vAlign w:val="bottom"/>
            <w:tcBorders>
              <w:top w:val="single" w:sz="8" w:color="CCEEFF"/>
            </w:tcBorders>
          </w:tcPr>
          <w:p>
            <w:pPr>
              <w:ind w:left="1040"/>
              <w:spacing w:after="0"/>
              <w:rPr>
                <w:sz w:val="20"/>
                <w:szCs w:val="20"/>
                <w:color w:val="auto"/>
              </w:rPr>
            </w:pPr>
            <w:r>
              <w:rPr>
                <w:rFonts w:ascii="Arial" w:cs="Arial" w:eastAsia="Arial" w:hAnsi="Arial"/>
                <w:sz w:val="14"/>
                <w:szCs w:val="14"/>
                <w:color w:val="auto"/>
              </w:rPr>
              <w:t>Total shareholders' equity</w:t>
            </w: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2,536.5</w:t>
            </w:r>
          </w:p>
        </w:tc>
        <w:tc>
          <w:tcPr>
            <w:tcW w:w="220" w:type="dxa"/>
            <w:vAlign w:val="bottom"/>
            <w:tcBorders>
              <w:top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2,459.4</w:t>
            </w:r>
          </w:p>
        </w:tc>
        <w:tc>
          <w:tcPr>
            <w:tcW w:w="100" w:type="dxa"/>
            <w:vAlign w:val="bottom"/>
            <w:tcBorders>
              <w:top w:val="single" w:sz="8" w:color="CCEEFF"/>
            </w:tcBorders>
          </w:tcPr>
          <w:p>
            <w:pPr>
              <w:spacing w:after="0"/>
              <w:rPr>
                <w:sz w:val="15"/>
                <w:szCs w:val="15"/>
                <w:color w:val="auto"/>
              </w:rPr>
            </w:pPr>
          </w:p>
        </w:tc>
      </w:tr>
      <w:tr>
        <w:trPr>
          <w:trHeight w:val="214"/>
        </w:trPr>
        <w:tc>
          <w:tcPr>
            <w:tcW w:w="8840" w:type="dxa"/>
            <w:vAlign w:val="bottom"/>
            <w:shd w:val="clear" w:color="auto" w:fill="CCEEFF"/>
          </w:tcPr>
          <w:p>
            <w:pPr>
              <w:ind w:left="1540"/>
              <w:spacing w:after="0"/>
              <w:rPr>
                <w:sz w:val="20"/>
                <w:szCs w:val="20"/>
                <w:color w:val="auto"/>
              </w:rPr>
            </w:pPr>
            <w:r>
              <w:rPr>
                <w:rFonts w:ascii="Arial" w:cs="Arial" w:eastAsia="Arial" w:hAnsi="Arial"/>
                <w:sz w:val="14"/>
                <w:szCs w:val="14"/>
                <w:color w:val="auto"/>
              </w:rPr>
              <w:t>Total liabilities and shareholders' equity</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6,213.8</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6,622.2</w:t>
            </w:r>
          </w:p>
        </w:tc>
        <w:tc>
          <w:tcPr>
            <w:tcW w:w="100" w:type="dxa"/>
            <w:vAlign w:val="bottom"/>
            <w:shd w:val="clear" w:color="auto" w:fill="CCEEFF"/>
          </w:tcPr>
          <w:p>
            <w:pPr>
              <w:spacing w:after="0"/>
              <w:rPr>
                <w:sz w:val="18"/>
                <w:szCs w:val="18"/>
                <w:color w:val="auto"/>
              </w:rPr>
            </w:pPr>
          </w:p>
        </w:tc>
      </w:tr>
      <w:tr>
        <w:trPr>
          <w:trHeight w:val="468"/>
        </w:trPr>
        <w:tc>
          <w:tcPr>
            <w:tcW w:w="8840" w:type="dxa"/>
            <w:vAlign w:val="bottom"/>
            <w:tcBorders>
              <w:top w:val="single" w:sz="8" w:color="CCEEFF"/>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86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19" w:right="21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7"/>
          <w:szCs w:val="17"/>
          <w:color w:val="auto"/>
        </w:rPr>
        <w:t>Manpower Inc.</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Consolidated Statements of Cash Flows</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w w:val="89"/>
              </w:rPr>
              <w:t>Dec.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center"/>
              <w:ind w:left="448"/>
              <w:spacing w:after="0"/>
              <w:rPr>
                <w:sz w:val="20"/>
                <w:szCs w:val="20"/>
                <w:color w:val="auto"/>
              </w:rPr>
            </w:pPr>
            <w:r>
              <w:rPr>
                <w:rFonts w:ascii="Arial" w:cs="Arial" w:eastAsia="Arial" w:hAnsi="Arial"/>
                <w:sz w:val="14"/>
                <w:szCs w:val="14"/>
                <w:color w:val="auto"/>
                <w:w w:val="95"/>
              </w:rPr>
              <w:t>(Unaudited)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520"/>
              <w:spacing w:after="0"/>
              <w:rPr>
                <w:sz w:val="20"/>
                <w:szCs w:val="20"/>
                <w:color w:val="auto"/>
              </w:rPr>
            </w:pPr>
            <w:r>
              <w:rPr>
                <w:rFonts w:ascii="Arial" w:cs="Arial" w:eastAsia="Arial" w:hAnsi="Arial"/>
                <w:sz w:val="14"/>
                <w:szCs w:val="14"/>
                <w:color w:val="auto"/>
              </w:rPr>
              <w:t>Net (loss) earnings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(9.2)</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Adjustments to reconcile net (loss) earnings to net cash provided by operating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10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Non-cash goodwill and intangible asset impairment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102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(24.7)</w:t>
            </w:r>
          </w:p>
        </w:tc>
        <w:tc>
          <w:tcPr>
            <w:tcW w:w="3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Provision for doubtful accounts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1020"/>
              <w:spacing w:after="0"/>
              <w:rPr>
                <w:sz w:val="20"/>
                <w:szCs w:val="20"/>
                <w:color w:val="auto"/>
              </w:rPr>
            </w:pPr>
            <w:r>
              <w:rPr>
                <w:rFonts w:ascii="Arial" w:cs="Arial" w:eastAsia="Arial" w:hAnsi="Arial"/>
                <w:sz w:val="14"/>
                <w:szCs w:val="14"/>
                <w:color w:val="auto"/>
              </w:rPr>
              <w:t>Loss from sale of an equity investment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Share-based compensation</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1020"/>
              <w:spacing w:after="0"/>
              <w:rPr>
                <w:sz w:val="20"/>
                <w:szCs w:val="20"/>
                <w:color w:val="auto"/>
              </w:rPr>
            </w:pPr>
            <w:r>
              <w:rPr>
                <w:rFonts w:ascii="Arial" w:cs="Arial" w:eastAsia="Arial" w:hAnsi="Arial"/>
                <w:sz w:val="14"/>
                <w:szCs w:val="14"/>
                <w:color w:val="auto"/>
              </w:rPr>
              <w:t>Excess tax benefit on exercise of stock options</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(0.5)</w:t>
            </w:r>
          </w:p>
        </w:tc>
        <w:tc>
          <w:tcPr>
            <w:tcW w:w="3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Changes in operating assets and liabilities, excluding the impact of acquisitions: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102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663.6</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(71.5)</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20" w:type="dxa"/>
            <w:vAlign w:val="bottom"/>
          </w:tcPr>
          <w:p>
            <w:pPr>
              <w:ind w:left="1020"/>
              <w:spacing w:after="0"/>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(357.2)</w:t>
            </w:r>
          </w:p>
        </w:tc>
        <w:tc>
          <w:tcPr>
            <w:tcW w:w="3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(273.6)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Cash provided by operating activities</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2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(35.1)</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520"/>
              <w:spacing w:after="0"/>
              <w:rPr>
                <w:sz w:val="20"/>
                <w:szCs w:val="20"/>
                <w:color w:val="auto"/>
              </w:rPr>
            </w:pPr>
            <w:r>
              <w:rPr>
                <w:rFonts w:ascii="Arial" w:cs="Arial" w:eastAsia="Arial" w:hAnsi="Arial"/>
                <w:sz w:val="14"/>
                <w:szCs w:val="14"/>
                <w:color w:val="auto"/>
              </w:rPr>
              <w:t>Acquisitions of businesses, net of cash acquired</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(21.6)</w:t>
            </w:r>
          </w:p>
        </w:tc>
        <w:tc>
          <w:tcPr>
            <w:tcW w:w="3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(242.0)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the sale of an equity investment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20" w:type="dxa"/>
            <w:vAlign w:val="bottom"/>
          </w:tcPr>
          <w:p>
            <w:pPr>
              <w:ind w:left="520"/>
              <w:spacing w:after="0"/>
              <w:rPr>
                <w:sz w:val="20"/>
                <w:szCs w:val="20"/>
                <w:color w:val="auto"/>
              </w:rPr>
            </w:pPr>
            <w:r>
              <w:rPr>
                <w:rFonts w:ascii="Arial" w:cs="Arial" w:eastAsia="Arial" w:hAnsi="Arial"/>
                <w:sz w:val="14"/>
                <w:szCs w:val="14"/>
                <w:color w:val="auto"/>
              </w:rPr>
              <w:t>Proceeds from the sale of property and equipment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2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Cash used in investing activities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(39.8)</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(14.6)</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520"/>
              <w:spacing w:after="0"/>
              <w:rPr>
                <w:sz w:val="20"/>
                <w:szCs w:val="20"/>
                <w:color w:val="auto"/>
              </w:rPr>
            </w:pPr>
            <w:r>
              <w:rPr>
                <w:rFonts w:ascii="Arial" w:cs="Arial" w:eastAsia="Arial" w:hAnsi="Arial"/>
                <w:sz w:val="14"/>
                <w:szCs w:val="14"/>
                <w:color w:val="auto"/>
              </w:rPr>
              <w:t>Proceeds from long-term debt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146.5</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Repayments of long-term debt</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(359.3)</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520"/>
              <w:spacing w:after="0"/>
              <w:rPr>
                <w:sz w:val="20"/>
                <w:szCs w:val="20"/>
                <w:color w:val="auto"/>
              </w:rPr>
            </w:pPr>
            <w:r>
              <w:rPr>
                <w:rFonts w:ascii="Arial" w:cs="Arial" w:eastAsia="Arial" w:hAnsi="Arial"/>
                <w:sz w:val="14"/>
                <w:szCs w:val="14"/>
                <w:color w:val="auto"/>
              </w:rPr>
              <w:t>Proceeds from share-based awards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Excess tax benefit on exercise of stock options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520"/>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Dividends paid</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(58.0)</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1520"/>
              <w:spacing w:after="0"/>
              <w:rPr>
                <w:sz w:val="20"/>
                <w:szCs w:val="20"/>
                <w:color w:val="auto"/>
              </w:rPr>
            </w:pPr>
            <w:r>
              <w:rPr>
                <w:rFonts w:ascii="Arial" w:cs="Arial" w:eastAsia="Arial" w:hAnsi="Arial"/>
                <w:sz w:val="14"/>
                <w:szCs w:val="14"/>
                <w:color w:val="auto"/>
              </w:rPr>
              <w:t>Cash used in financing activities</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(270.7)</w:t>
            </w:r>
          </w:p>
        </w:tc>
        <w:tc>
          <w:tcPr>
            <w:tcW w:w="3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 on cash</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Change in cash and cash equivalents</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140.6</w:t>
            </w:r>
          </w:p>
        </w:tc>
        <w:tc>
          <w:tcPr>
            <w:tcW w:w="2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336.5</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874.0</w:t>
            </w:r>
          </w:p>
        </w:tc>
        <w:tc>
          <w:tcPr>
            <w:tcW w:w="2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1,014.6</w:t>
            </w:r>
          </w:p>
        </w:tc>
        <w:tc>
          <w:tcPr>
            <w:tcW w:w="22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20" w:top="319" w:right="219" w:bottom="1440" w:gutter="0" w:footer="0" w:header="0"/>
        </w:sectPr>
      </w:pPr>
    </w:p>
    <w:bookmarkStart w:id="11" w:name="page12"/>
    <w:bookmarkEnd w:id="11"/>
    <w:p>
      <w:pPr>
        <w:ind w:left="83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468630</wp:posOffset>
            </wp:positionH>
            <wp:positionV relativeFrom="page">
              <wp:posOffset>88900</wp:posOffset>
            </wp:positionV>
            <wp:extent cx="6630670" cy="4973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t>Exhibit</w:t>
      </w:r>
    </w:p>
    <w:p>
      <w:pPr>
        <w:spacing w:after="0" w:line="33" w:lineRule="exact"/>
        <w:rPr>
          <w:sz w:val="20"/>
          <w:szCs w:val="20"/>
          <w:color w:val="auto"/>
        </w:rPr>
      </w:pPr>
    </w:p>
    <w:p>
      <w:pPr>
        <w:ind w:left="8320"/>
        <w:spacing w:after="0"/>
        <w:rPr>
          <w:sz w:val="20"/>
          <w:szCs w:val="20"/>
          <w:color w:val="auto"/>
        </w:rPr>
      </w:pPr>
      <w:r>
        <w:rPr>
          <w:rFonts w:ascii="Arial" w:cs="Arial" w:eastAsia="Arial" w:hAnsi="Arial"/>
          <w:sz w:val="20"/>
          <w:szCs w:val="20"/>
          <w:b w:val="1"/>
          <w:bCs w:val="1"/>
          <w:color w:val="auto"/>
        </w:rPr>
        <w:t>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6060"/>
        <w:spacing w:after="0"/>
        <w:rPr>
          <w:sz w:val="20"/>
          <w:szCs w:val="20"/>
          <w:color w:val="auto"/>
        </w:rPr>
      </w:pPr>
      <w:r>
        <w:rPr>
          <w:rFonts w:ascii="Arial" w:cs="Arial" w:eastAsia="Arial" w:hAnsi="Arial"/>
          <w:sz w:val="25"/>
          <w:szCs w:val="25"/>
          <w:color w:val="5F81AA"/>
        </w:rPr>
        <w:t>MANPOWER INC.</w:t>
      </w:r>
    </w:p>
    <w:p>
      <w:pPr>
        <w:spacing w:after="0" w:line="30" w:lineRule="exact"/>
        <w:rPr>
          <w:sz w:val="20"/>
          <w:szCs w:val="20"/>
          <w:color w:val="auto"/>
        </w:rPr>
      </w:pPr>
    </w:p>
    <w:p>
      <w:pPr>
        <w:jc w:val="center"/>
        <w:ind w:left="6060"/>
        <w:spacing w:after="0"/>
        <w:rPr>
          <w:sz w:val="20"/>
          <w:szCs w:val="20"/>
          <w:color w:val="auto"/>
        </w:rPr>
      </w:pPr>
      <w:r>
        <w:rPr>
          <w:rFonts w:ascii="Arial" w:cs="Arial" w:eastAsia="Arial" w:hAnsi="Arial"/>
          <w:sz w:val="25"/>
          <w:szCs w:val="25"/>
          <w:color w:val="5F81AA"/>
        </w:rPr>
        <w:t>2009 4</w:t>
      </w:r>
      <w:r>
        <w:rPr>
          <w:rFonts w:ascii="Arial" w:cs="Arial" w:eastAsia="Arial" w:hAnsi="Arial"/>
          <w:sz w:val="34"/>
          <w:szCs w:val="34"/>
          <w:color w:val="5F81AA"/>
          <w:vertAlign w:val="superscript"/>
        </w:rPr>
        <w:t>th</w:t>
      </w:r>
      <w:r>
        <w:rPr>
          <w:rFonts w:ascii="Arial" w:cs="Arial" w:eastAsia="Arial" w:hAnsi="Arial"/>
          <w:sz w:val="25"/>
          <w:szCs w:val="25"/>
          <w:color w:val="5F81AA"/>
        </w:rPr>
        <w:t xml:space="preserve"> Quarter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00" w:right="219" w:hanging="571"/>
        <w:spacing w:after="0" w:line="342" w:lineRule="auto"/>
        <w:rPr>
          <w:sz w:val="20"/>
          <w:szCs w:val="20"/>
          <w:color w:val="auto"/>
        </w:rPr>
      </w:pPr>
      <w:r>
        <w:rPr>
          <w:rFonts w:ascii="Arial" w:cs="Arial" w:eastAsia="Arial" w:hAnsi="Arial"/>
          <w:sz w:val="35"/>
          <w:szCs w:val="35"/>
          <w:color w:val="FFFFFF"/>
        </w:rPr>
        <w:t xml:space="preserve">Helping </w:t>
      </w:r>
      <w:r>
        <w:rPr>
          <w:rFonts w:ascii="Arial" w:cs="Arial" w:eastAsia="Arial" w:hAnsi="Arial"/>
          <w:sz w:val="43"/>
          <w:szCs w:val="43"/>
          <w:color w:val="FFFFFF"/>
        </w:rPr>
        <w:t>Clients</w:t>
      </w:r>
      <w:r>
        <w:rPr>
          <w:rFonts w:ascii="Arial" w:cs="Arial" w:eastAsia="Arial" w:hAnsi="Arial"/>
          <w:sz w:val="35"/>
          <w:szCs w:val="35"/>
          <w:color w:val="FFFFFF"/>
        </w:rPr>
        <w:t xml:space="preserve"> and </w:t>
      </w:r>
      <w:r>
        <w:rPr>
          <w:rFonts w:ascii="Arial" w:cs="Arial" w:eastAsia="Arial" w:hAnsi="Arial"/>
          <w:sz w:val="43"/>
          <w:szCs w:val="43"/>
          <w:color w:val="FFFFFF"/>
        </w:rPr>
        <w:t>Candidates</w:t>
      </w:r>
      <w:r>
        <w:rPr>
          <w:rFonts w:ascii="Arial" w:cs="Arial" w:eastAsia="Arial" w:hAnsi="Arial"/>
          <w:sz w:val="35"/>
          <w:szCs w:val="35"/>
          <w:color w:val="FFFFFF"/>
        </w:rPr>
        <w:t xml:space="preserve"> </w:t>
      </w:r>
      <w:r>
        <w:rPr>
          <w:rFonts w:ascii="Arial" w:cs="Arial" w:eastAsia="Arial" w:hAnsi="Arial"/>
          <w:sz w:val="43"/>
          <w:szCs w:val="43"/>
          <w:color w:val="FFFFFF"/>
        </w:rPr>
        <w:t xml:space="preserve">Win </w:t>
      </w:r>
      <w:r>
        <w:rPr>
          <w:rFonts w:ascii="Arial" w:cs="Arial" w:eastAsia="Arial" w:hAnsi="Arial"/>
          <w:sz w:val="34"/>
          <w:szCs w:val="34"/>
          <w:color w:val="FFFFFF"/>
        </w:rPr>
        <w:t>for Over</w:t>
      </w:r>
      <w:r>
        <w:rPr>
          <w:rFonts w:ascii="Arial" w:cs="Arial" w:eastAsia="Arial" w:hAnsi="Arial"/>
          <w:sz w:val="43"/>
          <w:szCs w:val="43"/>
          <w:color w:val="FFFFFF"/>
        </w:rPr>
        <w:t xml:space="preserve"> Six Decades</w:t>
      </w:r>
    </w:p>
    <w:p>
      <w:pPr>
        <w:spacing w:after="0" w:line="221" w:lineRule="exact"/>
        <w:rPr>
          <w:sz w:val="20"/>
          <w:szCs w:val="20"/>
          <w:color w:val="auto"/>
        </w:rPr>
      </w:pPr>
    </w:p>
    <w:p>
      <w:pPr>
        <w:ind w:left="6620"/>
        <w:spacing w:after="0"/>
        <w:tabs>
          <w:tab w:leader="none" w:pos="7360" w:val="left"/>
        </w:tabs>
        <w:rPr>
          <w:sz w:val="20"/>
          <w:szCs w:val="20"/>
          <w:color w:val="auto"/>
        </w:rPr>
      </w:pPr>
      <w:r>
        <w:rPr>
          <w:rFonts w:ascii="Arial" w:cs="Arial" w:eastAsia="Arial" w:hAnsi="Arial"/>
          <w:sz w:val="25"/>
          <w:szCs w:val="25"/>
          <w:color w:val="auto"/>
        </w:rPr>
        <w:t>2010</w:t>
      </w:r>
      <w:r>
        <w:rPr>
          <w:sz w:val="20"/>
          <w:szCs w:val="20"/>
          <w:color w:val="auto"/>
        </w:rPr>
        <w:tab/>
      </w:r>
      <w:r>
        <w:rPr>
          <w:rFonts w:ascii="Arial" w:cs="Arial" w:eastAsia="Arial" w:hAnsi="Arial"/>
          <w:sz w:val="24"/>
          <w:szCs w:val="24"/>
          <w:color w:val="auto"/>
        </w:rPr>
        <w:t>February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1496695</wp:posOffset>
            </wp:positionV>
            <wp:extent cx="727900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019"/>
          </w:cols>
          <w:pgMar w:left="1440" w:top="313" w:right="1440" w:bottom="1440" w:gutter="0" w:footer="0" w:header="0"/>
        </w:sectPr>
      </w:pPr>
    </w:p>
    <w:bookmarkStart w:id="12" w:name="page13"/>
    <w:bookmarkEnd w:id="12"/>
    <w:tbl>
      <w:tblPr>
        <w:tblLayout w:type="fixed"/>
        <w:tblInd w:w="120" w:type="dxa"/>
        <w:tblCellMar>
          <w:top w:w="0" w:type="dxa"/>
          <w:left w:w="0" w:type="dxa"/>
          <w:bottom w:w="0" w:type="dxa"/>
          <w:right w:w="0" w:type="dxa"/>
        </w:tblCellMar>
      </w:tblPr>
      <w:tr>
        <w:trPr>
          <w:trHeight w:val="364"/>
        </w:trPr>
        <w:tc>
          <w:tcPr>
            <w:tcW w:w="630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40" w:type="dxa"/>
            <w:vAlign w:val="bottom"/>
          </w:tcPr>
          <w:p>
            <w:pPr>
              <w:jc w:val="right"/>
              <w:spacing w:after="0"/>
              <w:rPr>
                <w:sz w:val="20"/>
                <w:szCs w:val="20"/>
                <w:color w:val="auto"/>
              </w:rPr>
            </w:pPr>
            <w:r>
              <w:rPr>
                <w:rFonts w:ascii="Arial" w:cs="Arial" w:eastAsia="Arial" w:hAnsi="Arial"/>
                <w:sz w:val="20"/>
                <w:szCs w:val="20"/>
                <w:color w:val="FFFFFF"/>
              </w:rPr>
              <w:t>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38"/>
          <w:szCs w:val="38"/>
          <w:color w:val="6698C2"/>
        </w:rPr>
        <w:t>Forward-Looking Statement</w:t>
      </w:r>
    </w:p>
    <w:p>
      <w:pPr>
        <w:spacing w:after="0" w:line="199" w:lineRule="exact"/>
        <w:rPr>
          <w:sz w:val="20"/>
          <w:szCs w:val="20"/>
          <w:color w:val="auto"/>
        </w:rPr>
      </w:pPr>
    </w:p>
    <w:p>
      <w:pPr>
        <w:ind w:right="220"/>
        <w:spacing w:after="0" w:line="252" w:lineRule="auto"/>
        <w:rPr>
          <w:sz w:val="20"/>
          <w:szCs w:val="20"/>
          <w:color w:val="auto"/>
        </w:rPr>
      </w:pPr>
      <w:r>
        <w:rPr>
          <w:rFonts w:ascii="Arial" w:cs="Arial" w:eastAsia="Arial" w:hAnsi="Arial"/>
          <w:sz w:val="20"/>
          <w:szCs w:val="20"/>
          <w:color w:val="auto"/>
        </w:rPr>
        <w:t>This presentation includes forward-looking statements, including earnings projections and the timing, completion and results of the proposed transaction, which are subject to risks and uncertainties. Actual results might differ materially from those projected in the forward-looking statements. Additional information concerning factors that could cause actual results to materially differ from those in the forward-looking statements is contained in the Company’s Annual Report on Form 10-K dated December 31, 2008, which information is incorporated herein by reference, and such other factors as may be described from time to time in the Company’s SEC filings.</w:t>
      </w:r>
    </w:p>
    <w:p>
      <w:pPr>
        <w:spacing w:after="0" w:line="257"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 xml:space="preserve">This presentation was issued by Manpower Inc. on February 2, 2010 and does not constitute an offer of any securities for sale. The exchange offer described herein has not commenced. Manpower intends to commence an exchange offer and file a Schedule TO and a registration statement on Form S-4, and COMSYS IT Partners, Inc. intends to file a Solicitation/Recommendation Statement on Schedule 14D-9, with the Securities and Exchange Commission in connection with the transaction. Manpower and COMSYS expect to mail a Preliminary Prospectus, the Schedule 14D-9 and related exchange offer materials to stockholders of COMSYS. These documents, however, are not currently available. INVESTORS AND SECURITY HOLDERS ARE URGED TO READ THESE DOCUMENTS CAREFULLY WHEN THEY ARE AVAILABLE BECAUSE THEY CONTAIN IMPORTANT INFORMATION ABOUT MANPOWER, COMSYS AND THE TRANSACTION. Documents filed by Manpower with the SEC may be obtained without charge at the SEC's website at </w:t>
      </w:r>
      <w:r>
        <w:rPr>
          <w:rFonts w:ascii="Arial" w:cs="Arial" w:eastAsia="Arial" w:hAnsi="Arial"/>
          <w:sz w:val="20"/>
          <w:szCs w:val="20"/>
          <w:u w:val="single" w:color="auto"/>
          <w:color w:val="auto"/>
        </w:rPr>
        <w:t>www.sec.gov</w:t>
      </w:r>
      <w:r>
        <w:rPr>
          <w:rFonts w:ascii="Arial" w:cs="Arial" w:eastAsia="Arial" w:hAnsi="Arial"/>
          <w:sz w:val="20"/>
          <w:szCs w:val="20"/>
          <w:color w:val="auto"/>
        </w:rPr>
        <w:t xml:space="preserve"> and at Manpower's website at </w:t>
      </w:r>
      <w:r>
        <w:rPr>
          <w:rFonts w:ascii="Arial" w:cs="Arial" w:eastAsia="Arial" w:hAnsi="Arial"/>
          <w:sz w:val="20"/>
          <w:szCs w:val="20"/>
          <w:u w:val="single" w:color="auto"/>
          <w:color w:val="auto"/>
        </w:rPr>
        <w:t>www.manpower.com</w:t>
      </w:r>
      <w:r>
        <w:rPr>
          <w:rFonts w:ascii="Arial" w:cs="Arial" w:eastAsia="Arial" w:hAnsi="Arial"/>
          <w:sz w:val="20"/>
          <w:szCs w:val="20"/>
          <w:color w:val="auto"/>
        </w:rPr>
        <w:t xml:space="preserve">. Documents filed by COMSYS with the SEC may be obtained without charge at the SEC's website and at COMSYS' website at </w:t>
      </w:r>
      <w:r>
        <w:rPr>
          <w:rFonts w:ascii="Arial" w:cs="Arial" w:eastAsia="Arial" w:hAnsi="Arial"/>
          <w:sz w:val="20"/>
          <w:szCs w:val="20"/>
          <w:u w:val="single" w:color="auto"/>
          <w:color w:val="auto"/>
        </w:rPr>
        <w:t>www.comsys.com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774700</wp:posOffset>
            </wp:positionV>
            <wp:extent cx="727900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60"/>
          </w:cols>
          <w:pgMar w:left="1400" w:top="380" w:right="1239" w:bottom="1440" w:gutter="0" w:footer="0" w:header="0"/>
        </w:sectPr>
      </w:pPr>
    </w:p>
    <w:bookmarkStart w:id="13" w:name="page14"/>
    <w:bookmarkEnd w:id="13"/>
    <w:tbl>
      <w:tblPr>
        <w:tblLayout w:type="fixed"/>
        <w:tblInd w:w="189" w:type="dxa"/>
        <w:tblCellMar>
          <w:top w:w="0" w:type="dxa"/>
          <w:left w:w="0" w:type="dxa"/>
          <w:bottom w:w="0" w:type="dxa"/>
          <w:right w:w="0" w:type="dxa"/>
        </w:tblCellMar>
      </w:tblPr>
      <w:tr>
        <w:trPr>
          <w:trHeight w:val="364"/>
        </w:trPr>
        <w:tc>
          <w:tcPr>
            <w:tcW w:w="630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40" w:type="dxa"/>
            <w:vAlign w:val="bottom"/>
          </w:tcPr>
          <w:p>
            <w:pPr>
              <w:jc w:val="right"/>
              <w:spacing w:after="0"/>
              <w:rPr>
                <w:sz w:val="20"/>
                <w:szCs w:val="20"/>
                <w:color w:val="auto"/>
              </w:rPr>
            </w:pPr>
            <w:r>
              <w:rPr>
                <w:rFonts w:ascii="Arial" w:cs="Arial" w:eastAsia="Arial" w:hAnsi="Arial"/>
                <w:sz w:val="20"/>
                <w:szCs w:val="20"/>
                <w:color w:val="FFFFFF"/>
              </w:rPr>
              <w:t>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301" w:lineRule="exact"/>
        <w:rPr>
          <w:sz w:val="20"/>
          <w:szCs w:val="20"/>
          <w:color w:val="auto"/>
        </w:rPr>
      </w:pPr>
    </w:p>
    <w:p>
      <w:pPr>
        <w:ind w:left="189"/>
        <w:spacing w:after="0"/>
        <w:rPr>
          <w:sz w:val="20"/>
          <w:szCs w:val="20"/>
          <w:color w:val="auto"/>
        </w:rPr>
      </w:pPr>
      <w:r>
        <w:rPr>
          <w:rFonts w:ascii="Arial" w:cs="Arial" w:eastAsia="Arial" w:hAnsi="Arial"/>
          <w:sz w:val="44"/>
          <w:szCs w:val="44"/>
          <w:color w:val="6698C2"/>
        </w:rPr>
        <w:t>Consolidated Financial Highlights</w:t>
      </w:r>
    </w:p>
    <w:p>
      <w:pPr>
        <w:sectPr>
          <w:pgSz w:w="11900" w:h="16838" w:orient="portrait"/>
          <w:cols w:equalWidth="0" w:num="1">
            <w:col w:w="9329"/>
          </w:cols>
          <w:pgMar w:left="1331" w:top="380" w:right="1239" w:bottom="1440" w:gutter="0" w:footer="0" w:header="0"/>
        </w:sectPr>
      </w:pPr>
    </w:p>
    <w:p>
      <w:pPr>
        <w:spacing w:after="0" w:line="172" w:lineRule="exact"/>
        <w:rPr>
          <w:sz w:val="20"/>
          <w:szCs w:val="20"/>
          <w:color w:val="auto"/>
        </w:rPr>
      </w:pPr>
    </w:p>
    <w:tbl>
      <w:tblPr>
        <w:tblLayout w:type="fixed"/>
        <w:tblInd w:w="249" w:type="dxa"/>
        <w:tblCellMar>
          <w:top w:w="0" w:type="dxa"/>
          <w:left w:w="0" w:type="dxa"/>
          <w:bottom w:w="0" w:type="dxa"/>
          <w:right w:w="0" w:type="dxa"/>
        </w:tblCellMar>
      </w:tblPr>
      <w:tr>
        <w:trPr>
          <w:trHeight w:val="239"/>
        </w:trPr>
        <w:tc>
          <w:tcPr>
            <w:tcW w:w="164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Excluding</w:t>
            </w:r>
          </w:p>
        </w:tc>
      </w:tr>
      <w:tr>
        <w:trPr>
          <w:trHeight w:val="208"/>
        </w:trPr>
        <w:tc>
          <w:tcPr>
            <w:tcW w:w="1640" w:type="dxa"/>
            <w:vAlign w:val="bottom"/>
          </w:tcPr>
          <w:p>
            <w:pPr>
              <w:jc w:val="center"/>
              <w:ind w:right="260"/>
              <w:spacing w:after="0" w:line="207" w:lineRule="exact"/>
              <w:rPr>
                <w:sz w:val="20"/>
                <w:szCs w:val="20"/>
                <w:color w:val="auto"/>
              </w:rPr>
            </w:pPr>
            <w:r>
              <w:rPr>
                <w:rFonts w:ascii="Arial" w:cs="Arial" w:eastAsia="Arial" w:hAnsi="Arial"/>
                <w:sz w:val="20"/>
                <w:szCs w:val="20"/>
                <w:b w:val="1"/>
                <w:bCs w:val="1"/>
                <w:color w:val="auto"/>
              </w:rPr>
              <w:t>As</w:t>
            </w:r>
          </w:p>
        </w:tc>
        <w:tc>
          <w:tcPr>
            <w:tcW w:w="1640" w:type="dxa"/>
            <w:vAlign w:val="bottom"/>
          </w:tcPr>
          <w:p>
            <w:pPr>
              <w:jc w:val="center"/>
              <w:spacing w:after="0" w:line="207" w:lineRule="exact"/>
              <w:rPr>
                <w:sz w:val="20"/>
                <w:szCs w:val="20"/>
                <w:color w:val="auto"/>
              </w:rPr>
            </w:pPr>
            <w:r>
              <w:rPr>
                <w:rFonts w:ascii="Arial" w:cs="Arial" w:eastAsia="Arial" w:hAnsi="Arial"/>
                <w:sz w:val="20"/>
                <w:szCs w:val="20"/>
                <w:b w:val="1"/>
                <w:bCs w:val="1"/>
                <w:color w:val="auto"/>
              </w:rPr>
              <w:t>Non-recurring</w:t>
            </w:r>
          </w:p>
        </w:tc>
      </w:tr>
      <w:tr>
        <w:trPr>
          <w:trHeight w:val="429"/>
        </w:trPr>
        <w:tc>
          <w:tcPr>
            <w:tcW w:w="1640" w:type="dxa"/>
            <w:vAlign w:val="bottom"/>
          </w:tcPr>
          <w:p>
            <w:pPr>
              <w:jc w:val="center"/>
              <w:ind w:right="260"/>
              <w:spacing w:after="0"/>
              <w:rPr>
                <w:sz w:val="20"/>
                <w:szCs w:val="20"/>
                <w:color w:val="auto"/>
              </w:rPr>
            </w:pPr>
            <w:r>
              <w:rPr>
                <w:rFonts w:ascii="Arial" w:cs="Arial" w:eastAsia="Arial" w:hAnsi="Arial"/>
                <w:sz w:val="20"/>
                <w:szCs w:val="20"/>
                <w:b w:val="1"/>
                <w:bCs w:val="1"/>
                <w:color w:val="auto"/>
              </w:rPr>
              <w:t>Reported</w:t>
            </w:r>
          </w:p>
        </w:tc>
        <w:tc>
          <w:tcPr>
            <w:tcW w:w="1640" w:type="dxa"/>
            <w:vAlign w:val="bottom"/>
          </w:tcPr>
          <w:p>
            <w:pPr>
              <w:jc w:val="center"/>
              <w:ind w:left="106"/>
              <w:spacing w:after="0"/>
              <w:rPr>
                <w:sz w:val="20"/>
                <w:szCs w:val="20"/>
                <w:color w:val="auto"/>
              </w:rPr>
            </w:pPr>
            <w:r>
              <w:rPr>
                <w:rFonts w:ascii="Arial" w:cs="Arial" w:eastAsia="Arial" w:hAnsi="Arial"/>
                <w:sz w:val="20"/>
                <w:szCs w:val="20"/>
                <w:b w:val="1"/>
                <w:bCs w:val="1"/>
                <w:color w:val="auto"/>
                <w:w w:val="95"/>
              </w:rPr>
              <w:t>Items</w:t>
            </w:r>
            <w:r>
              <w:rPr>
                <w:rFonts w:ascii="Arial" w:cs="Arial" w:eastAsia="Arial" w:hAnsi="Arial"/>
                <w:sz w:val="31"/>
                <w:szCs w:val="31"/>
                <w:b w:val="1"/>
                <w:bCs w:val="1"/>
                <w:color w:val="6698C2"/>
                <w:w w:val="95"/>
                <w:vertAlign w:val="superscript"/>
              </w:rPr>
              <w:t>(1)</w:t>
            </w:r>
          </w:p>
        </w:tc>
      </w:tr>
      <w:tr>
        <w:trPr>
          <w:trHeight w:val="431"/>
        </w:trPr>
        <w:tc>
          <w:tcPr>
            <w:tcW w:w="1640" w:type="dxa"/>
            <w:vAlign w:val="bottom"/>
          </w:tcPr>
          <w:p>
            <w:pPr>
              <w:jc w:val="center"/>
              <w:ind w:right="20"/>
              <w:spacing w:after="0"/>
              <w:rPr>
                <w:sz w:val="20"/>
                <w:szCs w:val="20"/>
                <w:color w:val="auto"/>
              </w:rPr>
            </w:pPr>
            <w:r>
              <w:rPr>
                <w:rFonts w:ascii="Arial" w:cs="Arial" w:eastAsia="Arial" w:hAnsi="Arial"/>
                <w:sz w:val="35"/>
                <w:szCs w:val="35"/>
                <w:color w:val="auto"/>
                <w:w w:val="98"/>
              </w:rPr>
              <w:t>4%</w:t>
            </w:r>
          </w:p>
        </w:tc>
        <w:tc>
          <w:tcPr>
            <w:tcW w:w="1640" w:type="dxa"/>
            <w:vAlign w:val="bottom"/>
          </w:tcPr>
          <w:p>
            <w:pPr>
              <w:ind w:left="660"/>
              <w:spacing w:after="0"/>
              <w:rPr>
                <w:sz w:val="20"/>
                <w:szCs w:val="20"/>
                <w:color w:val="auto"/>
              </w:rPr>
            </w:pPr>
            <w:r>
              <w:rPr>
                <w:rFonts w:ascii="Arial" w:cs="Arial" w:eastAsia="Arial" w:hAnsi="Arial"/>
                <w:sz w:val="35"/>
                <w:szCs w:val="35"/>
                <w:color w:val="auto"/>
              </w:rPr>
              <w:t>4%</w:t>
            </w:r>
          </w:p>
        </w:tc>
      </w:tr>
      <w:tr>
        <w:trPr>
          <w:trHeight w:val="441"/>
        </w:trPr>
        <w:tc>
          <w:tcPr>
            <w:tcW w:w="1640" w:type="dxa"/>
            <w:vAlign w:val="bottom"/>
          </w:tcPr>
          <w:p>
            <w:pPr>
              <w:ind w:left="160"/>
              <w:spacing w:after="0"/>
              <w:rPr>
                <w:sz w:val="20"/>
                <w:szCs w:val="20"/>
                <w:color w:val="auto"/>
              </w:rPr>
            </w:pPr>
            <w:r>
              <w:rPr>
                <w:rFonts w:ascii="Arial" w:cs="Arial" w:eastAsia="Arial" w:hAnsi="Arial"/>
                <w:sz w:val="35"/>
                <w:szCs w:val="35"/>
                <w:color w:val="auto"/>
              </w:rPr>
              <w:t>12% CC</w:t>
            </w:r>
          </w:p>
        </w:tc>
        <w:tc>
          <w:tcPr>
            <w:tcW w:w="1640" w:type="dxa"/>
            <w:vAlign w:val="bottom"/>
          </w:tcPr>
          <w:p>
            <w:pPr>
              <w:jc w:val="center"/>
              <w:ind w:left="186"/>
              <w:spacing w:after="0"/>
              <w:rPr>
                <w:sz w:val="20"/>
                <w:szCs w:val="20"/>
                <w:color w:val="auto"/>
              </w:rPr>
            </w:pPr>
            <w:r>
              <w:rPr>
                <w:rFonts w:ascii="Arial" w:cs="Arial" w:eastAsia="Arial" w:hAnsi="Arial"/>
                <w:sz w:val="35"/>
                <w:szCs w:val="35"/>
                <w:color w:val="auto"/>
                <w:w w:val="99"/>
              </w:rPr>
              <w:t>12% CC</w:t>
            </w:r>
          </w:p>
        </w:tc>
      </w:tr>
      <w:tr>
        <w:trPr>
          <w:trHeight w:val="577"/>
        </w:trPr>
        <w:tc>
          <w:tcPr>
            <w:tcW w:w="1640" w:type="dxa"/>
            <w:vAlign w:val="bottom"/>
          </w:tcPr>
          <w:p>
            <w:pPr>
              <w:ind w:left="180"/>
              <w:spacing w:after="0"/>
              <w:rPr>
                <w:sz w:val="20"/>
                <w:szCs w:val="20"/>
                <w:color w:val="auto"/>
              </w:rPr>
            </w:pPr>
            <w:r>
              <w:rPr>
                <w:rFonts w:ascii="Arial" w:cs="Arial" w:eastAsia="Arial" w:hAnsi="Arial"/>
                <w:sz w:val="35"/>
                <w:szCs w:val="35"/>
                <w:color w:val="auto"/>
              </w:rPr>
              <w:t>360 bps</w:t>
            </w:r>
          </w:p>
        </w:tc>
        <w:tc>
          <w:tcPr>
            <w:tcW w:w="1640" w:type="dxa"/>
            <w:vAlign w:val="bottom"/>
          </w:tcPr>
          <w:p>
            <w:pPr>
              <w:jc w:val="center"/>
              <w:ind w:left="126"/>
              <w:spacing w:after="0"/>
              <w:rPr>
                <w:sz w:val="20"/>
                <w:szCs w:val="20"/>
                <w:color w:val="auto"/>
              </w:rPr>
            </w:pPr>
            <w:r>
              <w:rPr>
                <w:rFonts w:ascii="Arial" w:cs="Arial" w:eastAsia="Arial" w:hAnsi="Arial"/>
                <w:sz w:val="35"/>
                <w:szCs w:val="35"/>
                <w:color w:val="auto"/>
                <w:w w:val="99"/>
              </w:rPr>
              <w:t>220 bps</w:t>
            </w:r>
          </w:p>
        </w:tc>
      </w:tr>
      <w:tr>
        <w:trPr>
          <w:trHeight w:val="685"/>
        </w:trPr>
        <w:tc>
          <w:tcPr>
            <w:tcW w:w="1640" w:type="dxa"/>
            <w:vAlign w:val="bottom"/>
          </w:tcPr>
          <w:p>
            <w:pPr>
              <w:jc w:val="center"/>
              <w:ind w:right="140"/>
              <w:spacing w:after="0"/>
              <w:rPr>
                <w:sz w:val="20"/>
                <w:szCs w:val="20"/>
                <w:color w:val="auto"/>
              </w:rPr>
            </w:pPr>
            <w:r>
              <w:rPr>
                <w:rFonts w:ascii="Arial" w:cs="Arial" w:eastAsia="Arial" w:hAnsi="Arial"/>
                <w:sz w:val="35"/>
                <w:szCs w:val="35"/>
                <w:color w:val="auto"/>
                <w:w w:val="99"/>
              </w:rPr>
              <w:t>71%</w:t>
            </w:r>
          </w:p>
        </w:tc>
        <w:tc>
          <w:tcPr>
            <w:tcW w:w="1640" w:type="dxa"/>
            <w:vAlign w:val="bottom"/>
          </w:tcPr>
          <w:p>
            <w:pPr>
              <w:jc w:val="right"/>
              <w:ind w:right="106"/>
              <w:spacing w:after="0"/>
              <w:rPr>
                <w:sz w:val="20"/>
                <w:szCs w:val="20"/>
                <w:color w:val="auto"/>
              </w:rPr>
            </w:pPr>
            <w:r>
              <w:rPr>
                <w:rFonts w:ascii="Arial" w:cs="Arial" w:eastAsia="Arial" w:hAnsi="Arial"/>
                <w:sz w:val="35"/>
                <w:szCs w:val="35"/>
                <w:color w:val="auto"/>
              </w:rPr>
              <w:t>54%</w:t>
            </w:r>
          </w:p>
        </w:tc>
      </w:tr>
      <w:tr>
        <w:trPr>
          <w:trHeight w:val="424"/>
        </w:trPr>
        <w:tc>
          <w:tcPr>
            <w:tcW w:w="1640" w:type="dxa"/>
            <w:vAlign w:val="bottom"/>
          </w:tcPr>
          <w:p>
            <w:pPr>
              <w:jc w:val="center"/>
              <w:ind w:right="180"/>
              <w:spacing w:after="0"/>
              <w:rPr>
                <w:sz w:val="20"/>
                <w:szCs w:val="20"/>
                <w:color w:val="auto"/>
              </w:rPr>
            </w:pPr>
            <w:r>
              <w:rPr>
                <w:rFonts w:ascii="Arial" w:cs="Arial" w:eastAsia="Arial" w:hAnsi="Arial"/>
                <w:sz w:val="35"/>
                <w:szCs w:val="35"/>
                <w:color w:val="auto"/>
                <w:w w:val="99"/>
              </w:rPr>
              <w:t>75% CC</w:t>
            </w:r>
          </w:p>
        </w:tc>
        <w:tc>
          <w:tcPr>
            <w:tcW w:w="1640" w:type="dxa"/>
            <w:vAlign w:val="bottom"/>
          </w:tcPr>
          <w:p>
            <w:pPr>
              <w:jc w:val="center"/>
              <w:ind w:left="26"/>
              <w:spacing w:after="0"/>
              <w:rPr>
                <w:sz w:val="20"/>
                <w:szCs w:val="20"/>
                <w:color w:val="auto"/>
              </w:rPr>
            </w:pPr>
            <w:r>
              <w:rPr>
                <w:rFonts w:ascii="Arial" w:cs="Arial" w:eastAsia="Arial" w:hAnsi="Arial"/>
                <w:sz w:val="35"/>
                <w:szCs w:val="35"/>
                <w:color w:val="auto"/>
                <w:w w:val="99"/>
              </w:rPr>
              <w:t>60% CC</w:t>
            </w:r>
          </w:p>
        </w:tc>
      </w:tr>
      <w:tr>
        <w:trPr>
          <w:trHeight w:val="664"/>
        </w:trPr>
        <w:tc>
          <w:tcPr>
            <w:tcW w:w="1640" w:type="dxa"/>
            <w:vAlign w:val="bottom"/>
          </w:tcPr>
          <w:p>
            <w:pPr>
              <w:jc w:val="center"/>
              <w:ind w:right="40"/>
              <w:spacing w:after="0"/>
              <w:rPr>
                <w:sz w:val="20"/>
                <w:szCs w:val="20"/>
                <w:color w:val="auto"/>
              </w:rPr>
            </w:pPr>
            <w:r>
              <w:rPr>
                <w:rFonts w:ascii="Arial" w:cs="Arial" w:eastAsia="Arial" w:hAnsi="Arial"/>
                <w:sz w:val="35"/>
                <w:szCs w:val="35"/>
                <w:color w:val="auto"/>
                <w:w w:val="99"/>
              </w:rPr>
              <w:t>220 bps</w:t>
            </w:r>
          </w:p>
        </w:tc>
        <w:tc>
          <w:tcPr>
            <w:tcW w:w="1640" w:type="dxa"/>
            <w:vAlign w:val="bottom"/>
          </w:tcPr>
          <w:p>
            <w:pPr>
              <w:jc w:val="center"/>
              <w:ind w:left="6"/>
              <w:spacing w:after="0"/>
              <w:rPr>
                <w:sz w:val="20"/>
                <w:szCs w:val="20"/>
                <w:color w:val="auto"/>
              </w:rPr>
            </w:pPr>
            <w:r>
              <w:rPr>
                <w:rFonts w:ascii="Arial" w:cs="Arial" w:eastAsia="Arial" w:hAnsi="Arial"/>
                <w:sz w:val="35"/>
                <w:szCs w:val="35"/>
                <w:color w:val="auto"/>
                <w:w w:val="99"/>
              </w:rPr>
              <w:t>140 bps</w:t>
            </w:r>
          </w:p>
        </w:tc>
      </w:tr>
      <w:tr>
        <w:trPr>
          <w:trHeight w:val="664"/>
        </w:trPr>
        <w:tc>
          <w:tcPr>
            <w:tcW w:w="1640" w:type="dxa"/>
            <w:vAlign w:val="bottom"/>
          </w:tcPr>
          <w:p>
            <w:pPr>
              <w:jc w:val="center"/>
              <w:ind w:right="180"/>
              <w:spacing w:after="0"/>
              <w:rPr>
                <w:sz w:val="20"/>
                <w:szCs w:val="20"/>
                <w:color w:val="auto"/>
              </w:rPr>
            </w:pPr>
            <w:r>
              <w:rPr>
                <w:rFonts w:ascii="Arial" w:cs="Arial" w:eastAsia="Arial" w:hAnsi="Arial"/>
                <w:sz w:val="35"/>
                <w:szCs w:val="35"/>
                <w:color w:val="auto"/>
                <w:w w:val="99"/>
              </w:rPr>
              <w:t>62%</w:t>
            </w:r>
          </w:p>
        </w:tc>
        <w:tc>
          <w:tcPr>
            <w:tcW w:w="1640" w:type="dxa"/>
            <w:vAlign w:val="bottom"/>
          </w:tcPr>
          <w:p>
            <w:pPr>
              <w:ind w:left="660"/>
              <w:spacing w:after="0"/>
              <w:rPr>
                <w:sz w:val="20"/>
                <w:szCs w:val="20"/>
                <w:color w:val="auto"/>
              </w:rPr>
            </w:pPr>
            <w:r>
              <w:rPr>
                <w:rFonts w:ascii="Arial" w:cs="Arial" w:eastAsia="Arial" w:hAnsi="Arial"/>
                <w:sz w:val="35"/>
                <w:szCs w:val="35"/>
                <w:color w:val="auto"/>
              </w:rPr>
              <w:t>44%</w:t>
            </w:r>
          </w:p>
        </w:tc>
      </w:tr>
      <w:tr>
        <w:trPr>
          <w:trHeight w:val="435"/>
        </w:trPr>
        <w:tc>
          <w:tcPr>
            <w:tcW w:w="1640" w:type="dxa"/>
            <w:vAlign w:val="bottom"/>
          </w:tcPr>
          <w:p>
            <w:pPr>
              <w:jc w:val="center"/>
              <w:ind w:right="60"/>
              <w:spacing w:after="0"/>
              <w:rPr>
                <w:sz w:val="20"/>
                <w:szCs w:val="20"/>
                <w:color w:val="auto"/>
              </w:rPr>
            </w:pPr>
            <w:r>
              <w:rPr>
                <w:rFonts w:ascii="Arial" w:cs="Arial" w:eastAsia="Arial" w:hAnsi="Arial"/>
                <w:sz w:val="35"/>
                <w:szCs w:val="35"/>
                <w:color w:val="auto"/>
                <w:w w:val="99"/>
              </w:rPr>
              <w:t>90% CC</w:t>
            </w:r>
          </w:p>
        </w:tc>
        <w:tc>
          <w:tcPr>
            <w:tcW w:w="1640" w:type="dxa"/>
            <w:vAlign w:val="bottom"/>
          </w:tcPr>
          <w:p>
            <w:pPr>
              <w:jc w:val="center"/>
              <w:ind w:left="66"/>
              <w:spacing w:after="0"/>
              <w:rPr>
                <w:sz w:val="20"/>
                <w:szCs w:val="20"/>
                <w:color w:val="auto"/>
              </w:rPr>
            </w:pPr>
            <w:r>
              <w:rPr>
                <w:rFonts w:ascii="Arial" w:cs="Arial" w:eastAsia="Arial" w:hAnsi="Arial"/>
                <w:sz w:val="35"/>
                <w:szCs w:val="35"/>
                <w:color w:val="auto"/>
                <w:w w:val="99"/>
              </w:rPr>
              <w:t>49% CC</w:t>
            </w: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20" w:right="2060" w:firstLine="939"/>
        <w:spacing w:after="0" w:line="431" w:lineRule="auto"/>
        <w:rPr>
          <w:sz w:val="20"/>
          <w:szCs w:val="20"/>
          <w:color w:val="auto"/>
        </w:rPr>
      </w:pPr>
      <w:r>
        <w:rPr>
          <w:rFonts w:ascii="Arial" w:cs="Arial" w:eastAsia="Arial" w:hAnsi="Arial"/>
          <w:sz w:val="37"/>
          <w:szCs w:val="37"/>
          <w:b w:val="1"/>
          <w:bCs w:val="1"/>
          <w:color w:val="auto"/>
        </w:rPr>
        <w:t xml:space="preserve">Q4 Highlights Revenue </w:t>
      </w:r>
      <w:r>
        <w:rPr>
          <w:rFonts w:ascii="Arial" w:cs="Arial" w:eastAsia="Arial" w:hAnsi="Arial"/>
          <w:sz w:val="39"/>
          <w:szCs w:val="39"/>
          <w:b w:val="1"/>
          <w:bCs w:val="1"/>
          <w:color w:val="6698C2"/>
        </w:rPr>
        <w:t>$4.4B</w:t>
      </w:r>
    </w:p>
    <w:p>
      <w:pPr>
        <w:spacing w:after="0" w:line="1" w:lineRule="exact"/>
        <w:rPr>
          <w:sz w:val="20"/>
          <w:szCs w:val="20"/>
          <w:color w:val="auto"/>
        </w:rPr>
      </w:pPr>
    </w:p>
    <w:p>
      <w:pPr>
        <w:ind w:left="20" w:right="1400"/>
        <w:spacing w:after="0" w:line="454" w:lineRule="auto"/>
        <w:rPr>
          <w:sz w:val="20"/>
          <w:szCs w:val="20"/>
          <w:color w:val="auto"/>
        </w:rPr>
      </w:pPr>
      <w:r>
        <w:rPr>
          <w:rFonts w:ascii="Arial" w:cs="Arial" w:eastAsia="Arial" w:hAnsi="Arial"/>
          <w:sz w:val="38"/>
          <w:szCs w:val="38"/>
          <w:b w:val="1"/>
          <w:bCs w:val="1"/>
          <w:color w:val="auto"/>
        </w:rPr>
        <w:t xml:space="preserve">Gross Margin </w:t>
      </w:r>
      <w:r>
        <w:rPr>
          <w:rFonts w:ascii="Arial" w:cs="Arial" w:eastAsia="Arial" w:hAnsi="Arial"/>
          <w:sz w:val="40"/>
          <w:szCs w:val="40"/>
          <w:b w:val="1"/>
          <w:bCs w:val="1"/>
          <w:color w:val="6698C2"/>
        </w:rPr>
        <w:t>17.1%</w:t>
      </w:r>
      <w:r>
        <w:rPr>
          <w:rFonts w:ascii="Arial" w:cs="Arial" w:eastAsia="Arial" w:hAnsi="Arial"/>
          <w:sz w:val="38"/>
          <w:szCs w:val="38"/>
          <w:b w:val="1"/>
          <w:bCs w:val="1"/>
          <w:color w:val="auto"/>
        </w:rPr>
        <w:t xml:space="preserve"> Operating Profit </w:t>
      </w:r>
      <w:r>
        <w:rPr>
          <w:rFonts w:ascii="Arial" w:cs="Arial" w:eastAsia="Arial" w:hAnsi="Arial"/>
          <w:sz w:val="40"/>
          <w:szCs w:val="40"/>
          <w:b w:val="1"/>
          <w:bCs w:val="1"/>
          <w:color w:val="6698C2"/>
        </w:rPr>
        <w:t>$43M</w:t>
      </w:r>
      <w:r>
        <w:rPr>
          <w:rFonts w:ascii="Arial" w:cs="Arial" w:eastAsia="Arial" w:hAnsi="Arial"/>
          <w:sz w:val="38"/>
          <w:szCs w:val="38"/>
          <w:b w:val="1"/>
          <w:bCs w:val="1"/>
          <w:color w:val="auto"/>
        </w:rPr>
        <w:t xml:space="preserve"> OP Margin </w:t>
      </w:r>
      <w:r>
        <w:rPr>
          <w:rFonts w:ascii="Arial" w:cs="Arial" w:eastAsia="Arial" w:hAnsi="Arial"/>
          <w:sz w:val="40"/>
          <w:szCs w:val="40"/>
          <w:b w:val="1"/>
          <w:bCs w:val="1"/>
          <w:color w:val="6698C2"/>
        </w:rPr>
        <w:t>1.0%</w:t>
      </w:r>
    </w:p>
    <w:p>
      <w:pPr>
        <w:spacing w:after="0"/>
        <w:rPr>
          <w:sz w:val="20"/>
          <w:szCs w:val="20"/>
          <w:color w:val="auto"/>
        </w:rPr>
      </w:pPr>
      <w:r>
        <w:rPr>
          <w:rFonts w:ascii="Arial" w:cs="Arial" w:eastAsia="Arial" w:hAnsi="Arial"/>
          <w:sz w:val="38"/>
          <w:szCs w:val="38"/>
          <w:b w:val="1"/>
          <w:bCs w:val="1"/>
          <w:color w:val="auto"/>
        </w:rPr>
        <w:t xml:space="preserve">EPS </w:t>
      </w:r>
      <w:r>
        <w:rPr>
          <w:rFonts w:ascii="Arial" w:cs="Arial" w:eastAsia="Arial" w:hAnsi="Arial"/>
          <w:sz w:val="40"/>
          <w:szCs w:val="40"/>
          <w:b w:val="1"/>
          <w:bCs w:val="1"/>
          <w:color w:val="6698C2"/>
        </w:rPr>
        <w:t>$.37</w:t>
      </w:r>
    </w:p>
    <w:p>
      <w:pPr>
        <w:spacing w:after="0" w:line="397" w:lineRule="exact"/>
        <w:rPr>
          <w:sz w:val="20"/>
          <w:szCs w:val="20"/>
          <w:color w:val="auto"/>
        </w:rPr>
      </w:pPr>
    </w:p>
    <w:p>
      <w:pPr>
        <w:sectPr>
          <w:pgSz w:w="11900" w:h="16838" w:orient="portrait"/>
          <w:cols w:equalWidth="0" w:num="2">
            <w:col w:w="3529" w:space="340"/>
            <w:col w:w="5460"/>
          </w:cols>
          <w:pgMar w:left="1331" w:top="380" w:right="1239" w:bottom="1440" w:gutter="0" w:footer="0" w:header="0"/>
          <w:type w:val="continuous"/>
        </w:sectPr>
      </w:pPr>
    </w:p>
    <w:p>
      <w:pPr>
        <w:ind w:left="189" w:hanging="189"/>
        <w:spacing w:after="0"/>
        <w:tabs>
          <w:tab w:leader="none" w:pos="189" w:val="left"/>
        </w:tabs>
        <w:numPr>
          <w:ilvl w:val="0"/>
          <w:numId w:val="5"/>
        </w:numPr>
        <w:rPr>
          <w:rFonts w:ascii="Arial" w:cs="Arial" w:eastAsia="Arial" w:hAnsi="Arial"/>
          <w:sz w:val="23"/>
          <w:szCs w:val="23"/>
          <w:b w:val="1"/>
          <w:bCs w:val="1"/>
          <w:color w:val="auto"/>
          <w:vertAlign w:val="superscript"/>
        </w:rPr>
      </w:pPr>
      <w:r>
        <w:rPr>
          <w:rFonts w:ascii="Arial" w:cs="Arial" w:eastAsia="Arial" w:hAnsi="Arial"/>
          <w:sz w:val="17"/>
          <w:szCs w:val="17"/>
          <w:color w:val="auto"/>
        </w:rPr>
        <w:t>Excludes non-recurring items for 2009 and 2008 as set forth on page 15.</w:t>
      </w:r>
    </w:p>
    <w:p>
      <w:pPr>
        <w:spacing w:after="0" w:line="143" w:lineRule="exact"/>
        <w:rPr>
          <w:sz w:val="20"/>
          <w:szCs w:val="20"/>
          <w:color w:val="auto"/>
        </w:rPr>
      </w:pPr>
    </w:p>
    <w:p>
      <w:pPr>
        <w:ind w:left="9" w:right="640"/>
        <w:spacing w:after="0" w:line="312" w:lineRule="auto"/>
        <w:rPr>
          <w:sz w:val="20"/>
          <w:szCs w:val="20"/>
          <w:color w:val="auto"/>
        </w:rPr>
      </w:pPr>
      <w:r>
        <w:rPr>
          <w:rFonts w:ascii="Arial" w:cs="Arial" w:eastAsia="Arial" w:hAnsi="Arial"/>
          <w:sz w:val="15"/>
          <w:szCs w:val="15"/>
          <w:b w:val="1"/>
          <w:bCs w:val="1"/>
          <w:color w:val="auto"/>
        </w:rPr>
        <w:t>Throughout this presentation, the difference between reported variances and Constant Currency (CC) variances represents the impact of currency on our financial results. Constant Currency is further explained on our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231140</wp:posOffset>
            </wp:positionV>
            <wp:extent cx="727900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329"/>
          </w:cols>
          <w:pgMar w:left="1331" w:top="380" w:right="1239" w:bottom="1440" w:gutter="0" w:footer="0" w:header="0"/>
          <w:type w:val="continuous"/>
        </w:sectPr>
      </w:pPr>
    </w:p>
    <w:bookmarkStart w:id="14" w:name="page15"/>
    <w:bookmarkEnd w:id="14"/>
    <w:p>
      <w:pPr>
        <w:ind w:left="80"/>
        <w:spacing w:after="0"/>
        <w:tabs>
          <w:tab w:leader="none" w:pos="9080" w:val="left"/>
        </w:tabs>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r>
        <w:rPr>
          <w:sz w:val="20"/>
          <w:szCs w:val="20"/>
          <w:color w:val="auto"/>
        </w:rPr>
        <w:tab/>
      </w:r>
      <w:r>
        <w:rPr>
          <w:rFonts w:ascii="Arial" w:cs="Arial" w:eastAsia="Arial" w:hAnsi="Arial"/>
          <w:sz w:val="20"/>
          <w:szCs w:val="20"/>
          <w:color w:val="FFFFFF"/>
        </w:rPr>
        <w:t>4</w:t>
      </w:r>
    </w:p>
    <w:p>
      <w:pPr>
        <w:sectPr>
          <w:pgSz w:w="11900" w:h="16838" w:orient="portrait"/>
          <w:cols w:equalWidth="0" w:num="1">
            <w:col w:w="9220"/>
          </w:cols>
          <w:pgMar w:left="1440" w:top="38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42"/>
          <w:szCs w:val="42"/>
          <w:color w:val="6698C2"/>
        </w:rPr>
        <w:t>Consolidated Gross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Impact of Non-recurring Items</w:t>
      </w:r>
    </w:p>
    <w:p>
      <w:pPr>
        <w:spacing w:after="0" w:line="1"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2437765</wp:posOffset>
            </wp:positionV>
            <wp:extent cx="727900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type w:val="continuous"/>
        </w:sectPr>
      </w:pPr>
    </w:p>
    <w:bookmarkStart w:id="15" w:name="page16"/>
    <w:bookmarkEnd w:id="15"/>
    <w:tbl>
      <w:tblPr>
        <w:tblLayout w:type="fixed"/>
        <w:tblInd w:w="80" w:type="dxa"/>
        <w:tblCellMar>
          <w:top w:w="0" w:type="dxa"/>
          <w:left w:w="0" w:type="dxa"/>
          <w:bottom w:w="0" w:type="dxa"/>
          <w:right w:w="0" w:type="dxa"/>
        </w:tblCellMar>
      </w:tblPr>
      <w:tr>
        <w:trPr>
          <w:trHeight w:val="364"/>
        </w:trPr>
        <w:tc>
          <w:tcPr>
            <w:tcW w:w="630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40" w:type="dxa"/>
            <w:vAlign w:val="bottom"/>
          </w:tcPr>
          <w:p>
            <w:pPr>
              <w:jc w:val="right"/>
              <w:spacing w:after="0"/>
              <w:rPr>
                <w:sz w:val="20"/>
                <w:szCs w:val="20"/>
                <w:color w:val="auto"/>
              </w:rPr>
            </w:pPr>
            <w:r>
              <w:rPr>
                <w:rFonts w:ascii="Arial" w:cs="Arial" w:eastAsia="Arial" w:hAnsi="Arial"/>
                <w:sz w:val="20"/>
                <w:szCs w:val="20"/>
                <w:color w:val="FFFFFF"/>
              </w:rPr>
              <w:t>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Arial" w:cs="Arial" w:eastAsia="Arial" w:hAnsi="Arial"/>
          <w:sz w:val="44"/>
          <w:szCs w:val="44"/>
          <w:color w:val="6698C2"/>
        </w:rPr>
        <w:t>Americas Segment</w:t>
      </w:r>
    </w:p>
    <w:p>
      <w:pPr>
        <w:ind w:left="80"/>
        <w:spacing w:after="0"/>
        <w:rPr>
          <w:sz w:val="20"/>
          <w:szCs w:val="20"/>
          <w:color w:val="auto"/>
        </w:rPr>
      </w:pPr>
      <w:r>
        <w:rPr>
          <w:rFonts w:ascii="Arial" w:cs="Arial" w:eastAsia="Arial" w:hAnsi="Arial"/>
          <w:sz w:val="29"/>
          <w:szCs w:val="29"/>
          <w:color w:val="6698C2"/>
        </w:rPr>
        <w:t>(16% of Revenue)</w:t>
      </w:r>
    </w:p>
    <w:p>
      <w:pPr>
        <w:spacing w:after="0" w:line="243"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1480" w:type="dxa"/>
            <w:vAlign w:val="bottom"/>
            <w:vMerge w:val="restart"/>
          </w:tcPr>
          <w:p>
            <w:pPr>
              <w:jc w:val="center"/>
              <w:spacing w:after="0"/>
              <w:rPr>
                <w:sz w:val="20"/>
                <w:szCs w:val="20"/>
                <w:color w:val="auto"/>
              </w:rPr>
            </w:pPr>
            <w:r>
              <w:rPr>
                <w:rFonts w:ascii="Arial" w:cs="Arial" w:eastAsia="Arial" w:hAnsi="Arial"/>
                <w:sz w:val="20"/>
                <w:szCs w:val="20"/>
                <w:b w:val="1"/>
                <w:bCs w:val="1"/>
                <w:color w:val="auto"/>
              </w:rPr>
              <w:t>As</w:t>
            </w:r>
          </w:p>
        </w:tc>
        <w:tc>
          <w:tcPr>
            <w:tcW w:w="1780" w:type="dxa"/>
            <w:vAlign w:val="bottom"/>
          </w:tcPr>
          <w:p>
            <w:pPr>
              <w:jc w:val="center"/>
              <w:spacing w:after="0"/>
              <w:rPr>
                <w:sz w:val="20"/>
                <w:szCs w:val="20"/>
                <w:color w:val="auto"/>
              </w:rPr>
            </w:pPr>
            <w:r>
              <w:rPr>
                <w:rFonts w:ascii="Arial" w:cs="Arial" w:eastAsia="Arial" w:hAnsi="Arial"/>
                <w:sz w:val="20"/>
                <w:szCs w:val="20"/>
                <w:b w:val="1"/>
                <w:bCs w:val="1"/>
                <w:color w:val="auto"/>
              </w:rPr>
              <w:t>Excluding Non</w:t>
            </w:r>
          </w:p>
        </w:tc>
        <w:tc>
          <w:tcPr>
            <w:tcW w:w="4400" w:type="dxa"/>
            <w:vAlign w:val="bottom"/>
            <w:vMerge w:val="restart"/>
          </w:tcPr>
          <w:p>
            <w:pPr>
              <w:ind w:left="160"/>
              <w:spacing w:after="0"/>
              <w:rPr>
                <w:sz w:val="20"/>
                <w:szCs w:val="20"/>
                <w:color w:val="auto"/>
              </w:rPr>
            </w:pPr>
            <w:r>
              <w:rPr>
                <w:rFonts w:ascii="Arial" w:cs="Arial" w:eastAsia="Arial" w:hAnsi="Arial"/>
                <w:sz w:val="38"/>
                <w:szCs w:val="38"/>
                <w:b w:val="1"/>
                <w:bCs w:val="1"/>
                <w:color w:val="auto"/>
                <w:w w:val="99"/>
              </w:rPr>
              <w:t>Q4 Financial Highlights</w:t>
            </w:r>
          </w:p>
        </w:tc>
        <w:tc>
          <w:tcPr>
            <w:tcW w:w="260" w:type="dxa"/>
            <w:vAlign w:val="bottom"/>
            <w:vMerge w:val="restart"/>
          </w:tcPr>
          <w:p>
            <w:pPr>
              <w:jc w:val="right"/>
              <w:spacing w:after="0"/>
              <w:rPr>
                <w:sz w:val="20"/>
                <w:szCs w:val="20"/>
                <w:color w:val="auto"/>
              </w:rPr>
            </w:pPr>
            <w:r>
              <w:rPr>
                <w:rFonts w:ascii="Arial" w:cs="Arial" w:eastAsia="Arial" w:hAnsi="Arial"/>
                <w:sz w:val="16"/>
                <w:szCs w:val="16"/>
                <w:b w:val="1"/>
                <w:bCs w:val="1"/>
                <w:color w:val="C8504F"/>
              </w:rPr>
              <w:t>(1)</w:t>
            </w:r>
          </w:p>
        </w:tc>
        <w:tc>
          <w:tcPr>
            <w:tcW w:w="0" w:type="dxa"/>
            <w:vAlign w:val="bottom"/>
          </w:tcPr>
          <w:p>
            <w:pPr>
              <w:spacing w:after="0"/>
              <w:rPr>
                <w:sz w:val="1"/>
                <w:szCs w:val="1"/>
                <w:color w:val="auto"/>
              </w:rPr>
            </w:pPr>
          </w:p>
        </w:tc>
      </w:tr>
      <w:tr>
        <w:trPr>
          <w:trHeight w:val="208"/>
        </w:trPr>
        <w:tc>
          <w:tcPr>
            <w:tcW w:w="1480" w:type="dxa"/>
            <w:vAlign w:val="bottom"/>
            <w:vMerge w:val="continue"/>
          </w:tcPr>
          <w:p>
            <w:pPr>
              <w:spacing w:after="0"/>
              <w:rPr>
                <w:sz w:val="18"/>
                <w:szCs w:val="18"/>
                <w:color w:val="auto"/>
              </w:rPr>
            </w:pPr>
          </w:p>
        </w:tc>
        <w:tc>
          <w:tcPr>
            <w:tcW w:w="1780" w:type="dxa"/>
            <w:vAlign w:val="bottom"/>
          </w:tcPr>
          <w:p>
            <w:pPr>
              <w:jc w:val="center"/>
              <w:spacing w:after="0" w:line="207" w:lineRule="exact"/>
              <w:rPr>
                <w:sz w:val="20"/>
                <w:szCs w:val="20"/>
                <w:color w:val="auto"/>
              </w:rPr>
            </w:pPr>
            <w:r>
              <w:rPr>
                <w:rFonts w:ascii="Arial" w:cs="Arial" w:eastAsia="Arial" w:hAnsi="Arial"/>
                <w:sz w:val="20"/>
                <w:szCs w:val="20"/>
                <w:b w:val="1"/>
                <w:bCs w:val="1"/>
                <w:color w:val="auto"/>
              </w:rPr>
              <w:t>-recurring</w:t>
            </w:r>
          </w:p>
        </w:tc>
        <w:tc>
          <w:tcPr>
            <w:tcW w:w="44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480" w:type="dxa"/>
            <w:vAlign w:val="bottom"/>
          </w:tcPr>
          <w:p>
            <w:pPr>
              <w:jc w:val="center"/>
              <w:spacing w:after="0"/>
              <w:rPr>
                <w:sz w:val="20"/>
                <w:szCs w:val="20"/>
                <w:color w:val="auto"/>
              </w:rPr>
            </w:pPr>
            <w:r>
              <w:rPr>
                <w:rFonts w:ascii="Arial" w:cs="Arial" w:eastAsia="Arial" w:hAnsi="Arial"/>
                <w:sz w:val="20"/>
                <w:szCs w:val="20"/>
                <w:b w:val="1"/>
                <w:bCs w:val="1"/>
                <w:color w:val="auto"/>
              </w:rPr>
              <w:t>Reported</w:t>
            </w:r>
          </w:p>
        </w:tc>
        <w:tc>
          <w:tcPr>
            <w:tcW w:w="1780" w:type="dxa"/>
            <w:vAlign w:val="bottom"/>
          </w:tcPr>
          <w:p>
            <w:pPr>
              <w:jc w:val="center"/>
              <w:ind w:left="90"/>
              <w:spacing w:after="0"/>
              <w:rPr>
                <w:sz w:val="20"/>
                <w:szCs w:val="20"/>
                <w:color w:val="auto"/>
              </w:rPr>
            </w:pPr>
            <w:r>
              <w:rPr>
                <w:rFonts w:ascii="Arial" w:cs="Arial" w:eastAsia="Arial" w:hAnsi="Arial"/>
                <w:sz w:val="20"/>
                <w:szCs w:val="20"/>
                <w:b w:val="1"/>
                <w:bCs w:val="1"/>
                <w:color w:val="auto"/>
                <w:w w:val="89"/>
              </w:rPr>
              <w:t xml:space="preserve">Items </w:t>
            </w:r>
            <w:r>
              <w:rPr>
                <w:rFonts w:ascii="Arial" w:cs="Arial" w:eastAsia="Arial" w:hAnsi="Arial"/>
                <w:sz w:val="31"/>
                <w:szCs w:val="31"/>
                <w:b w:val="1"/>
                <w:bCs w:val="1"/>
                <w:color w:val="C8504F"/>
                <w:w w:val="89"/>
                <w:vertAlign w:val="superscript"/>
              </w:rPr>
              <w:t>(2)</w:t>
            </w:r>
          </w:p>
        </w:tc>
        <w:tc>
          <w:tcPr>
            <w:tcW w:w="4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480" w:type="dxa"/>
            <w:vAlign w:val="bottom"/>
          </w:tcPr>
          <w:p>
            <w:pPr>
              <w:jc w:val="center"/>
              <w:spacing w:after="0"/>
              <w:rPr>
                <w:sz w:val="20"/>
                <w:szCs w:val="20"/>
                <w:color w:val="auto"/>
              </w:rPr>
            </w:pPr>
            <w:r>
              <w:rPr>
                <w:rFonts w:ascii="Arial" w:cs="Arial" w:eastAsia="Arial" w:hAnsi="Arial"/>
                <w:sz w:val="35"/>
                <w:szCs w:val="35"/>
                <w:color w:val="auto"/>
                <w:w w:val="98"/>
              </w:rPr>
              <w:t>0%</w:t>
            </w:r>
          </w:p>
        </w:tc>
        <w:tc>
          <w:tcPr>
            <w:tcW w:w="1780" w:type="dxa"/>
            <w:vAlign w:val="bottom"/>
          </w:tcPr>
          <w:p>
            <w:pPr>
              <w:jc w:val="center"/>
              <w:ind w:left="70"/>
              <w:spacing w:after="0"/>
              <w:rPr>
                <w:sz w:val="20"/>
                <w:szCs w:val="20"/>
                <w:color w:val="auto"/>
              </w:rPr>
            </w:pPr>
            <w:r>
              <w:rPr>
                <w:rFonts w:ascii="Arial" w:cs="Arial" w:eastAsia="Arial" w:hAnsi="Arial"/>
                <w:sz w:val="35"/>
                <w:szCs w:val="35"/>
                <w:color w:val="auto"/>
              </w:rPr>
              <w:t>0%</w:t>
            </w:r>
          </w:p>
        </w:tc>
        <w:tc>
          <w:tcPr>
            <w:tcW w:w="4400" w:type="dxa"/>
            <w:vAlign w:val="bottom"/>
            <w:vMerge w:val="restart"/>
          </w:tcPr>
          <w:p>
            <w:pPr>
              <w:ind w:left="280"/>
              <w:spacing w:after="0"/>
              <w:rPr>
                <w:sz w:val="20"/>
                <w:szCs w:val="20"/>
                <w:color w:val="auto"/>
              </w:rPr>
            </w:pPr>
            <w:r>
              <w:rPr>
                <w:rFonts w:ascii="Arial" w:cs="Arial" w:eastAsia="Arial" w:hAnsi="Arial"/>
                <w:sz w:val="38"/>
                <w:szCs w:val="38"/>
                <w:b w:val="1"/>
                <w:bCs w:val="1"/>
                <w:color w:val="auto"/>
              </w:rPr>
              <w:t xml:space="preserve">Revenue </w:t>
            </w:r>
            <w:r>
              <w:rPr>
                <w:rFonts w:ascii="Arial" w:cs="Arial" w:eastAsia="Arial" w:hAnsi="Arial"/>
                <w:sz w:val="40"/>
                <w:szCs w:val="40"/>
                <w:b w:val="1"/>
                <w:bCs w:val="1"/>
                <w:color w:val="C8504F"/>
              </w:rPr>
              <w:t>$720M</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80" w:type="dxa"/>
            <w:vAlign w:val="bottom"/>
            <w:vMerge w:val="restart"/>
          </w:tcPr>
          <w:p>
            <w:pPr>
              <w:jc w:val="center"/>
              <w:spacing w:after="0"/>
              <w:rPr>
                <w:sz w:val="20"/>
                <w:szCs w:val="20"/>
                <w:color w:val="auto"/>
              </w:rPr>
            </w:pPr>
            <w:r>
              <w:rPr>
                <w:rFonts w:ascii="Arial" w:cs="Arial" w:eastAsia="Arial" w:hAnsi="Arial"/>
                <w:sz w:val="35"/>
                <w:szCs w:val="35"/>
                <w:color w:val="auto"/>
                <w:w w:val="99"/>
              </w:rPr>
              <w:t>1% CC</w:t>
            </w:r>
          </w:p>
        </w:tc>
        <w:tc>
          <w:tcPr>
            <w:tcW w:w="1780" w:type="dxa"/>
            <w:vAlign w:val="bottom"/>
            <w:vMerge w:val="restart"/>
          </w:tcPr>
          <w:p>
            <w:pPr>
              <w:jc w:val="center"/>
              <w:spacing w:after="0"/>
              <w:rPr>
                <w:sz w:val="20"/>
                <w:szCs w:val="20"/>
                <w:color w:val="auto"/>
              </w:rPr>
            </w:pPr>
            <w:r>
              <w:rPr>
                <w:rFonts w:ascii="Arial" w:cs="Arial" w:eastAsia="Arial" w:hAnsi="Arial"/>
                <w:sz w:val="35"/>
                <w:szCs w:val="35"/>
                <w:color w:val="auto"/>
                <w:w w:val="99"/>
              </w:rPr>
              <w:t>1% CC</w:t>
            </w:r>
          </w:p>
        </w:tc>
        <w:tc>
          <w:tcPr>
            <w:tcW w:w="44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8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5"/>
        </w:trPr>
        <w:tc>
          <w:tcPr>
            <w:tcW w:w="1480" w:type="dxa"/>
            <w:vAlign w:val="bottom"/>
          </w:tcPr>
          <w:p>
            <w:pPr>
              <w:jc w:val="right"/>
              <w:ind w:right="164"/>
              <w:spacing w:after="0"/>
              <w:rPr>
                <w:sz w:val="20"/>
                <w:szCs w:val="20"/>
                <w:color w:val="auto"/>
              </w:rPr>
            </w:pPr>
            <w:r>
              <w:rPr>
                <w:rFonts w:ascii="Arial" w:cs="Arial" w:eastAsia="Arial" w:hAnsi="Arial"/>
                <w:sz w:val="35"/>
                <w:szCs w:val="35"/>
                <w:color w:val="auto"/>
              </w:rPr>
              <w:t>56%</w:t>
            </w:r>
          </w:p>
        </w:tc>
        <w:tc>
          <w:tcPr>
            <w:tcW w:w="1780" w:type="dxa"/>
            <w:vAlign w:val="bottom"/>
          </w:tcPr>
          <w:p>
            <w:pPr>
              <w:jc w:val="right"/>
              <w:ind w:right="150"/>
              <w:spacing w:after="0"/>
              <w:rPr>
                <w:sz w:val="20"/>
                <w:szCs w:val="20"/>
                <w:color w:val="auto"/>
              </w:rPr>
            </w:pPr>
            <w:r>
              <w:rPr>
                <w:rFonts w:ascii="Arial" w:cs="Arial" w:eastAsia="Arial" w:hAnsi="Arial"/>
                <w:sz w:val="35"/>
                <w:szCs w:val="35"/>
                <w:color w:val="auto"/>
              </w:rPr>
              <w:t>55%</w:t>
            </w:r>
          </w:p>
        </w:tc>
        <w:tc>
          <w:tcPr>
            <w:tcW w:w="4400" w:type="dxa"/>
            <w:vAlign w:val="bottom"/>
          </w:tcPr>
          <w:p>
            <w:pPr>
              <w:ind w:left="300"/>
              <w:spacing w:after="0"/>
              <w:rPr>
                <w:sz w:val="20"/>
                <w:szCs w:val="20"/>
                <w:color w:val="auto"/>
              </w:rPr>
            </w:pPr>
            <w:r>
              <w:rPr>
                <w:rFonts w:ascii="Arial" w:cs="Arial" w:eastAsia="Arial" w:hAnsi="Arial"/>
                <w:sz w:val="38"/>
                <w:szCs w:val="38"/>
                <w:b w:val="1"/>
                <w:bCs w:val="1"/>
                <w:color w:val="auto"/>
              </w:rPr>
              <w:t xml:space="preserve">OUP  </w:t>
            </w:r>
            <w:r>
              <w:rPr>
                <w:rFonts w:ascii="Arial" w:cs="Arial" w:eastAsia="Arial" w:hAnsi="Arial"/>
                <w:sz w:val="40"/>
                <w:szCs w:val="40"/>
                <w:b w:val="1"/>
                <w:bCs w:val="1"/>
                <w:color w:val="C8504F"/>
              </w:rPr>
              <w:t>$1M</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80" w:type="dxa"/>
            <w:vAlign w:val="bottom"/>
          </w:tcPr>
          <w:p>
            <w:pPr>
              <w:jc w:val="right"/>
              <w:ind w:right="24"/>
              <w:spacing w:after="0"/>
              <w:rPr>
                <w:sz w:val="20"/>
                <w:szCs w:val="20"/>
                <w:color w:val="auto"/>
              </w:rPr>
            </w:pPr>
            <w:r>
              <w:rPr>
                <w:rFonts w:ascii="Arial" w:cs="Arial" w:eastAsia="Arial" w:hAnsi="Arial"/>
                <w:sz w:val="35"/>
                <w:szCs w:val="35"/>
                <w:color w:val="auto"/>
                <w:w w:val="98"/>
              </w:rPr>
              <w:t>53% CC</w:t>
            </w:r>
          </w:p>
        </w:tc>
        <w:tc>
          <w:tcPr>
            <w:tcW w:w="1780" w:type="dxa"/>
            <w:vAlign w:val="bottom"/>
          </w:tcPr>
          <w:p>
            <w:pPr>
              <w:jc w:val="center"/>
              <w:ind w:left="10"/>
              <w:spacing w:after="0"/>
              <w:rPr>
                <w:sz w:val="20"/>
                <w:szCs w:val="20"/>
                <w:color w:val="auto"/>
              </w:rPr>
            </w:pPr>
            <w:r>
              <w:rPr>
                <w:rFonts w:ascii="Arial" w:cs="Arial" w:eastAsia="Arial" w:hAnsi="Arial"/>
                <w:sz w:val="35"/>
                <w:szCs w:val="35"/>
                <w:color w:val="auto"/>
                <w:w w:val="99"/>
              </w:rPr>
              <w:t>54% CC</w:t>
            </w: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1"/>
        </w:trPr>
        <w:tc>
          <w:tcPr>
            <w:tcW w:w="1480" w:type="dxa"/>
            <w:vAlign w:val="bottom"/>
          </w:tcPr>
          <w:p>
            <w:pPr>
              <w:jc w:val="center"/>
              <w:spacing w:after="0"/>
              <w:rPr>
                <w:sz w:val="20"/>
                <w:szCs w:val="20"/>
                <w:color w:val="auto"/>
              </w:rPr>
            </w:pPr>
            <w:r>
              <w:rPr>
                <w:rFonts w:ascii="Arial" w:cs="Arial" w:eastAsia="Arial" w:hAnsi="Arial"/>
                <w:sz w:val="35"/>
                <w:szCs w:val="35"/>
                <w:color w:val="auto"/>
                <w:w w:val="97"/>
              </w:rPr>
              <w:t>20</w:t>
            </w:r>
          </w:p>
        </w:tc>
        <w:tc>
          <w:tcPr>
            <w:tcW w:w="1780" w:type="dxa"/>
            <w:vAlign w:val="bottom"/>
          </w:tcPr>
          <w:p>
            <w:pPr>
              <w:jc w:val="center"/>
              <w:ind w:left="10"/>
              <w:spacing w:after="0"/>
              <w:rPr>
                <w:sz w:val="20"/>
                <w:szCs w:val="20"/>
                <w:color w:val="auto"/>
              </w:rPr>
            </w:pPr>
            <w:r>
              <w:rPr>
                <w:rFonts w:ascii="Arial" w:cs="Arial" w:eastAsia="Arial" w:hAnsi="Arial"/>
                <w:sz w:val="35"/>
                <w:szCs w:val="35"/>
                <w:color w:val="auto"/>
                <w:w w:val="97"/>
              </w:rPr>
              <w:t>40</w:t>
            </w:r>
          </w:p>
        </w:tc>
        <w:tc>
          <w:tcPr>
            <w:tcW w:w="4400" w:type="dxa"/>
            <w:vAlign w:val="bottom"/>
          </w:tcPr>
          <w:p>
            <w:pPr>
              <w:ind w:left="300"/>
              <w:spacing w:after="0"/>
              <w:rPr>
                <w:sz w:val="20"/>
                <w:szCs w:val="20"/>
                <w:color w:val="auto"/>
              </w:rPr>
            </w:pPr>
            <w:r>
              <w:rPr>
                <w:rFonts w:ascii="Arial" w:cs="Arial" w:eastAsia="Arial" w:hAnsi="Arial"/>
                <w:sz w:val="38"/>
                <w:szCs w:val="38"/>
                <w:b w:val="1"/>
                <w:bCs w:val="1"/>
                <w:color w:val="auto"/>
              </w:rPr>
              <w:t xml:space="preserve">OUP Margin </w:t>
            </w:r>
            <w:r>
              <w:rPr>
                <w:rFonts w:ascii="Arial" w:cs="Arial" w:eastAsia="Arial" w:hAnsi="Arial"/>
                <w:sz w:val="40"/>
                <w:szCs w:val="40"/>
                <w:b w:val="1"/>
                <w:bCs w:val="1"/>
                <w:color w:val="C8504F"/>
              </w:rPr>
              <w:t>0.1%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80" w:type="dxa"/>
            <w:vAlign w:val="bottom"/>
          </w:tcPr>
          <w:p>
            <w:pPr>
              <w:jc w:val="center"/>
              <w:spacing w:after="0"/>
              <w:rPr>
                <w:sz w:val="20"/>
                <w:szCs w:val="20"/>
                <w:color w:val="auto"/>
              </w:rPr>
            </w:pPr>
            <w:r>
              <w:rPr>
                <w:rFonts w:ascii="Arial" w:cs="Arial" w:eastAsia="Arial" w:hAnsi="Arial"/>
                <w:sz w:val="35"/>
                <w:szCs w:val="35"/>
                <w:color w:val="auto"/>
                <w:w w:val="99"/>
              </w:rPr>
              <w:t>bps</w:t>
            </w:r>
          </w:p>
        </w:tc>
        <w:tc>
          <w:tcPr>
            <w:tcW w:w="1780" w:type="dxa"/>
            <w:vAlign w:val="bottom"/>
          </w:tcPr>
          <w:p>
            <w:pPr>
              <w:jc w:val="center"/>
              <w:ind w:left="30"/>
              <w:spacing w:after="0"/>
              <w:rPr>
                <w:sz w:val="20"/>
                <w:szCs w:val="20"/>
                <w:color w:val="auto"/>
              </w:rPr>
            </w:pPr>
            <w:r>
              <w:rPr>
                <w:rFonts w:ascii="Arial" w:cs="Arial" w:eastAsia="Arial" w:hAnsi="Arial"/>
                <w:sz w:val="35"/>
                <w:szCs w:val="35"/>
                <w:color w:val="auto"/>
                <w:w w:val="99"/>
              </w:rPr>
              <w:t>bps</w:t>
            </w: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hanging="188"/>
        <w:spacing w:after="0"/>
        <w:tabs>
          <w:tab w:leader="none" w:pos="34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Included in these amounts is the US, which had revenue of $436M (-6%) and OUP of $(5M).</w:t>
      </w:r>
    </w:p>
    <w:p>
      <w:pPr>
        <w:spacing w:after="0" w:line="95" w:lineRule="exact"/>
        <w:rPr>
          <w:rFonts w:ascii="Arial" w:cs="Arial" w:eastAsia="Arial" w:hAnsi="Arial"/>
          <w:sz w:val="23"/>
          <w:szCs w:val="23"/>
          <w:color w:val="auto"/>
          <w:vertAlign w:val="superscript"/>
        </w:rPr>
      </w:pPr>
    </w:p>
    <w:p>
      <w:pPr>
        <w:ind w:left="340" w:hanging="188"/>
        <w:spacing w:after="0" w:line="190" w:lineRule="auto"/>
        <w:tabs>
          <w:tab w:leader="none" w:pos="34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Excludes the impact of the reorganization charges of $1.3M in 2009 and $3.0M in 2008.</w:t>
      </w:r>
    </w:p>
    <w:p>
      <w:pPr>
        <w:spacing w:after="0" w:line="165" w:lineRule="exact"/>
        <w:rPr>
          <w:sz w:val="20"/>
          <w:szCs w:val="20"/>
          <w:color w:val="auto"/>
        </w:rPr>
      </w:pPr>
    </w:p>
    <w:p>
      <w:pPr>
        <w:ind w:left="140" w:right="1140"/>
        <w:spacing w:after="0" w:line="269" w:lineRule="auto"/>
        <w:rPr>
          <w:sz w:val="20"/>
          <w:szCs w:val="20"/>
          <w:color w:val="auto"/>
        </w:rPr>
      </w:pPr>
      <w:r>
        <w:rPr>
          <w:rFonts w:ascii="Arial" w:cs="Arial" w:eastAsia="Arial" w:hAnsi="Arial"/>
          <w:sz w:val="20"/>
          <w:szCs w:val="20"/>
          <w:b w:val="1"/>
          <w:bCs w:val="1"/>
          <w:color w:val="auto"/>
        </w:rPr>
        <w:t>Operating Unit Profit (OUP) is the measure that we use to evaluate segment performance. OUP is equal to segment revenues less direct costs and branch and national headquarters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224790</wp:posOffset>
            </wp:positionV>
            <wp:extent cx="727900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sectPr>
      </w:pPr>
    </w:p>
    <w:bookmarkStart w:id="16" w:name="page17"/>
    <w:bookmarkEnd w:id="16"/>
    <w:tbl>
      <w:tblPr>
        <w:tblLayout w:type="fixed"/>
        <w:tblInd w:w="80" w:type="dxa"/>
        <w:tblCellMar>
          <w:top w:w="0" w:type="dxa"/>
          <w:left w:w="0" w:type="dxa"/>
          <w:bottom w:w="0" w:type="dxa"/>
          <w:right w:w="0" w:type="dxa"/>
        </w:tblCellMar>
      </w:tblPr>
      <w:tr>
        <w:trPr>
          <w:trHeight w:val="364"/>
        </w:trPr>
        <w:tc>
          <w:tcPr>
            <w:tcW w:w="630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40" w:type="dxa"/>
            <w:vAlign w:val="bottom"/>
          </w:tcPr>
          <w:p>
            <w:pPr>
              <w:jc w:val="right"/>
              <w:spacing w:after="0"/>
              <w:rPr>
                <w:sz w:val="20"/>
                <w:szCs w:val="20"/>
                <w:color w:val="auto"/>
              </w:rPr>
            </w:pPr>
            <w:r>
              <w:rPr>
                <w:rFonts w:ascii="Arial" w:cs="Arial" w:eastAsia="Arial" w:hAnsi="Arial"/>
                <w:sz w:val="20"/>
                <w:szCs w:val="20"/>
                <w:color w:val="FFFFFF"/>
              </w:rPr>
              <w:t>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80"/>
        <w:spacing w:after="0"/>
        <w:rPr>
          <w:sz w:val="20"/>
          <w:szCs w:val="20"/>
          <w:color w:val="auto"/>
        </w:rPr>
      </w:pPr>
      <w:r>
        <w:rPr>
          <w:rFonts w:ascii="Arial" w:cs="Arial" w:eastAsia="Arial" w:hAnsi="Arial"/>
          <w:sz w:val="44"/>
          <w:szCs w:val="44"/>
          <w:color w:val="6698C2"/>
        </w:rPr>
        <w:t>Americas - Q4 Revenue Growth YoY</w:t>
      </w:r>
    </w:p>
    <w:p>
      <w:pPr>
        <w:spacing w:after="0" w:line="102" w:lineRule="exact"/>
        <w:rPr>
          <w:sz w:val="20"/>
          <w:szCs w:val="20"/>
          <w:color w:val="auto"/>
        </w:rPr>
      </w:pPr>
    </w:p>
    <w:p>
      <w:pPr>
        <w:ind w:left="140" w:right="7660" w:hanging="10"/>
        <w:spacing w:after="0" w:line="288" w:lineRule="auto"/>
        <w:tabs>
          <w:tab w:leader="none" w:pos="394" w:val="left"/>
        </w:tabs>
        <w:numPr>
          <w:ilvl w:val="0"/>
          <w:numId w:val="7"/>
        </w:numPr>
        <w:rPr>
          <w:rFonts w:ascii="Arial" w:cs="Arial" w:eastAsia="Arial" w:hAnsi="Arial"/>
          <w:sz w:val="21"/>
          <w:szCs w:val="21"/>
          <w:b w:val="1"/>
          <w:bCs w:val="1"/>
          <w:color w:val="auto"/>
        </w:rPr>
      </w:pPr>
      <w:r>
        <w:rPr>
          <w:rFonts w:ascii="Arial" w:cs="Arial" w:eastAsia="Arial" w:hAnsi="Arial"/>
          <w:sz w:val="21"/>
          <w:szCs w:val="21"/>
          <w:b w:val="1"/>
          <w:bCs w:val="1"/>
          <w:color w:val="auto"/>
        </w:rPr>
        <w:t>of Segment Revenue</w:t>
      </w:r>
    </w:p>
    <w:p>
      <w:pPr>
        <w:ind w:left="2760"/>
        <w:spacing w:after="0" w:line="183" w:lineRule="auto"/>
        <w:rPr>
          <w:sz w:val="20"/>
          <w:szCs w:val="20"/>
          <w:color w:val="auto"/>
        </w:rPr>
      </w:pPr>
      <w:r>
        <w:rPr>
          <w:rFonts w:ascii="Arial" w:cs="Arial" w:eastAsia="Arial" w:hAnsi="Arial"/>
          <w:sz w:val="13"/>
          <w:szCs w:val="13"/>
          <w:b w:val="1"/>
          <w:bCs w:val="1"/>
          <w:color w:val="D47C18"/>
        </w:rPr>
        <w:t>(1)</w:t>
      </w:r>
    </w:p>
    <w:p>
      <w:pPr>
        <w:ind w:left="320"/>
        <w:spacing w:after="0"/>
        <w:rPr>
          <w:sz w:val="20"/>
          <w:szCs w:val="20"/>
          <w:color w:val="auto"/>
        </w:rPr>
      </w:pPr>
      <w:r>
        <w:rPr>
          <w:rFonts w:ascii="Arial" w:cs="Arial" w:eastAsia="Arial" w:hAnsi="Arial"/>
          <w:sz w:val="26"/>
          <w:szCs w:val="26"/>
          <w:b w:val="1"/>
          <w:bCs w:val="1"/>
          <w:color w:val="D47C18"/>
        </w:rPr>
        <w:t>61%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D47C18"/>
        </w:rPr>
        <w:t>14%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0"/>
        <w:spacing w:after="0"/>
        <w:rPr>
          <w:sz w:val="20"/>
          <w:szCs w:val="20"/>
          <w:color w:val="auto"/>
        </w:rPr>
      </w:pPr>
      <w:r>
        <w:rPr>
          <w:rFonts w:ascii="Arial" w:cs="Arial" w:eastAsia="Arial" w:hAnsi="Arial"/>
          <w:sz w:val="26"/>
          <w:szCs w:val="26"/>
          <w:b w:val="1"/>
          <w:bCs w:val="1"/>
          <w:color w:val="D47C18"/>
        </w:rPr>
        <w:t>8%</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D47C18"/>
        </w:rPr>
        <w:t>17%</w:t>
      </w:r>
    </w:p>
    <w:p>
      <w:pPr>
        <w:sectPr>
          <w:pgSz w:w="11900" w:h="16838" w:orient="portrait"/>
          <w:cols w:equalWidth="0" w:num="1">
            <w:col w:w="9220"/>
          </w:cols>
          <w:pgMar w:left="1440" w:top="38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Revenue</w:t>
      </w:r>
    </w:p>
    <w:p>
      <w:pPr>
        <w:spacing w:after="0" w:line="33" w:lineRule="exact"/>
        <w:rPr>
          <w:sz w:val="20"/>
          <w:szCs w:val="20"/>
          <w:color w:val="auto"/>
        </w:rPr>
      </w:pPr>
    </w:p>
    <w:p>
      <w:pPr>
        <w:ind w:left="3280"/>
        <w:spacing w:after="0"/>
        <w:rPr>
          <w:sz w:val="20"/>
          <w:szCs w:val="20"/>
          <w:color w:val="auto"/>
        </w:rPr>
      </w:pPr>
      <w:r>
        <w:rPr>
          <w:rFonts w:ascii="Arial" w:cs="Arial" w:eastAsia="Arial" w:hAnsi="Arial"/>
          <w:sz w:val="20"/>
          <w:szCs w:val="20"/>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Growth - CC</w:t>
      </w:r>
    </w:p>
    <w:p>
      <w:pPr>
        <w:spacing w:after="0" w:line="395" w:lineRule="exact"/>
        <w:rPr>
          <w:sz w:val="20"/>
          <w:szCs w:val="20"/>
          <w:color w:val="auto"/>
        </w:rPr>
      </w:pPr>
    </w:p>
    <w:p>
      <w:pPr>
        <w:sectPr>
          <w:pgSz w:w="11900" w:h="16838" w:orient="portrait"/>
          <w:cols w:equalWidth="0" w:num="2">
            <w:col w:w="4180" w:space="720"/>
            <w:col w:w="4320"/>
          </w:cols>
          <w:pgMar w:left="1440" w:top="380" w:right="1239" w:bottom="1440" w:gutter="0" w:footer="0" w:header="0"/>
          <w:type w:val="continuous"/>
        </w:sectPr>
      </w:pPr>
    </w:p>
    <w:p>
      <w:pPr>
        <w:ind w:left="480" w:hanging="197"/>
        <w:spacing w:after="0"/>
        <w:tabs>
          <w:tab w:leader="none" w:pos="480" w:val="left"/>
        </w:tabs>
        <w:numPr>
          <w:ilvl w:val="0"/>
          <w:numId w:val="8"/>
        </w:numPr>
        <w:rPr>
          <w:rFonts w:ascii="Arial" w:cs="Arial" w:eastAsia="Arial" w:hAnsi="Arial"/>
          <w:sz w:val="24"/>
          <w:szCs w:val="24"/>
          <w:b w:val="1"/>
          <w:bCs w:val="1"/>
          <w:color w:val="auto"/>
          <w:vertAlign w:val="superscript"/>
        </w:rPr>
      </w:pPr>
      <w:r>
        <w:rPr>
          <w:rFonts w:ascii="Arial" w:cs="Arial" w:eastAsia="Arial" w:hAnsi="Arial"/>
          <w:sz w:val="17"/>
          <w:szCs w:val="17"/>
          <w:color w:val="auto"/>
        </w:rPr>
        <w:t>On an organic basis, US revenue decreased 8% 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371475</wp:posOffset>
            </wp:positionV>
            <wp:extent cx="727900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type w:val="continuous"/>
        </w:sectPr>
      </w:pPr>
    </w:p>
    <w:bookmarkStart w:id="17" w:name="page18"/>
    <w:bookmarkEnd w:id="17"/>
    <w:tbl>
      <w:tblPr>
        <w:tblLayout w:type="fixed"/>
        <w:tblInd w:w="80" w:type="dxa"/>
        <w:tblCellMar>
          <w:top w:w="0" w:type="dxa"/>
          <w:left w:w="0" w:type="dxa"/>
          <w:bottom w:w="0" w:type="dxa"/>
          <w:right w:w="0" w:type="dxa"/>
        </w:tblCellMar>
      </w:tblPr>
      <w:tr>
        <w:trPr>
          <w:trHeight w:val="364"/>
        </w:trPr>
        <w:tc>
          <w:tcPr>
            <w:tcW w:w="630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40" w:type="dxa"/>
            <w:vAlign w:val="bottom"/>
          </w:tcPr>
          <w:p>
            <w:pPr>
              <w:jc w:val="right"/>
              <w:spacing w:after="0"/>
              <w:rPr>
                <w:sz w:val="20"/>
                <w:szCs w:val="20"/>
                <w:color w:val="auto"/>
              </w:rPr>
            </w:pPr>
            <w:r>
              <w:rPr>
                <w:rFonts w:ascii="Arial" w:cs="Arial" w:eastAsia="Arial" w:hAnsi="Arial"/>
                <w:sz w:val="20"/>
                <w:szCs w:val="20"/>
                <w:color w:val="FFFFFF"/>
              </w:rPr>
              <w:t>7</w:t>
            </w:r>
          </w:p>
        </w:tc>
      </w:tr>
    </w:tbl>
    <w:p>
      <w:pPr>
        <w:jc w:val="right"/>
        <w:spacing w:after="0"/>
        <w:rPr>
          <w:sz w:val="20"/>
          <w:szCs w:val="20"/>
          <w:color w:val="auto"/>
        </w:rPr>
        <w:sectPr>
          <w:pgSz w:w="11900" w:h="16838" w:orient="portrait"/>
          <w:cols w:equalWidth="0" w:num="1">
            <w:col w:w="9220"/>
          </w:cols>
          <w:pgMar w:left="1440" w:top="380" w:right="1239" w:bottom="1440" w:gutter="0" w:footer="0" w:header="0"/>
        </w:sect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44"/>
          <w:szCs w:val="44"/>
          <w:color w:val="6698C2"/>
        </w:rPr>
        <w:t>France Segment</w:t>
      </w:r>
    </w:p>
    <w:p>
      <w:pPr>
        <w:ind w:left="80"/>
        <w:spacing w:after="0"/>
        <w:rPr>
          <w:sz w:val="20"/>
          <w:szCs w:val="20"/>
          <w:color w:val="auto"/>
        </w:rPr>
      </w:pPr>
      <w:r>
        <w:rPr>
          <w:rFonts w:ascii="Arial" w:cs="Arial" w:eastAsia="Arial" w:hAnsi="Arial"/>
          <w:sz w:val="29"/>
          <w:szCs w:val="29"/>
          <w:color w:val="6698C2"/>
        </w:rPr>
        <w:t>(29% of Revenue)</w:t>
      </w:r>
    </w:p>
    <w:p>
      <w:pPr>
        <w:spacing w:after="0" w:line="330" w:lineRule="exact"/>
        <w:rPr>
          <w:sz w:val="20"/>
          <w:szCs w:val="20"/>
          <w:color w:val="auto"/>
        </w:rPr>
      </w:pPr>
    </w:p>
    <w:p>
      <w:pPr>
        <w:ind w:left="2020"/>
        <w:spacing w:after="0"/>
        <w:rPr>
          <w:sz w:val="20"/>
          <w:szCs w:val="20"/>
          <w:color w:val="auto"/>
        </w:rPr>
      </w:pPr>
      <w:r>
        <w:rPr>
          <w:rFonts w:ascii="Arial" w:cs="Arial" w:eastAsia="Arial" w:hAnsi="Arial"/>
          <w:sz w:val="20"/>
          <w:szCs w:val="20"/>
          <w:b w:val="1"/>
          <w:bCs w:val="1"/>
          <w:color w:val="auto"/>
        </w:rPr>
        <w:t>Excluding Non</w:t>
      </w:r>
    </w:p>
    <w:p>
      <w:pPr>
        <w:ind w:left="960"/>
        <w:spacing w:after="0" w:line="234" w:lineRule="auto"/>
        <w:tabs>
          <w:tab w:leader="none" w:pos="2220" w:val="left"/>
        </w:tabs>
        <w:rPr>
          <w:sz w:val="20"/>
          <w:szCs w:val="20"/>
          <w:color w:val="auto"/>
        </w:rPr>
      </w:pPr>
      <w:r>
        <w:rPr>
          <w:rFonts w:ascii="Arial" w:cs="Arial" w:eastAsia="Arial" w:hAnsi="Arial"/>
          <w:sz w:val="20"/>
          <w:szCs w:val="20"/>
          <w:b w:val="1"/>
          <w:bCs w:val="1"/>
          <w:color w:val="auto"/>
        </w:rPr>
        <w:t>As</w:t>
      </w:r>
      <w:r>
        <w:rPr>
          <w:sz w:val="20"/>
          <w:szCs w:val="20"/>
          <w:color w:val="auto"/>
        </w:rPr>
        <w:tab/>
      </w:r>
      <w:r>
        <w:rPr>
          <w:rFonts w:ascii="Arial" w:cs="Arial" w:eastAsia="Arial" w:hAnsi="Arial"/>
          <w:sz w:val="20"/>
          <w:szCs w:val="20"/>
          <w:b w:val="1"/>
          <w:bCs w:val="1"/>
          <w:color w:val="auto"/>
        </w:rPr>
        <w:t>-recurring</w:t>
      </w:r>
    </w:p>
    <w:p>
      <w:pPr>
        <w:spacing w:after="0" w:line="1"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20"/>
          <w:szCs w:val="20"/>
          <w:b w:val="1"/>
          <w:bCs w:val="1"/>
          <w:color w:val="auto"/>
        </w:rPr>
        <w:t>Reported</w:t>
      </w:r>
      <w:r>
        <w:rPr>
          <w:sz w:val="20"/>
          <w:szCs w:val="20"/>
          <w:color w:val="auto"/>
        </w:rPr>
        <w:tab/>
      </w:r>
      <w:r>
        <w:rPr>
          <w:rFonts w:ascii="Arial" w:cs="Arial" w:eastAsia="Arial" w:hAnsi="Arial"/>
          <w:sz w:val="20"/>
          <w:szCs w:val="20"/>
          <w:b w:val="1"/>
          <w:bCs w:val="1"/>
          <w:color w:val="auto"/>
        </w:rPr>
        <w:t>Items</w:t>
      </w:r>
      <w:r>
        <w:rPr>
          <w:rFonts w:ascii="Arial" w:cs="Arial" w:eastAsia="Arial" w:hAnsi="Arial"/>
          <w:sz w:val="31"/>
          <w:szCs w:val="31"/>
          <w:b w:val="1"/>
          <w:bCs w:val="1"/>
          <w:color w:val="5F81AA"/>
          <w:vertAlign w:val="superscript"/>
        </w:rPr>
        <w:t>(1)</w:t>
      </w:r>
    </w:p>
    <w:p>
      <w:pPr>
        <w:spacing w:after="0" w:line="125" w:lineRule="exact"/>
        <w:rPr>
          <w:sz w:val="20"/>
          <w:szCs w:val="20"/>
          <w:color w:val="auto"/>
        </w:rPr>
      </w:pPr>
    </w:p>
    <w:p>
      <w:pPr>
        <w:ind w:left="920"/>
        <w:spacing w:after="0"/>
        <w:tabs>
          <w:tab w:leader="none" w:pos="2580" w:val="left"/>
        </w:tabs>
        <w:rPr>
          <w:sz w:val="20"/>
          <w:szCs w:val="20"/>
          <w:color w:val="auto"/>
        </w:rPr>
      </w:pPr>
      <w:r>
        <w:rPr>
          <w:rFonts w:ascii="Arial" w:cs="Arial" w:eastAsia="Arial" w:hAnsi="Arial"/>
          <w:sz w:val="35"/>
          <w:szCs w:val="35"/>
          <w:color w:val="auto"/>
        </w:rPr>
        <w:t>3%</w:t>
      </w:r>
      <w:r>
        <w:rPr>
          <w:sz w:val="20"/>
          <w:szCs w:val="20"/>
          <w:color w:val="auto"/>
        </w:rPr>
        <w:tab/>
      </w:r>
      <w:r>
        <w:rPr>
          <w:rFonts w:ascii="Arial" w:cs="Arial" w:eastAsia="Arial" w:hAnsi="Arial"/>
          <w:sz w:val="35"/>
          <w:szCs w:val="35"/>
          <w:color w:val="auto"/>
        </w:rPr>
        <w:t>3%</w:t>
      </w:r>
    </w:p>
    <w:p>
      <w:pPr>
        <w:spacing w:after="0" w:line="22" w:lineRule="exact"/>
        <w:rPr>
          <w:sz w:val="20"/>
          <w:szCs w:val="20"/>
          <w:color w:val="auto"/>
        </w:rPr>
      </w:pPr>
    </w:p>
    <w:p>
      <w:pPr>
        <w:ind w:left="780"/>
        <w:spacing w:after="0"/>
        <w:tabs>
          <w:tab w:leader="none" w:pos="2440" w:val="left"/>
        </w:tabs>
        <w:rPr>
          <w:sz w:val="20"/>
          <w:szCs w:val="20"/>
          <w:color w:val="auto"/>
        </w:rPr>
      </w:pPr>
      <w:r>
        <w:rPr>
          <w:rFonts w:ascii="Arial" w:cs="Arial" w:eastAsia="Arial" w:hAnsi="Arial"/>
          <w:sz w:val="35"/>
          <w:szCs w:val="35"/>
          <w:color w:val="auto"/>
        </w:rPr>
        <w:t>14%</w:t>
      </w:r>
      <w:r>
        <w:rPr>
          <w:sz w:val="20"/>
          <w:szCs w:val="20"/>
          <w:color w:val="auto"/>
        </w:rPr>
        <w:tab/>
      </w:r>
      <w:r>
        <w:rPr>
          <w:rFonts w:ascii="Arial" w:cs="Arial" w:eastAsia="Arial" w:hAnsi="Arial"/>
          <w:sz w:val="35"/>
          <w:szCs w:val="35"/>
          <w:color w:val="auto"/>
        </w:rPr>
        <w:t>14%</w:t>
      </w:r>
    </w:p>
    <w:p>
      <w:pPr>
        <w:ind w:left="2560" w:hanging="1686"/>
        <w:spacing w:after="0" w:line="183" w:lineRule="auto"/>
        <w:tabs>
          <w:tab w:leader="none" w:pos="2560" w:val="left"/>
        </w:tabs>
        <w:numPr>
          <w:ilvl w:val="0"/>
          <w:numId w:val="9"/>
        </w:numPr>
        <w:rPr>
          <w:rFonts w:ascii="Arial" w:cs="Arial" w:eastAsia="Arial" w:hAnsi="Arial"/>
          <w:sz w:val="26"/>
          <w:szCs w:val="26"/>
          <w:color w:val="auto"/>
        </w:rPr>
      </w:pPr>
      <w:r>
        <w:rPr>
          <w:rFonts w:ascii="Arial" w:cs="Arial" w:eastAsia="Arial" w:hAnsi="Arial"/>
          <w:sz w:val="26"/>
          <w:szCs w:val="26"/>
          <w:color w:val="auto"/>
        </w:rPr>
        <w:t>CC</w:t>
      </w:r>
    </w:p>
    <w:p>
      <w:pPr>
        <w:ind w:left="800"/>
        <w:spacing w:after="0"/>
        <w:rPr>
          <w:rFonts w:ascii="Arial" w:cs="Arial" w:eastAsia="Arial" w:hAnsi="Arial"/>
          <w:sz w:val="26"/>
          <w:szCs w:val="26"/>
          <w:color w:val="auto"/>
        </w:rPr>
      </w:pPr>
      <w:r>
        <w:rPr>
          <w:rFonts w:ascii="Arial" w:cs="Arial" w:eastAsia="Arial" w:hAnsi="Arial"/>
          <w:sz w:val="35"/>
          <w:szCs w:val="35"/>
          <w:color w:val="auto"/>
        </w:rPr>
        <w:t>95%</w:t>
      </w:r>
      <w:r>
        <w:rPr>
          <w:rFonts w:ascii="Arial" w:cs="Arial" w:eastAsia="Arial" w:hAnsi="Arial"/>
          <w:sz w:val="34"/>
          <w:szCs w:val="34"/>
          <w:color w:val="auto"/>
        </w:rPr>
        <w:t>80%</w:t>
      </w:r>
    </w:p>
    <w:p>
      <w:pPr>
        <w:spacing w:after="0" w:line="22" w:lineRule="exact"/>
        <w:rPr>
          <w:sz w:val="20"/>
          <w:szCs w:val="20"/>
          <w:color w:val="auto"/>
        </w:rPr>
      </w:pPr>
    </w:p>
    <w:tbl>
      <w:tblPr>
        <w:tblLayout w:type="fixed"/>
        <w:tblInd w:w="500" w:type="dxa"/>
        <w:tblCellMar>
          <w:top w:w="0" w:type="dxa"/>
          <w:left w:w="0" w:type="dxa"/>
          <w:bottom w:w="0" w:type="dxa"/>
          <w:right w:w="0" w:type="dxa"/>
        </w:tblCellMar>
      </w:tblPr>
      <w:tr>
        <w:trPr>
          <w:trHeight w:val="413"/>
        </w:trPr>
        <w:tc>
          <w:tcPr>
            <w:tcW w:w="1460" w:type="dxa"/>
            <w:vAlign w:val="bottom"/>
          </w:tcPr>
          <w:p>
            <w:pPr>
              <w:jc w:val="center"/>
              <w:ind w:right="26"/>
              <w:spacing w:after="0"/>
              <w:rPr>
                <w:sz w:val="20"/>
                <w:szCs w:val="20"/>
                <w:color w:val="auto"/>
              </w:rPr>
            </w:pPr>
            <w:r>
              <w:rPr>
                <w:rFonts w:ascii="Arial" w:cs="Arial" w:eastAsia="Arial" w:hAnsi="Arial"/>
                <w:sz w:val="35"/>
                <w:szCs w:val="35"/>
                <w:color w:val="auto"/>
                <w:w w:val="99"/>
              </w:rPr>
              <w:t>96%</w:t>
            </w:r>
          </w:p>
        </w:tc>
        <w:tc>
          <w:tcPr>
            <w:tcW w:w="1460" w:type="dxa"/>
            <w:vAlign w:val="bottom"/>
          </w:tcPr>
          <w:p>
            <w:pPr>
              <w:jc w:val="center"/>
              <w:ind w:left="66"/>
              <w:spacing w:after="0"/>
              <w:rPr>
                <w:sz w:val="20"/>
                <w:szCs w:val="20"/>
                <w:color w:val="auto"/>
              </w:rPr>
            </w:pPr>
            <w:r>
              <w:rPr>
                <w:rFonts w:ascii="Arial" w:cs="Arial" w:eastAsia="Arial" w:hAnsi="Arial"/>
                <w:sz w:val="35"/>
                <w:szCs w:val="35"/>
                <w:color w:val="auto"/>
                <w:w w:val="99"/>
              </w:rPr>
              <w:t>82%</w:t>
            </w:r>
          </w:p>
        </w:tc>
      </w:tr>
      <w:tr>
        <w:trPr>
          <w:trHeight w:val="413"/>
        </w:trPr>
        <w:tc>
          <w:tcPr>
            <w:tcW w:w="1460" w:type="dxa"/>
            <w:vAlign w:val="bottom"/>
          </w:tcPr>
          <w:p>
            <w:pPr>
              <w:jc w:val="center"/>
              <w:ind w:right="26"/>
              <w:spacing w:after="0"/>
              <w:rPr>
                <w:sz w:val="20"/>
                <w:szCs w:val="20"/>
                <w:color w:val="auto"/>
              </w:rPr>
            </w:pPr>
            <w:r>
              <w:rPr>
                <w:rFonts w:ascii="Arial" w:cs="Arial" w:eastAsia="Arial" w:hAnsi="Arial"/>
                <w:sz w:val="35"/>
                <w:szCs w:val="35"/>
                <w:color w:val="auto"/>
                <w:w w:val="98"/>
              </w:rPr>
              <w:t>CC</w:t>
            </w:r>
          </w:p>
        </w:tc>
        <w:tc>
          <w:tcPr>
            <w:tcW w:w="1460" w:type="dxa"/>
            <w:vAlign w:val="bottom"/>
          </w:tcPr>
          <w:p>
            <w:pPr>
              <w:jc w:val="center"/>
              <w:ind w:left="66"/>
              <w:spacing w:after="0"/>
              <w:rPr>
                <w:sz w:val="20"/>
                <w:szCs w:val="20"/>
                <w:color w:val="auto"/>
              </w:rPr>
            </w:pPr>
            <w:r>
              <w:rPr>
                <w:rFonts w:ascii="Arial" w:cs="Arial" w:eastAsia="Arial" w:hAnsi="Arial"/>
                <w:sz w:val="35"/>
                <w:szCs w:val="35"/>
                <w:color w:val="auto"/>
                <w:w w:val="98"/>
              </w:rPr>
              <w:t>CC</w:t>
            </w:r>
          </w:p>
        </w:tc>
      </w:tr>
      <w:tr>
        <w:trPr>
          <w:trHeight w:val="419"/>
        </w:trPr>
        <w:tc>
          <w:tcPr>
            <w:tcW w:w="1460" w:type="dxa"/>
            <w:vAlign w:val="bottom"/>
          </w:tcPr>
          <w:p>
            <w:pPr>
              <w:jc w:val="center"/>
              <w:ind w:right="66"/>
              <w:spacing w:after="0"/>
              <w:rPr>
                <w:sz w:val="20"/>
                <w:szCs w:val="20"/>
                <w:color w:val="auto"/>
              </w:rPr>
            </w:pPr>
            <w:r>
              <w:rPr>
                <w:rFonts w:ascii="Arial" w:cs="Arial" w:eastAsia="Arial" w:hAnsi="Arial"/>
                <w:sz w:val="35"/>
                <w:szCs w:val="35"/>
                <w:color w:val="auto"/>
                <w:w w:val="97"/>
              </w:rPr>
              <w:t>770 bps</w:t>
            </w:r>
          </w:p>
        </w:tc>
        <w:tc>
          <w:tcPr>
            <w:tcW w:w="1460" w:type="dxa"/>
            <w:vAlign w:val="bottom"/>
          </w:tcPr>
          <w:p>
            <w:pPr>
              <w:jc w:val="center"/>
              <w:ind w:left="46"/>
              <w:spacing w:after="0"/>
              <w:rPr>
                <w:sz w:val="20"/>
                <w:szCs w:val="20"/>
                <w:color w:val="auto"/>
              </w:rPr>
            </w:pPr>
            <w:r>
              <w:rPr>
                <w:rFonts w:ascii="Arial" w:cs="Arial" w:eastAsia="Arial" w:hAnsi="Arial"/>
                <w:sz w:val="35"/>
                <w:szCs w:val="35"/>
                <w:color w:val="auto"/>
                <w:w w:val="99"/>
              </w:rPr>
              <w:t>290 bps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80" w:hanging="127"/>
        <w:spacing w:after="0" w:line="505" w:lineRule="auto"/>
        <w:rPr>
          <w:sz w:val="20"/>
          <w:szCs w:val="20"/>
          <w:color w:val="auto"/>
        </w:rPr>
      </w:pPr>
      <w:r>
        <w:rPr>
          <w:rFonts w:ascii="Arial" w:cs="Arial" w:eastAsia="Arial" w:hAnsi="Arial"/>
          <w:sz w:val="37"/>
          <w:szCs w:val="37"/>
          <w:b w:val="1"/>
          <w:bCs w:val="1"/>
          <w:color w:val="auto"/>
        </w:rPr>
        <w:t xml:space="preserve">Q4 Financial Highlights Revenue </w:t>
      </w:r>
      <w:r>
        <w:rPr>
          <w:rFonts w:ascii="Arial" w:cs="Arial" w:eastAsia="Arial" w:hAnsi="Arial"/>
          <w:sz w:val="39"/>
          <w:szCs w:val="39"/>
          <w:b w:val="1"/>
          <w:bCs w:val="1"/>
          <w:color w:val="5F81AA"/>
        </w:rPr>
        <w:t>$1.3B</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38"/>
          <w:szCs w:val="38"/>
          <w:b w:val="1"/>
          <w:bCs w:val="1"/>
          <w:color w:val="auto"/>
        </w:rPr>
        <w:t xml:space="preserve">OUP  </w:t>
      </w:r>
      <w:r>
        <w:rPr>
          <w:rFonts w:ascii="Arial" w:cs="Arial" w:eastAsia="Arial" w:hAnsi="Arial"/>
          <w:sz w:val="40"/>
          <w:szCs w:val="40"/>
          <w:b w:val="1"/>
          <w:bCs w:val="1"/>
          <w:color w:val="5F81AA"/>
        </w:rPr>
        <w:t>$5M</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38"/>
          <w:szCs w:val="38"/>
          <w:b w:val="1"/>
          <w:bCs w:val="1"/>
          <w:color w:val="auto"/>
        </w:rPr>
        <w:t xml:space="preserve">OUP Margin </w:t>
      </w:r>
      <w:r>
        <w:rPr>
          <w:rFonts w:ascii="Arial" w:cs="Arial" w:eastAsia="Arial" w:hAnsi="Arial"/>
          <w:sz w:val="40"/>
          <w:szCs w:val="40"/>
          <w:b w:val="1"/>
          <w:bCs w:val="1"/>
          <w:color w:val="5F81AA"/>
        </w:rPr>
        <w:t>0.4%</w:t>
      </w:r>
    </w:p>
    <w:p>
      <w:pPr>
        <w:spacing w:after="0" w:line="250" w:lineRule="exact"/>
        <w:rPr>
          <w:sz w:val="20"/>
          <w:szCs w:val="20"/>
          <w:color w:val="auto"/>
        </w:rPr>
      </w:pPr>
    </w:p>
    <w:p>
      <w:pPr>
        <w:sectPr>
          <w:pgSz w:w="11900" w:h="16838" w:orient="portrait"/>
          <w:cols w:equalWidth="0" w:num="2">
            <w:col w:w="3440" w:space="440"/>
            <w:col w:w="5340"/>
          </w:cols>
          <w:pgMar w:left="1440" w:top="380"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300" w:right="1600" w:hanging="213"/>
        <w:spacing w:after="0" w:line="224" w:lineRule="auto"/>
        <w:tabs>
          <w:tab w:leader="none" w:pos="290" w:val="left"/>
        </w:tabs>
        <w:numPr>
          <w:ilvl w:val="0"/>
          <w:numId w:val="10"/>
        </w:numPr>
        <w:rPr>
          <w:rFonts w:ascii="Arial" w:cs="Arial" w:eastAsia="Arial" w:hAnsi="Arial"/>
          <w:sz w:val="24"/>
          <w:szCs w:val="24"/>
          <w:b w:val="1"/>
          <w:bCs w:val="1"/>
          <w:color w:val="auto"/>
          <w:vertAlign w:val="superscript"/>
        </w:rPr>
      </w:pPr>
      <w:r>
        <w:rPr>
          <w:rFonts w:ascii="Arial" w:cs="Arial" w:eastAsia="Arial" w:hAnsi="Arial"/>
          <w:sz w:val="17"/>
          <w:szCs w:val="17"/>
          <w:color w:val="auto"/>
        </w:rPr>
        <w:t>Excludes the impact of $4.7M of reorganization charges in 2009, and the business tax refund of $48.2M, the payroll tax adjustment of $14.5M and reorganization charges of $2.7M in 2008 (net favorable impact $60.0M).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544830</wp:posOffset>
            </wp:positionV>
            <wp:extent cx="727900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type w:val="continuous"/>
        </w:sectPr>
      </w:pPr>
    </w:p>
    <w:bookmarkStart w:id="18" w:name="page19"/>
    <w:bookmarkEnd w:id="18"/>
    <w:tbl>
      <w:tblPr>
        <w:tblLayout w:type="fixed"/>
        <w:tblInd w:w="80" w:type="dxa"/>
        <w:tblCellMar>
          <w:top w:w="0" w:type="dxa"/>
          <w:left w:w="0" w:type="dxa"/>
          <w:bottom w:w="0" w:type="dxa"/>
          <w:right w:w="0" w:type="dxa"/>
        </w:tblCellMar>
      </w:tblPr>
      <w:tr>
        <w:trPr>
          <w:trHeight w:val="364"/>
        </w:trPr>
        <w:tc>
          <w:tcPr>
            <w:tcW w:w="630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40" w:type="dxa"/>
            <w:vAlign w:val="bottom"/>
          </w:tcPr>
          <w:p>
            <w:pPr>
              <w:jc w:val="right"/>
              <w:spacing w:after="0"/>
              <w:rPr>
                <w:sz w:val="20"/>
                <w:szCs w:val="20"/>
                <w:color w:val="auto"/>
              </w:rPr>
            </w:pPr>
            <w:r>
              <w:rPr>
                <w:rFonts w:ascii="Arial" w:cs="Arial" w:eastAsia="Arial" w:hAnsi="Arial"/>
                <w:sz w:val="20"/>
                <w:szCs w:val="20"/>
                <w:color w:val="FFFFFF"/>
              </w:rPr>
              <w:t>8</w:t>
            </w:r>
          </w:p>
        </w:tc>
      </w:tr>
    </w:tbl>
    <w:p>
      <w:pPr>
        <w:jc w:val="right"/>
        <w:spacing w:after="0"/>
        <w:rPr>
          <w:sz w:val="20"/>
          <w:szCs w:val="20"/>
          <w:color w:val="auto"/>
        </w:rPr>
        <w:sectPr>
          <w:pgSz w:w="11900" w:h="16838" w:orient="portrait"/>
          <w:cols w:equalWidth="0" w:num="1">
            <w:col w:w="9220"/>
          </w:cols>
          <w:pgMar w:left="1440" w:top="380" w:right="1239" w:bottom="1440" w:gutter="0" w:footer="0" w:header="0"/>
        </w:sect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44"/>
          <w:szCs w:val="44"/>
          <w:color w:val="6698C2"/>
        </w:rPr>
        <w:t>EMEA Segment</w:t>
      </w:r>
    </w:p>
    <w:p>
      <w:pPr>
        <w:ind w:left="80"/>
        <w:spacing w:after="0"/>
        <w:rPr>
          <w:sz w:val="20"/>
          <w:szCs w:val="20"/>
          <w:color w:val="auto"/>
        </w:rPr>
      </w:pPr>
      <w:r>
        <w:rPr>
          <w:rFonts w:ascii="Arial" w:cs="Arial" w:eastAsia="Arial" w:hAnsi="Arial"/>
          <w:sz w:val="29"/>
          <w:szCs w:val="29"/>
          <w:color w:val="6698C2"/>
        </w:rPr>
        <w:t>(40% of Revenue)</w:t>
      </w:r>
    </w:p>
    <w:p>
      <w:pPr>
        <w:spacing w:after="0" w:line="330" w:lineRule="exact"/>
        <w:rPr>
          <w:sz w:val="20"/>
          <w:szCs w:val="20"/>
          <w:color w:val="auto"/>
        </w:rPr>
      </w:pPr>
    </w:p>
    <w:p>
      <w:pPr>
        <w:ind w:left="2020"/>
        <w:spacing w:after="0"/>
        <w:rPr>
          <w:sz w:val="20"/>
          <w:szCs w:val="20"/>
          <w:color w:val="auto"/>
        </w:rPr>
      </w:pPr>
      <w:r>
        <w:rPr>
          <w:rFonts w:ascii="Arial" w:cs="Arial" w:eastAsia="Arial" w:hAnsi="Arial"/>
          <w:sz w:val="20"/>
          <w:szCs w:val="20"/>
          <w:b w:val="1"/>
          <w:bCs w:val="1"/>
          <w:color w:val="auto"/>
        </w:rPr>
        <w:t>Excluding Non</w:t>
      </w:r>
    </w:p>
    <w:p>
      <w:pPr>
        <w:ind w:left="960"/>
        <w:spacing w:after="0" w:line="234" w:lineRule="auto"/>
        <w:tabs>
          <w:tab w:leader="none" w:pos="2220" w:val="left"/>
        </w:tabs>
        <w:rPr>
          <w:sz w:val="20"/>
          <w:szCs w:val="20"/>
          <w:color w:val="auto"/>
        </w:rPr>
      </w:pPr>
      <w:r>
        <w:rPr>
          <w:rFonts w:ascii="Arial" w:cs="Arial" w:eastAsia="Arial" w:hAnsi="Arial"/>
          <w:sz w:val="20"/>
          <w:szCs w:val="20"/>
          <w:b w:val="1"/>
          <w:bCs w:val="1"/>
          <w:color w:val="auto"/>
        </w:rPr>
        <w:t>As</w:t>
      </w:r>
      <w:r>
        <w:rPr>
          <w:sz w:val="20"/>
          <w:szCs w:val="20"/>
          <w:color w:val="auto"/>
        </w:rPr>
        <w:tab/>
      </w:r>
      <w:r>
        <w:rPr>
          <w:rFonts w:ascii="Arial" w:cs="Arial" w:eastAsia="Arial" w:hAnsi="Arial"/>
          <w:sz w:val="20"/>
          <w:szCs w:val="20"/>
          <w:b w:val="1"/>
          <w:bCs w:val="1"/>
          <w:color w:val="auto"/>
        </w:rPr>
        <w:t>-recurring</w:t>
      </w:r>
    </w:p>
    <w:p>
      <w:pPr>
        <w:spacing w:after="0" w:line="1"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20"/>
          <w:szCs w:val="20"/>
          <w:b w:val="1"/>
          <w:bCs w:val="1"/>
          <w:color w:val="auto"/>
        </w:rPr>
        <w:t>Reported</w:t>
      </w:r>
      <w:r>
        <w:rPr>
          <w:sz w:val="20"/>
          <w:szCs w:val="20"/>
          <w:color w:val="auto"/>
        </w:rPr>
        <w:tab/>
      </w:r>
      <w:r>
        <w:rPr>
          <w:rFonts w:ascii="Arial" w:cs="Arial" w:eastAsia="Arial" w:hAnsi="Arial"/>
          <w:sz w:val="20"/>
          <w:szCs w:val="20"/>
          <w:b w:val="1"/>
          <w:bCs w:val="1"/>
          <w:color w:val="auto"/>
        </w:rPr>
        <w:t>Items</w:t>
      </w:r>
      <w:r>
        <w:rPr>
          <w:rFonts w:ascii="Arial" w:cs="Arial" w:eastAsia="Arial" w:hAnsi="Arial"/>
          <w:sz w:val="31"/>
          <w:szCs w:val="31"/>
          <w:b w:val="1"/>
          <w:bCs w:val="1"/>
          <w:color w:val="6698C2"/>
          <w:vertAlign w:val="superscript"/>
        </w:rPr>
        <w:t>(2)</w:t>
      </w:r>
    </w:p>
    <w:p>
      <w:pPr>
        <w:spacing w:after="0" w:line="125" w:lineRule="exact"/>
        <w:rPr>
          <w:sz w:val="20"/>
          <w:szCs w:val="20"/>
          <w:color w:val="auto"/>
        </w:rPr>
      </w:pPr>
    </w:p>
    <w:p>
      <w:pPr>
        <w:ind w:left="920"/>
        <w:spacing w:after="0"/>
        <w:tabs>
          <w:tab w:leader="none" w:pos="2580" w:val="left"/>
        </w:tabs>
        <w:rPr>
          <w:sz w:val="20"/>
          <w:szCs w:val="20"/>
          <w:color w:val="auto"/>
        </w:rPr>
      </w:pPr>
      <w:r>
        <w:rPr>
          <w:rFonts w:ascii="Arial" w:cs="Arial" w:eastAsia="Arial" w:hAnsi="Arial"/>
          <w:sz w:val="35"/>
          <w:szCs w:val="35"/>
          <w:color w:val="auto"/>
        </w:rPr>
        <w:t>7%</w:t>
      </w:r>
      <w:r>
        <w:rPr>
          <w:sz w:val="20"/>
          <w:szCs w:val="20"/>
          <w:color w:val="auto"/>
        </w:rPr>
        <w:tab/>
      </w:r>
      <w:r>
        <w:rPr>
          <w:rFonts w:ascii="Arial" w:cs="Arial" w:eastAsia="Arial" w:hAnsi="Arial"/>
          <w:sz w:val="35"/>
          <w:szCs w:val="35"/>
          <w:color w:val="auto"/>
        </w:rPr>
        <w:t>7%</w:t>
      </w:r>
    </w:p>
    <w:p>
      <w:pPr>
        <w:spacing w:after="0" w:line="22" w:lineRule="exact"/>
        <w:rPr>
          <w:sz w:val="20"/>
          <w:szCs w:val="20"/>
          <w:color w:val="auto"/>
        </w:rPr>
      </w:pPr>
    </w:p>
    <w:p>
      <w:pPr>
        <w:ind w:left="780"/>
        <w:spacing w:after="0"/>
        <w:tabs>
          <w:tab w:leader="none" w:pos="2440" w:val="left"/>
        </w:tabs>
        <w:rPr>
          <w:sz w:val="20"/>
          <w:szCs w:val="20"/>
          <w:color w:val="auto"/>
        </w:rPr>
      </w:pPr>
      <w:r>
        <w:rPr>
          <w:rFonts w:ascii="Arial" w:cs="Arial" w:eastAsia="Arial" w:hAnsi="Arial"/>
          <w:sz w:val="35"/>
          <w:szCs w:val="35"/>
          <w:color w:val="auto"/>
        </w:rPr>
        <w:t>15%</w:t>
      </w:r>
      <w:r>
        <w:rPr>
          <w:sz w:val="20"/>
          <w:szCs w:val="20"/>
          <w:color w:val="auto"/>
        </w:rPr>
        <w:tab/>
      </w:r>
      <w:r>
        <w:rPr>
          <w:rFonts w:ascii="Arial" w:cs="Arial" w:eastAsia="Arial" w:hAnsi="Arial"/>
          <w:sz w:val="35"/>
          <w:szCs w:val="35"/>
          <w:color w:val="auto"/>
        </w:rPr>
        <w:t>15%</w:t>
      </w:r>
    </w:p>
    <w:p>
      <w:pPr>
        <w:ind w:left="2560" w:hanging="1686"/>
        <w:spacing w:after="0" w:line="183" w:lineRule="auto"/>
        <w:tabs>
          <w:tab w:leader="none" w:pos="2560" w:val="left"/>
        </w:tabs>
        <w:numPr>
          <w:ilvl w:val="0"/>
          <w:numId w:val="11"/>
        </w:numPr>
        <w:rPr>
          <w:rFonts w:ascii="Arial" w:cs="Arial" w:eastAsia="Arial" w:hAnsi="Arial"/>
          <w:sz w:val="26"/>
          <w:szCs w:val="26"/>
          <w:color w:val="auto"/>
        </w:rPr>
      </w:pPr>
      <w:r>
        <w:rPr>
          <w:rFonts w:ascii="Arial" w:cs="Arial" w:eastAsia="Arial" w:hAnsi="Arial"/>
          <w:sz w:val="26"/>
          <w:szCs w:val="26"/>
          <w:color w:val="auto"/>
        </w:rPr>
        <w:t>CC</w:t>
      </w:r>
    </w:p>
    <w:p>
      <w:pPr>
        <w:ind w:left="800"/>
        <w:spacing w:after="0"/>
        <w:rPr>
          <w:rFonts w:ascii="Arial" w:cs="Arial" w:eastAsia="Arial" w:hAnsi="Arial"/>
          <w:sz w:val="26"/>
          <w:szCs w:val="26"/>
          <w:color w:val="auto"/>
        </w:rPr>
      </w:pPr>
      <w:r>
        <w:rPr>
          <w:rFonts w:ascii="Arial" w:cs="Arial" w:eastAsia="Arial" w:hAnsi="Arial"/>
          <w:sz w:val="35"/>
          <w:szCs w:val="35"/>
          <w:color w:val="auto"/>
        </w:rPr>
        <w:t>41%</w:t>
      </w:r>
      <w:r>
        <w:rPr>
          <w:rFonts w:ascii="Arial" w:cs="Arial" w:eastAsia="Arial" w:hAnsi="Arial"/>
          <w:sz w:val="34"/>
          <w:szCs w:val="34"/>
          <w:color w:val="auto"/>
        </w:rPr>
        <w:t>48%</w:t>
      </w:r>
    </w:p>
    <w:p>
      <w:pPr>
        <w:spacing w:after="0" w:line="22" w:lineRule="exact"/>
        <w:rPr>
          <w:sz w:val="20"/>
          <w:szCs w:val="20"/>
          <w:color w:val="auto"/>
        </w:rPr>
      </w:pPr>
    </w:p>
    <w:tbl>
      <w:tblPr>
        <w:tblLayout w:type="fixed"/>
        <w:tblInd w:w="500" w:type="dxa"/>
        <w:tblCellMar>
          <w:top w:w="0" w:type="dxa"/>
          <w:left w:w="0" w:type="dxa"/>
          <w:bottom w:w="0" w:type="dxa"/>
          <w:right w:w="0" w:type="dxa"/>
        </w:tblCellMar>
      </w:tblPr>
      <w:tr>
        <w:trPr>
          <w:trHeight w:val="413"/>
        </w:trPr>
        <w:tc>
          <w:tcPr>
            <w:tcW w:w="1460" w:type="dxa"/>
            <w:vAlign w:val="bottom"/>
          </w:tcPr>
          <w:p>
            <w:pPr>
              <w:jc w:val="center"/>
              <w:ind w:right="26"/>
              <w:spacing w:after="0"/>
              <w:rPr>
                <w:sz w:val="20"/>
                <w:szCs w:val="20"/>
                <w:color w:val="auto"/>
              </w:rPr>
            </w:pPr>
            <w:r>
              <w:rPr>
                <w:rFonts w:ascii="Arial" w:cs="Arial" w:eastAsia="Arial" w:hAnsi="Arial"/>
                <w:sz w:val="35"/>
                <w:szCs w:val="35"/>
                <w:color w:val="auto"/>
                <w:w w:val="99"/>
              </w:rPr>
              <w:t>47%</w:t>
            </w:r>
          </w:p>
        </w:tc>
        <w:tc>
          <w:tcPr>
            <w:tcW w:w="1460" w:type="dxa"/>
            <w:vAlign w:val="bottom"/>
          </w:tcPr>
          <w:p>
            <w:pPr>
              <w:jc w:val="center"/>
              <w:ind w:left="66"/>
              <w:spacing w:after="0"/>
              <w:rPr>
                <w:sz w:val="20"/>
                <w:szCs w:val="20"/>
                <w:color w:val="auto"/>
              </w:rPr>
            </w:pPr>
            <w:r>
              <w:rPr>
                <w:rFonts w:ascii="Arial" w:cs="Arial" w:eastAsia="Arial" w:hAnsi="Arial"/>
                <w:sz w:val="35"/>
                <w:szCs w:val="35"/>
                <w:color w:val="auto"/>
                <w:w w:val="99"/>
              </w:rPr>
              <w:t>54%</w:t>
            </w:r>
          </w:p>
        </w:tc>
      </w:tr>
      <w:tr>
        <w:trPr>
          <w:trHeight w:val="413"/>
        </w:trPr>
        <w:tc>
          <w:tcPr>
            <w:tcW w:w="1460" w:type="dxa"/>
            <w:vAlign w:val="bottom"/>
          </w:tcPr>
          <w:p>
            <w:pPr>
              <w:jc w:val="center"/>
              <w:ind w:right="26"/>
              <w:spacing w:after="0"/>
              <w:rPr>
                <w:sz w:val="20"/>
                <w:szCs w:val="20"/>
                <w:color w:val="auto"/>
              </w:rPr>
            </w:pPr>
            <w:r>
              <w:rPr>
                <w:rFonts w:ascii="Arial" w:cs="Arial" w:eastAsia="Arial" w:hAnsi="Arial"/>
                <w:sz w:val="35"/>
                <w:szCs w:val="35"/>
                <w:color w:val="auto"/>
                <w:w w:val="98"/>
              </w:rPr>
              <w:t>CC</w:t>
            </w:r>
          </w:p>
        </w:tc>
        <w:tc>
          <w:tcPr>
            <w:tcW w:w="1460" w:type="dxa"/>
            <w:vAlign w:val="bottom"/>
          </w:tcPr>
          <w:p>
            <w:pPr>
              <w:jc w:val="center"/>
              <w:ind w:left="66"/>
              <w:spacing w:after="0"/>
              <w:rPr>
                <w:sz w:val="20"/>
                <w:szCs w:val="20"/>
                <w:color w:val="auto"/>
              </w:rPr>
            </w:pPr>
            <w:r>
              <w:rPr>
                <w:rFonts w:ascii="Arial" w:cs="Arial" w:eastAsia="Arial" w:hAnsi="Arial"/>
                <w:sz w:val="35"/>
                <w:szCs w:val="35"/>
                <w:color w:val="auto"/>
                <w:w w:val="98"/>
              </w:rPr>
              <w:t>CC</w:t>
            </w:r>
          </w:p>
        </w:tc>
      </w:tr>
      <w:tr>
        <w:trPr>
          <w:trHeight w:val="419"/>
        </w:trPr>
        <w:tc>
          <w:tcPr>
            <w:tcW w:w="1460" w:type="dxa"/>
            <w:vAlign w:val="bottom"/>
          </w:tcPr>
          <w:p>
            <w:pPr>
              <w:jc w:val="center"/>
              <w:ind w:right="66"/>
              <w:spacing w:after="0"/>
              <w:rPr>
                <w:sz w:val="20"/>
                <w:szCs w:val="20"/>
                <w:color w:val="auto"/>
              </w:rPr>
            </w:pPr>
            <w:r>
              <w:rPr>
                <w:rFonts w:ascii="Arial" w:cs="Arial" w:eastAsia="Arial" w:hAnsi="Arial"/>
                <w:sz w:val="35"/>
                <w:szCs w:val="35"/>
                <w:color w:val="auto"/>
                <w:w w:val="97"/>
              </w:rPr>
              <w:t>120 bps</w:t>
            </w:r>
          </w:p>
        </w:tc>
        <w:tc>
          <w:tcPr>
            <w:tcW w:w="1460" w:type="dxa"/>
            <w:vAlign w:val="bottom"/>
          </w:tcPr>
          <w:p>
            <w:pPr>
              <w:jc w:val="center"/>
              <w:ind w:left="46"/>
              <w:spacing w:after="0"/>
              <w:rPr>
                <w:sz w:val="20"/>
                <w:szCs w:val="20"/>
                <w:color w:val="auto"/>
              </w:rPr>
            </w:pPr>
            <w:r>
              <w:rPr>
                <w:rFonts w:ascii="Arial" w:cs="Arial" w:eastAsia="Arial" w:hAnsi="Arial"/>
                <w:sz w:val="35"/>
                <w:szCs w:val="35"/>
                <w:color w:val="auto"/>
                <w:w w:val="99"/>
              </w:rPr>
              <w:t>200 bps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37"/>
          <w:szCs w:val="37"/>
          <w:b w:val="1"/>
          <w:bCs w:val="1"/>
          <w:color w:val="auto"/>
        </w:rPr>
        <w:t xml:space="preserve">Q4 Financial Highlights </w:t>
      </w:r>
      <w:r>
        <w:rPr>
          <w:rFonts w:ascii="Arial" w:cs="Arial" w:eastAsia="Arial" w:hAnsi="Arial"/>
          <w:sz w:val="30"/>
          <w:szCs w:val="30"/>
          <w:b w:val="1"/>
          <w:bCs w:val="1"/>
          <w:color w:val="6698C2"/>
          <w:vertAlign w:val="superscript"/>
        </w:rPr>
        <w:t>(1)</w:t>
      </w: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38"/>
          <w:szCs w:val="38"/>
          <w:b w:val="1"/>
          <w:bCs w:val="1"/>
          <w:color w:val="auto"/>
        </w:rPr>
        <w:t xml:space="preserve">Revenue </w:t>
      </w:r>
      <w:r>
        <w:rPr>
          <w:rFonts w:ascii="Arial" w:cs="Arial" w:eastAsia="Arial" w:hAnsi="Arial"/>
          <w:sz w:val="40"/>
          <w:szCs w:val="40"/>
          <w:b w:val="1"/>
          <w:bCs w:val="1"/>
          <w:color w:val="6698C2"/>
        </w:rPr>
        <w:t>$1.7B</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0"/>
        <w:spacing w:after="0"/>
        <w:rPr>
          <w:sz w:val="20"/>
          <w:szCs w:val="20"/>
          <w:color w:val="auto"/>
        </w:rPr>
      </w:pPr>
      <w:r>
        <w:rPr>
          <w:rFonts w:ascii="Arial" w:cs="Arial" w:eastAsia="Arial" w:hAnsi="Arial"/>
          <w:sz w:val="38"/>
          <w:szCs w:val="38"/>
          <w:b w:val="1"/>
          <w:bCs w:val="1"/>
          <w:color w:val="auto"/>
        </w:rPr>
        <w:t xml:space="preserve">OUP </w:t>
      </w:r>
      <w:r>
        <w:rPr>
          <w:rFonts w:ascii="Arial" w:cs="Arial" w:eastAsia="Arial" w:hAnsi="Arial"/>
          <w:sz w:val="40"/>
          <w:szCs w:val="40"/>
          <w:b w:val="1"/>
          <w:bCs w:val="1"/>
          <w:color w:val="6698C2"/>
        </w:rPr>
        <w:t>$36M</w:t>
      </w:r>
    </w:p>
    <w:p>
      <w:pPr>
        <w:spacing w:after="0" w:line="200" w:lineRule="exact"/>
        <w:rPr>
          <w:sz w:val="20"/>
          <w:szCs w:val="20"/>
          <w:color w:val="auto"/>
        </w:rPr>
      </w:pPr>
    </w:p>
    <w:p>
      <w:pPr>
        <w:spacing w:after="0" w:line="363" w:lineRule="exact"/>
        <w:rPr>
          <w:sz w:val="20"/>
          <w:szCs w:val="20"/>
          <w:color w:val="auto"/>
        </w:rPr>
      </w:pPr>
    </w:p>
    <w:p>
      <w:pPr>
        <w:ind w:left="140"/>
        <w:spacing w:after="0"/>
        <w:rPr>
          <w:sz w:val="20"/>
          <w:szCs w:val="20"/>
          <w:color w:val="auto"/>
        </w:rPr>
      </w:pPr>
      <w:r>
        <w:rPr>
          <w:rFonts w:ascii="Arial" w:cs="Arial" w:eastAsia="Arial" w:hAnsi="Arial"/>
          <w:sz w:val="38"/>
          <w:szCs w:val="38"/>
          <w:b w:val="1"/>
          <w:bCs w:val="1"/>
          <w:color w:val="auto"/>
        </w:rPr>
        <w:t xml:space="preserve">OUP Margin </w:t>
      </w:r>
      <w:r>
        <w:rPr>
          <w:rFonts w:ascii="Arial" w:cs="Arial" w:eastAsia="Arial" w:hAnsi="Arial"/>
          <w:sz w:val="40"/>
          <w:szCs w:val="40"/>
          <w:b w:val="1"/>
          <w:bCs w:val="1"/>
          <w:color w:val="6698C2"/>
        </w:rPr>
        <w:t>2.1%</w:t>
      </w:r>
    </w:p>
    <w:p>
      <w:pPr>
        <w:spacing w:after="0" w:line="250" w:lineRule="exact"/>
        <w:rPr>
          <w:sz w:val="20"/>
          <w:szCs w:val="20"/>
          <w:color w:val="auto"/>
        </w:rPr>
      </w:pPr>
    </w:p>
    <w:p>
      <w:pPr>
        <w:sectPr>
          <w:pgSz w:w="11900" w:h="16838" w:orient="portrait"/>
          <w:cols w:equalWidth="0" w:num="2">
            <w:col w:w="3440" w:space="320"/>
            <w:col w:w="5460"/>
          </w:cols>
          <w:pgMar w:left="1440" w:top="380"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right="920" w:hanging="200"/>
        <w:spacing w:after="0" w:line="243" w:lineRule="auto"/>
        <w:tabs>
          <w:tab w:leader="none" w:pos="296" w:val="left"/>
        </w:tabs>
        <w:numPr>
          <w:ilvl w:val="0"/>
          <w:numId w:val="12"/>
        </w:numPr>
        <w:rPr>
          <w:rFonts w:ascii="Arial" w:cs="Arial" w:eastAsia="Arial" w:hAnsi="Arial"/>
          <w:sz w:val="21"/>
          <w:szCs w:val="21"/>
          <w:b w:val="1"/>
          <w:bCs w:val="1"/>
          <w:color w:val="auto"/>
          <w:vertAlign w:val="superscript"/>
        </w:rPr>
      </w:pPr>
      <w:r>
        <w:rPr>
          <w:rFonts w:ascii="Arial" w:cs="Arial" w:eastAsia="Arial" w:hAnsi="Arial"/>
          <w:sz w:val="15"/>
          <w:szCs w:val="15"/>
          <w:color w:val="auto"/>
        </w:rPr>
        <w:t>Included in these amounts is Italy, which had revenue of $269M (-11% in USD, -20% in CC) and OUP of $11M (-55% in USD, -60% in CC).</w:t>
      </w:r>
    </w:p>
    <w:p>
      <w:pPr>
        <w:ind w:left="320" w:hanging="200"/>
        <w:spacing w:after="0" w:line="208" w:lineRule="auto"/>
        <w:tabs>
          <w:tab w:leader="none" w:pos="320" w:val="left"/>
        </w:tabs>
        <w:numPr>
          <w:ilvl w:val="0"/>
          <w:numId w:val="12"/>
        </w:numPr>
        <w:rPr>
          <w:rFonts w:ascii="Arial" w:cs="Arial" w:eastAsia="Arial" w:hAnsi="Arial"/>
          <w:sz w:val="24"/>
          <w:szCs w:val="24"/>
          <w:b w:val="1"/>
          <w:bCs w:val="1"/>
          <w:color w:val="auto"/>
          <w:vertAlign w:val="superscript"/>
        </w:rPr>
      </w:pPr>
      <w:r>
        <w:rPr>
          <w:rFonts w:ascii="Arial" w:cs="Arial" w:eastAsia="Arial" w:hAnsi="Arial"/>
          <w:sz w:val="17"/>
          <w:szCs w:val="17"/>
          <w:color w:val="auto"/>
        </w:rPr>
        <w:t>Excludes the impact of the reorganization charges of $6.4M in 2009 and $21.2M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488950</wp:posOffset>
            </wp:positionV>
            <wp:extent cx="727900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type w:val="continuous"/>
        </w:sectPr>
      </w:pPr>
    </w:p>
    <w:bookmarkStart w:id="19" w:name="page20"/>
    <w:bookmarkEnd w:id="19"/>
    <w:tbl>
      <w:tblPr>
        <w:tblLayout w:type="fixed"/>
        <w:tblInd w:w="1300" w:type="dxa"/>
        <w:tblCellMar>
          <w:top w:w="0" w:type="dxa"/>
          <w:left w:w="0" w:type="dxa"/>
          <w:bottom w:w="0" w:type="dxa"/>
          <w:right w:w="0" w:type="dxa"/>
        </w:tblCellMar>
      </w:tblPr>
      <w:tr>
        <w:trPr>
          <w:trHeight w:val="364"/>
        </w:trPr>
        <w:tc>
          <w:tcPr>
            <w:tcW w:w="630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40" w:type="dxa"/>
            <w:vAlign w:val="bottom"/>
          </w:tcPr>
          <w:p>
            <w:pPr>
              <w:jc w:val="right"/>
              <w:spacing w:after="0"/>
              <w:rPr>
                <w:sz w:val="20"/>
                <w:szCs w:val="20"/>
                <w:color w:val="auto"/>
              </w:rPr>
            </w:pPr>
            <w:r>
              <w:rPr>
                <w:rFonts w:ascii="Arial" w:cs="Arial" w:eastAsia="Arial" w:hAnsi="Arial"/>
                <w:sz w:val="20"/>
                <w:szCs w:val="20"/>
                <w:color w:val="FFFFFF"/>
              </w:rPr>
              <w:t>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44"/>
          <w:szCs w:val="44"/>
          <w:color w:val="6698C2"/>
        </w:rPr>
        <w:t>EMEA - Q4 Revenue Growth YoY</w:t>
      </w:r>
    </w:p>
    <w:p>
      <w:pPr>
        <w:spacing w:after="0" w:line="102" w:lineRule="exact"/>
        <w:rPr>
          <w:sz w:val="20"/>
          <w:szCs w:val="20"/>
          <w:color w:val="auto"/>
        </w:rPr>
      </w:pPr>
    </w:p>
    <w:p>
      <w:pPr>
        <w:ind w:left="1360" w:right="8680" w:hanging="10"/>
        <w:spacing w:after="0" w:line="304" w:lineRule="auto"/>
        <w:tabs>
          <w:tab w:leader="none" w:pos="1614" w:val="left"/>
        </w:tabs>
        <w:numPr>
          <w:ilvl w:val="0"/>
          <w:numId w:val="13"/>
        </w:numPr>
        <w:rPr>
          <w:rFonts w:ascii="Arial" w:cs="Arial" w:eastAsia="Arial" w:hAnsi="Arial"/>
          <w:sz w:val="21"/>
          <w:szCs w:val="21"/>
          <w:b w:val="1"/>
          <w:bCs w:val="1"/>
          <w:color w:val="auto"/>
        </w:rPr>
      </w:pPr>
      <w:r>
        <w:rPr>
          <w:rFonts w:ascii="Arial" w:cs="Arial" w:eastAsia="Arial" w:hAnsi="Arial"/>
          <w:sz w:val="21"/>
          <w:szCs w:val="21"/>
          <w:b w:val="1"/>
          <w:bCs w:val="1"/>
          <w:color w:val="auto"/>
        </w:rPr>
        <w:t>of Segment Revenue</w:t>
      </w:r>
    </w:p>
    <w:p>
      <w:pPr>
        <w:spacing w:after="0" w:line="17" w:lineRule="exact"/>
        <w:rPr>
          <w:sz w:val="20"/>
          <w:szCs w:val="20"/>
          <w:color w:val="auto"/>
        </w:rPr>
      </w:pPr>
    </w:p>
    <w:p>
      <w:pPr>
        <w:ind w:left="1540"/>
        <w:spacing w:after="0"/>
        <w:rPr>
          <w:sz w:val="20"/>
          <w:szCs w:val="20"/>
          <w:color w:val="auto"/>
        </w:rPr>
      </w:pPr>
      <w:r>
        <w:rPr>
          <w:rFonts w:ascii="Arial" w:cs="Arial" w:eastAsia="Arial" w:hAnsi="Arial"/>
          <w:sz w:val="26"/>
          <w:szCs w:val="26"/>
          <w:b w:val="1"/>
          <w:bCs w:val="1"/>
          <w:color w:val="D47C18"/>
        </w:rPr>
        <w:t>15%</w:t>
      </w:r>
    </w:p>
    <w:p>
      <w:pPr>
        <w:spacing w:after="0" w:line="234" w:lineRule="exact"/>
        <w:rPr>
          <w:sz w:val="20"/>
          <w:szCs w:val="20"/>
          <w:color w:val="auto"/>
        </w:rPr>
      </w:pPr>
    </w:p>
    <w:p>
      <w:pPr>
        <w:ind w:left="1520"/>
        <w:spacing w:after="0"/>
        <w:rPr>
          <w:sz w:val="20"/>
          <w:szCs w:val="20"/>
          <w:color w:val="auto"/>
        </w:rPr>
      </w:pPr>
      <w:r>
        <w:rPr>
          <w:rFonts w:ascii="Arial" w:cs="Arial" w:eastAsia="Arial" w:hAnsi="Arial"/>
          <w:sz w:val="26"/>
          <w:szCs w:val="26"/>
          <w:b w:val="1"/>
          <w:bCs w:val="1"/>
          <w:color w:val="D47C18"/>
        </w:rPr>
        <w:t>14%</w:t>
      </w:r>
    </w:p>
    <w:p>
      <w:pPr>
        <w:spacing w:after="0" w:line="245" w:lineRule="exact"/>
        <w:rPr>
          <w:sz w:val="20"/>
          <w:szCs w:val="20"/>
          <w:color w:val="auto"/>
        </w:rPr>
      </w:pPr>
    </w:p>
    <w:p>
      <w:pPr>
        <w:ind w:left="1520"/>
        <w:spacing w:after="0"/>
        <w:rPr>
          <w:sz w:val="20"/>
          <w:szCs w:val="20"/>
          <w:color w:val="auto"/>
        </w:rPr>
      </w:pPr>
      <w:r>
        <w:rPr>
          <w:rFonts w:ascii="Arial" w:cs="Arial" w:eastAsia="Arial" w:hAnsi="Arial"/>
          <w:sz w:val="26"/>
          <w:szCs w:val="26"/>
          <w:b w:val="1"/>
          <w:bCs w:val="1"/>
          <w:color w:val="D47C18"/>
        </w:rPr>
        <w:t>13%</w:t>
      </w:r>
    </w:p>
    <w:p>
      <w:pPr>
        <w:spacing w:after="0" w:line="234" w:lineRule="exact"/>
        <w:rPr>
          <w:sz w:val="20"/>
          <w:szCs w:val="20"/>
          <w:color w:val="auto"/>
        </w:rPr>
      </w:pPr>
    </w:p>
    <w:p>
      <w:pPr>
        <w:ind w:left="1520"/>
        <w:spacing w:after="0"/>
        <w:rPr>
          <w:sz w:val="20"/>
          <w:szCs w:val="20"/>
          <w:color w:val="auto"/>
        </w:rPr>
      </w:pPr>
      <w:r>
        <w:rPr>
          <w:rFonts w:ascii="Arial" w:cs="Arial" w:eastAsia="Arial" w:hAnsi="Arial"/>
          <w:sz w:val="26"/>
          <w:szCs w:val="26"/>
          <w:b w:val="1"/>
          <w:bCs w:val="1"/>
          <w:color w:val="D47C18"/>
        </w:rPr>
        <w:t>11%</w:t>
      </w:r>
    </w:p>
    <w:p>
      <w:pPr>
        <w:spacing w:after="0" w:line="278" w:lineRule="exact"/>
        <w:rPr>
          <w:sz w:val="20"/>
          <w:szCs w:val="20"/>
          <w:color w:val="auto"/>
        </w:rPr>
      </w:pPr>
    </w:p>
    <w:p>
      <w:pPr>
        <w:ind w:left="1560"/>
        <w:spacing w:after="0"/>
        <w:rPr>
          <w:sz w:val="20"/>
          <w:szCs w:val="20"/>
          <w:color w:val="auto"/>
        </w:rPr>
      </w:pPr>
      <w:r>
        <w:rPr>
          <w:rFonts w:ascii="Arial" w:cs="Arial" w:eastAsia="Arial" w:hAnsi="Arial"/>
          <w:sz w:val="26"/>
          <w:szCs w:val="26"/>
          <w:b w:val="1"/>
          <w:bCs w:val="1"/>
          <w:color w:val="D47C18"/>
        </w:rPr>
        <w:t>10%</w:t>
      </w:r>
    </w:p>
    <w:p>
      <w:pPr>
        <w:spacing w:after="0" w:line="234" w:lineRule="exact"/>
        <w:rPr>
          <w:sz w:val="20"/>
          <w:szCs w:val="20"/>
          <w:color w:val="auto"/>
        </w:rPr>
      </w:pPr>
    </w:p>
    <w:p>
      <w:pPr>
        <w:ind w:left="1620"/>
        <w:spacing w:after="0"/>
        <w:rPr>
          <w:sz w:val="20"/>
          <w:szCs w:val="20"/>
          <w:color w:val="auto"/>
        </w:rPr>
      </w:pPr>
      <w:r>
        <w:rPr>
          <w:rFonts w:ascii="Arial" w:cs="Arial" w:eastAsia="Arial" w:hAnsi="Arial"/>
          <w:sz w:val="26"/>
          <w:szCs w:val="26"/>
          <w:b w:val="1"/>
          <w:bCs w:val="1"/>
          <w:color w:val="D47C18"/>
        </w:rPr>
        <w:t>9%</w:t>
      </w:r>
    </w:p>
    <w:p>
      <w:pPr>
        <w:spacing w:after="0" w:line="245" w:lineRule="exact"/>
        <w:rPr>
          <w:sz w:val="20"/>
          <w:szCs w:val="20"/>
          <w:color w:val="auto"/>
        </w:rPr>
      </w:pPr>
    </w:p>
    <w:p>
      <w:pPr>
        <w:ind w:left="1620"/>
        <w:spacing w:after="0"/>
        <w:rPr>
          <w:sz w:val="20"/>
          <w:szCs w:val="20"/>
          <w:color w:val="auto"/>
        </w:rPr>
      </w:pPr>
      <w:r>
        <w:rPr>
          <w:rFonts w:ascii="Arial" w:cs="Arial" w:eastAsia="Arial" w:hAnsi="Arial"/>
          <w:sz w:val="26"/>
          <w:szCs w:val="26"/>
          <w:b w:val="1"/>
          <w:bCs w:val="1"/>
          <w:color w:val="D47C18"/>
        </w:rPr>
        <w:t>6%</w:t>
      </w:r>
    </w:p>
    <w:p>
      <w:pPr>
        <w:spacing w:after="0" w:line="278" w:lineRule="exact"/>
        <w:rPr>
          <w:sz w:val="20"/>
          <w:szCs w:val="20"/>
          <w:color w:val="auto"/>
        </w:rPr>
      </w:pPr>
    </w:p>
    <w:p>
      <w:pPr>
        <w:ind w:left="1520"/>
        <w:spacing w:after="0"/>
        <w:rPr>
          <w:sz w:val="20"/>
          <w:szCs w:val="20"/>
          <w:color w:val="auto"/>
        </w:rPr>
      </w:pPr>
      <w:r>
        <w:rPr>
          <w:rFonts w:ascii="Arial" w:cs="Arial" w:eastAsia="Arial" w:hAnsi="Arial"/>
          <w:sz w:val="26"/>
          <w:szCs w:val="26"/>
          <w:b w:val="1"/>
          <w:bCs w:val="1"/>
          <w:color w:val="D47C18"/>
        </w:rPr>
        <w:t>22%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0" w:type="dxa"/>
            <w:vAlign w:val="bottom"/>
          </w:tcPr>
          <w:p>
            <w:pPr>
              <w:jc w:val="center"/>
              <w:ind w:left="4179"/>
              <w:spacing w:after="0"/>
              <w:rPr>
                <w:sz w:val="20"/>
                <w:szCs w:val="20"/>
                <w:color w:val="auto"/>
              </w:rPr>
            </w:pPr>
            <w:r>
              <w:rPr>
                <w:rFonts w:ascii="Arial" w:cs="Arial" w:eastAsia="Arial" w:hAnsi="Arial"/>
                <w:sz w:val="20"/>
                <w:szCs w:val="20"/>
                <w:b w:val="1"/>
                <w:bCs w:val="1"/>
                <w:color w:val="auto"/>
              </w:rPr>
              <w:t>Revenue</w:t>
            </w:r>
          </w:p>
        </w:tc>
        <w:tc>
          <w:tcPr>
            <w:tcW w:w="5460" w:type="dxa"/>
            <w:vAlign w:val="bottom"/>
          </w:tcPr>
          <w:p>
            <w:pPr>
              <w:ind w:left="420"/>
              <w:spacing w:after="0"/>
              <w:rPr>
                <w:sz w:val="20"/>
                <w:szCs w:val="20"/>
                <w:color w:val="auto"/>
              </w:rPr>
            </w:pPr>
            <w:r>
              <w:rPr>
                <w:rFonts w:ascii="Arial" w:cs="Arial" w:eastAsia="Arial" w:hAnsi="Arial"/>
                <w:sz w:val="20"/>
                <w:szCs w:val="20"/>
                <w:b w:val="1"/>
                <w:bCs w:val="1"/>
                <w:color w:val="auto"/>
              </w:rPr>
              <w:t>Revenue Growth - CC</w:t>
            </w:r>
          </w:p>
        </w:tc>
      </w:tr>
      <w:tr>
        <w:trPr>
          <w:trHeight w:val="268"/>
        </w:trPr>
        <w:tc>
          <w:tcPr>
            <w:tcW w:w="6000" w:type="dxa"/>
            <w:vAlign w:val="bottom"/>
          </w:tcPr>
          <w:p>
            <w:pPr>
              <w:jc w:val="center"/>
              <w:ind w:left="4199"/>
              <w:spacing w:after="0"/>
              <w:rPr>
                <w:sz w:val="20"/>
                <w:szCs w:val="20"/>
                <w:color w:val="auto"/>
              </w:rPr>
            </w:pPr>
            <w:r>
              <w:rPr>
                <w:rFonts w:ascii="Arial" w:cs="Arial" w:eastAsia="Arial" w:hAnsi="Arial"/>
                <w:sz w:val="20"/>
                <w:szCs w:val="20"/>
                <w:b w:val="1"/>
                <w:bCs w:val="1"/>
                <w:color w:val="auto"/>
                <w:w w:val="99"/>
              </w:rPr>
              <w:t>Growth</w:t>
            </w:r>
          </w:p>
        </w:tc>
        <w:tc>
          <w:tcPr>
            <w:tcW w:w="5460" w:type="dxa"/>
            <w:vAlign w:val="bottom"/>
          </w:tcPr>
          <w:p>
            <w:pPr>
              <w:spacing w:after="0"/>
              <w:rPr>
                <w:sz w:val="23"/>
                <w:szCs w:val="23"/>
                <w:color w:val="auto"/>
              </w:rPr>
            </w:pPr>
          </w:p>
        </w:tc>
      </w:tr>
      <w:tr>
        <w:trPr>
          <w:trHeight w:val="936"/>
        </w:trPr>
        <w:tc>
          <w:tcPr>
            <w:tcW w:w="600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80" w:right="219" w:bottom="1440" w:gutter="0" w:footer="0" w:header="0"/>
        </w:sectPr>
      </w:pPr>
    </w:p>
    <w:bookmarkStart w:id="20" w:name="page21"/>
    <w:bookmarkEnd w:id="20"/>
    <w:tbl>
      <w:tblPr>
        <w:tblLayout w:type="fixed"/>
        <w:tblInd w:w="80" w:type="dxa"/>
        <w:tblCellMar>
          <w:top w:w="0" w:type="dxa"/>
          <w:left w:w="0" w:type="dxa"/>
          <w:bottom w:w="0" w:type="dxa"/>
          <w:right w:w="0" w:type="dxa"/>
        </w:tblCellMar>
      </w:tblPr>
      <w:tr>
        <w:trPr>
          <w:trHeight w:val="364"/>
        </w:trPr>
        <w:tc>
          <w:tcPr>
            <w:tcW w:w="626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80" w:type="dxa"/>
            <w:vAlign w:val="bottom"/>
          </w:tcPr>
          <w:p>
            <w:pPr>
              <w:jc w:val="right"/>
              <w:spacing w:after="0"/>
              <w:rPr>
                <w:sz w:val="20"/>
                <w:szCs w:val="20"/>
                <w:color w:val="auto"/>
              </w:rPr>
            </w:pPr>
            <w:r>
              <w:rPr>
                <w:rFonts w:ascii="Arial" w:cs="Arial" w:eastAsia="Arial" w:hAnsi="Arial"/>
                <w:sz w:val="20"/>
                <w:szCs w:val="20"/>
                <w:color w:val="FFFFFF"/>
              </w:rPr>
              <w:t>10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Arial" w:cs="Arial" w:eastAsia="Arial" w:hAnsi="Arial"/>
          <w:sz w:val="44"/>
          <w:szCs w:val="44"/>
          <w:color w:val="6698C2"/>
        </w:rPr>
        <w:t>Asia Pacific Segment</w:t>
      </w:r>
    </w:p>
    <w:p>
      <w:pPr>
        <w:ind w:left="80"/>
        <w:spacing w:after="0"/>
        <w:rPr>
          <w:sz w:val="20"/>
          <w:szCs w:val="20"/>
          <w:color w:val="auto"/>
        </w:rPr>
      </w:pPr>
      <w:r>
        <w:rPr>
          <w:rFonts w:ascii="Arial" w:cs="Arial" w:eastAsia="Arial" w:hAnsi="Arial"/>
          <w:sz w:val="29"/>
          <w:szCs w:val="29"/>
          <w:color w:val="6698C2"/>
        </w:rPr>
        <w:t>(11% of Revenue)</w:t>
      </w:r>
    </w:p>
    <w:p>
      <w:pPr>
        <w:spacing w:after="0" w:line="330"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1380" w:type="dxa"/>
            <w:vAlign w:val="bottom"/>
            <w:vMerge w:val="restart"/>
          </w:tcPr>
          <w:p>
            <w:pPr>
              <w:jc w:val="center"/>
              <w:ind w:right="44"/>
              <w:spacing w:after="0"/>
              <w:rPr>
                <w:sz w:val="20"/>
                <w:szCs w:val="20"/>
                <w:color w:val="auto"/>
              </w:rPr>
            </w:pPr>
            <w:r>
              <w:rPr>
                <w:rFonts w:ascii="Arial" w:cs="Arial" w:eastAsia="Arial" w:hAnsi="Arial"/>
                <w:sz w:val="20"/>
                <w:szCs w:val="20"/>
                <w:b w:val="1"/>
                <w:bCs w:val="1"/>
                <w:color w:val="auto"/>
              </w:rPr>
              <w:t>As</w:t>
            </w:r>
          </w:p>
        </w:tc>
        <w:tc>
          <w:tcPr>
            <w:tcW w:w="1720" w:type="dxa"/>
            <w:vAlign w:val="bottom"/>
          </w:tcPr>
          <w:p>
            <w:pPr>
              <w:jc w:val="center"/>
              <w:spacing w:after="0"/>
              <w:rPr>
                <w:sz w:val="20"/>
                <w:szCs w:val="20"/>
                <w:color w:val="auto"/>
              </w:rPr>
            </w:pPr>
            <w:r>
              <w:rPr>
                <w:rFonts w:ascii="Arial" w:cs="Arial" w:eastAsia="Arial" w:hAnsi="Arial"/>
                <w:sz w:val="20"/>
                <w:szCs w:val="20"/>
                <w:b w:val="1"/>
                <w:bCs w:val="1"/>
                <w:color w:val="auto"/>
              </w:rPr>
              <w:t>Excluding Non</w:t>
            </w:r>
          </w:p>
        </w:tc>
        <w:tc>
          <w:tcPr>
            <w:tcW w:w="4340" w:type="dxa"/>
            <w:vAlign w:val="bottom"/>
            <w:vMerge w:val="restart"/>
          </w:tcPr>
          <w:p>
            <w:pPr>
              <w:ind w:left="160"/>
              <w:spacing w:after="0"/>
              <w:rPr>
                <w:sz w:val="20"/>
                <w:szCs w:val="20"/>
                <w:color w:val="auto"/>
              </w:rPr>
            </w:pPr>
            <w:r>
              <w:rPr>
                <w:rFonts w:ascii="Arial" w:cs="Arial" w:eastAsia="Arial" w:hAnsi="Arial"/>
                <w:sz w:val="38"/>
                <w:szCs w:val="38"/>
                <w:b w:val="1"/>
                <w:bCs w:val="1"/>
                <w:color w:val="auto"/>
                <w:w w:val="98"/>
              </w:rPr>
              <w:t>Q4 Financial Highlights</w:t>
            </w:r>
          </w:p>
        </w:tc>
        <w:tc>
          <w:tcPr>
            <w:tcW w:w="0" w:type="dxa"/>
            <w:vAlign w:val="bottom"/>
          </w:tcPr>
          <w:p>
            <w:pPr>
              <w:spacing w:after="0"/>
              <w:rPr>
                <w:sz w:val="1"/>
                <w:szCs w:val="1"/>
                <w:color w:val="auto"/>
              </w:rPr>
            </w:pPr>
          </w:p>
        </w:tc>
      </w:tr>
      <w:tr>
        <w:trPr>
          <w:trHeight w:val="208"/>
        </w:trPr>
        <w:tc>
          <w:tcPr>
            <w:tcW w:w="1380" w:type="dxa"/>
            <w:vAlign w:val="bottom"/>
            <w:vMerge w:val="continue"/>
          </w:tcPr>
          <w:p>
            <w:pPr>
              <w:spacing w:after="0"/>
              <w:rPr>
                <w:sz w:val="18"/>
                <w:szCs w:val="18"/>
                <w:color w:val="auto"/>
              </w:rPr>
            </w:pPr>
          </w:p>
        </w:tc>
        <w:tc>
          <w:tcPr>
            <w:tcW w:w="1720" w:type="dxa"/>
            <w:vAlign w:val="bottom"/>
          </w:tcPr>
          <w:p>
            <w:pPr>
              <w:jc w:val="center"/>
              <w:spacing w:after="0" w:line="207" w:lineRule="exact"/>
              <w:rPr>
                <w:sz w:val="20"/>
                <w:szCs w:val="20"/>
                <w:color w:val="auto"/>
              </w:rPr>
            </w:pPr>
            <w:r>
              <w:rPr>
                <w:rFonts w:ascii="Arial" w:cs="Arial" w:eastAsia="Arial" w:hAnsi="Arial"/>
                <w:sz w:val="20"/>
                <w:szCs w:val="20"/>
                <w:b w:val="1"/>
                <w:bCs w:val="1"/>
                <w:color w:val="auto"/>
              </w:rPr>
              <w:t>-recurring</w:t>
            </w:r>
          </w:p>
        </w:tc>
        <w:tc>
          <w:tcPr>
            <w:tcW w:w="4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380" w:type="dxa"/>
            <w:vAlign w:val="bottom"/>
          </w:tcPr>
          <w:p>
            <w:pPr>
              <w:jc w:val="center"/>
              <w:ind w:right="64"/>
              <w:spacing w:after="0"/>
              <w:rPr>
                <w:sz w:val="20"/>
                <w:szCs w:val="20"/>
                <w:color w:val="auto"/>
              </w:rPr>
            </w:pPr>
            <w:r>
              <w:rPr>
                <w:rFonts w:ascii="Arial" w:cs="Arial" w:eastAsia="Arial" w:hAnsi="Arial"/>
                <w:sz w:val="20"/>
                <w:szCs w:val="20"/>
                <w:b w:val="1"/>
                <w:bCs w:val="1"/>
                <w:color w:val="auto"/>
              </w:rPr>
              <w:t>Reported</w:t>
            </w:r>
          </w:p>
        </w:tc>
        <w:tc>
          <w:tcPr>
            <w:tcW w:w="1720" w:type="dxa"/>
            <w:vAlign w:val="bottom"/>
          </w:tcPr>
          <w:p>
            <w:pPr>
              <w:jc w:val="center"/>
              <w:ind w:left="10"/>
              <w:spacing w:after="0"/>
              <w:rPr>
                <w:sz w:val="20"/>
                <w:szCs w:val="20"/>
                <w:color w:val="auto"/>
              </w:rPr>
            </w:pPr>
            <w:r>
              <w:rPr>
                <w:rFonts w:ascii="Arial" w:cs="Arial" w:eastAsia="Arial" w:hAnsi="Arial"/>
                <w:sz w:val="20"/>
                <w:szCs w:val="20"/>
                <w:b w:val="1"/>
                <w:bCs w:val="1"/>
                <w:color w:val="auto"/>
                <w:w w:val="92"/>
              </w:rPr>
              <w:t>Items</w:t>
            </w:r>
            <w:r>
              <w:rPr>
                <w:rFonts w:ascii="Arial" w:cs="Arial" w:eastAsia="Arial" w:hAnsi="Arial"/>
                <w:sz w:val="31"/>
                <w:szCs w:val="31"/>
                <w:b w:val="1"/>
                <w:bCs w:val="1"/>
                <w:color w:val="C8504F"/>
                <w:w w:val="92"/>
                <w:vertAlign w:val="superscript"/>
              </w:rPr>
              <w:t>(1)</w:t>
            </w:r>
          </w:p>
        </w:tc>
        <w:tc>
          <w:tcPr>
            <w:tcW w:w="4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380" w:type="dxa"/>
            <w:vAlign w:val="bottom"/>
          </w:tcPr>
          <w:p>
            <w:pPr>
              <w:jc w:val="right"/>
              <w:ind w:right="304"/>
              <w:spacing w:after="0"/>
              <w:rPr>
                <w:sz w:val="20"/>
                <w:szCs w:val="20"/>
                <w:color w:val="auto"/>
              </w:rPr>
            </w:pPr>
            <w:r>
              <w:rPr>
                <w:rFonts w:ascii="Arial" w:cs="Arial" w:eastAsia="Arial" w:hAnsi="Arial"/>
                <w:sz w:val="35"/>
                <w:szCs w:val="35"/>
                <w:color w:val="auto"/>
              </w:rPr>
              <w:t>4%</w:t>
            </w:r>
          </w:p>
        </w:tc>
        <w:tc>
          <w:tcPr>
            <w:tcW w:w="1720" w:type="dxa"/>
            <w:vAlign w:val="bottom"/>
          </w:tcPr>
          <w:p>
            <w:pPr>
              <w:jc w:val="center"/>
              <w:ind w:left="150"/>
              <w:spacing w:after="0"/>
              <w:rPr>
                <w:sz w:val="20"/>
                <w:szCs w:val="20"/>
                <w:color w:val="auto"/>
              </w:rPr>
            </w:pPr>
            <w:r>
              <w:rPr>
                <w:rFonts w:ascii="Arial" w:cs="Arial" w:eastAsia="Arial" w:hAnsi="Arial"/>
                <w:sz w:val="35"/>
                <w:szCs w:val="35"/>
                <w:color w:val="auto"/>
                <w:w w:val="98"/>
              </w:rPr>
              <w:t>4%</w:t>
            </w:r>
          </w:p>
        </w:tc>
        <w:tc>
          <w:tcPr>
            <w:tcW w:w="4340" w:type="dxa"/>
            <w:vAlign w:val="bottom"/>
            <w:vMerge w:val="restart"/>
          </w:tcPr>
          <w:p>
            <w:pPr>
              <w:ind w:left="280"/>
              <w:spacing w:after="0"/>
              <w:rPr>
                <w:sz w:val="20"/>
                <w:szCs w:val="20"/>
                <w:color w:val="auto"/>
              </w:rPr>
            </w:pPr>
            <w:r>
              <w:rPr>
                <w:rFonts w:ascii="Arial" w:cs="Arial" w:eastAsia="Arial" w:hAnsi="Arial"/>
                <w:sz w:val="38"/>
                <w:szCs w:val="38"/>
                <w:b w:val="1"/>
                <w:bCs w:val="1"/>
                <w:color w:val="auto"/>
              </w:rPr>
              <w:t xml:space="preserve">Revenue </w:t>
            </w:r>
            <w:r>
              <w:rPr>
                <w:rFonts w:ascii="Arial" w:cs="Arial" w:eastAsia="Arial" w:hAnsi="Arial"/>
                <w:sz w:val="40"/>
                <w:szCs w:val="40"/>
                <w:b w:val="1"/>
                <w:bCs w:val="1"/>
                <w:color w:val="C8504F"/>
              </w:rPr>
              <w:t>$469M</w:t>
            </w:r>
          </w:p>
        </w:tc>
        <w:tc>
          <w:tcPr>
            <w:tcW w:w="0" w:type="dxa"/>
            <w:vAlign w:val="bottom"/>
          </w:tcPr>
          <w:p>
            <w:pPr>
              <w:spacing w:after="0"/>
              <w:rPr>
                <w:sz w:val="1"/>
                <w:szCs w:val="1"/>
                <w:color w:val="auto"/>
              </w:rPr>
            </w:pPr>
          </w:p>
        </w:tc>
      </w:tr>
      <w:tr>
        <w:trPr>
          <w:trHeight w:val="241"/>
        </w:trPr>
        <w:tc>
          <w:tcPr>
            <w:tcW w:w="1380" w:type="dxa"/>
            <w:vAlign w:val="bottom"/>
            <w:vMerge w:val="restart"/>
          </w:tcPr>
          <w:p>
            <w:pPr>
              <w:jc w:val="center"/>
              <w:spacing w:after="0"/>
              <w:rPr>
                <w:sz w:val="20"/>
                <w:szCs w:val="20"/>
                <w:color w:val="auto"/>
              </w:rPr>
            </w:pPr>
            <w:r>
              <w:rPr>
                <w:rFonts w:ascii="Arial" w:cs="Arial" w:eastAsia="Arial" w:hAnsi="Arial"/>
                <w:sz w:val="35"/>
                <w:szCs w:val="35"/>
                <w:color w:val="auto"/>
                <w:w w:val="98"/>
              </w:rPr>
              <w:t>6%</w:t>
            </w:r>
          </w:p>
        </w:tc>
        <w:tc>
          <w:tcPr>
            <w:tcW w:w="1720" w:type="dxa"/>
            <w:vAlign w:val="bottom"/>
            <w:vMerge w:val="restart"/>
          </w:tcPr>
          <w:p>
            <w:pPr>
              <w:jc w:val="center"/>
              <w:ind w:left="70"/>
              <w:spacing w:after="0"/>
              <w:rPr>
                <w:sz w:val="20"/>
                <w:szCs w:val="20"/>
                <w:color w:val="auto"/>
              </w:rPr>
            </w:pPr>
            <w:r>
              <w:rPr>
                <w:rFonts w:ascii="Arial" w:cs="Arial" w:eastAsia="Arial" w:hAnsi="Arial"/>
                <w:sz w:val="35"/>
                <w:szCs w:val="35"/>
                <w:color w:val="auto"/>
                <w:w w:val="98"/>
              </w:rPr>
              <w:t>6%</w:t>
            </w:r>
          </w:p>
        </w:tc>
        <w:tc>
          <w:tcPr>
            <w:tcW w:w="4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38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4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1380" w:type="dxa"/>
            <w:vAlign w:val="bottom"/>
          </w:tcPr>
          <w:p>
            <w:pPr>
              <w:jc w:val="center"/>
              <w:spacing w:after="0" w:line="326" w:lineRule="exact"/>
              <w:rPr>
                <w:sz w:val="20"/>
                <w:szCs w:val="20"/>
                <w:color w:val="auto"/>
              </w:rPr>
            </w:pPr>
            <w:r>
              <w:rPr>
                <w:rFonts w:ascii="Arial" w:cs="Arial" w:eastAsia="Arial" w:hAnsi="Arial"/>
                <w:sz w:val="35"/>
                <w:szCs w:val="35"/>
                <w:color w:val="auto"/>
                <w:w w:val="98"/>
              </w:rPr>
              <w:t>CC</w:t>
            </w:r>
          </w:p>
        </w:tc>
        <w:tc>
          <w:tcPr>
            <w:tcW w:w="1720" w:type="dxa"/>
            <w:vAlign w:val="bottom"/>
          </w:tcPr>
          <w:p>
            <w:pPr>
              <w:jc w:val="center"/>
              <w:ind w:left="70"/>
              <w:spacing w:after="0" w:line="326" w:lineRule="exact"/>
              <w:rPr>
                <w:sz w:val="20"/>
                <w:szCs w:val="20"/>
                <w:color w:val="auto"/>
              </w:rPr>
            </w:pPr>
            <w:r>
              <w:rPr>
                <w:rFonts w:ascii="Arial" w:cs="Arial" w:eastAsia="Arial" w:hAnsi="Arial"/>
                <w:sz w:val="35"/>
                <w:szCs w:val="35"/>
                <w:color w:val="auto"/>
                <w:w w:val="98"/>
              </w:rPr>
              <w:t>CC</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380" w:type="dxa"/>
            <w:vAlign w:val="bottom"/>
          </w:tcPr>
          <w:p>
            <w:pPr>
              <w:ind w:left="180"/>
              <w:spacing w:after="0" w:line="304" w:lineRule="exact"/>
              <w:rPr>
                <w:sz w:val="20"/>
                <w:szCs w:val="20"/>
                <w:color w:val="auto"/>
              </w:rPr>
            </w:pPr>
            <w:r>
              <w:rPr>
                <w:rFonts w:ascii="Arial" w:cs="Arial" w:eastAsia="Arial" w:hAnsi="Arial"/>
                <w:sz w:val="35"/>
                <w:szCs w:val="35"/>
                <w:color w:val="auto"/>
              </w:rPr>
              <w:t>N/A</w:t>
            </w:r>
          </w:p>
        </w:tc>
        <w:tc>
          <w:tcPr>
            <w:tcW w:w="1720" w:type="dxa"/>
            <w:vAlign w:val="bottom"/>
          </w:tcPr>
          <w:p>
            <w:pPr>
              <w:jc w:val="center"/>
              <w:spacing w:after="0" w:line="304" w:lineRule="exact"/>
              <w:rPr>
                <w:sz w:val="20"/>
                <w:szCs w:val="20"/>
                <w:color w:val="auto"/>
              </w:rPr>
            </w:pPr>
            <w:r>
              <w:rPr>
                <w:rFonts w:ascii="Arial" w:cs="Arial" w:eastAsia="Arial" w:hAnsi="Arial"/>
                <w:sz w:val="35"/>
                <w:szCs w:val="35"/>
                <w:color w:val="auto"/>
                <w:w w:val="99"/>
              </w:rPr>
              <w:t>N/A</w:t>
            </w:r>
          </w:p>
        </w:tc>
        <w:tc>
          <w:tcPr>
            <w:tcW w:w="4340" w:type="dxa"/>
            <w:vAlign w:val="bottom"/>
            <w:vMerge w:val="restart"/>
          </w:tcPr>
          <w:p>
            <w:pPr>
              <w:ind w:left="300"/>
              <w:spacing w:after="0"/>
              <w:rPr>
                <w:sz w:val="20"/>
                <w:szCs w:val="20"/>
                <w:color w:val="auto"/>
              </w:rPr>
            </w:pPr>
            <w:r>
              <w:rPr>
                <w:rFonts w:ascii="Arial" w:cs="Arial" w:eastAsia="Arial" w:hAnsi="Arial"/>
                <w:sz w:val="38"/>
                <w:szCs w:val="38"/>
                <w:b w:val="1"/>
                <w:bCs w:val="1"/>
                <w:color w:val="auto"/>
              </w:rPr>
              <w:t xml:space="preserve">OUP  </w:t>
            </w:r>
            <w:r>
              <w:rPr>
                <w:rFonts w:ascii="Arial" w:cs="Arial" w:eastAsia="Arial" w:hAnsi="Arial"/>
                <w:sz w:val="40"/>
                <w:szCs w:val="40"/>
                <w:b w:val="1"/>
                <w:bCs w:val="1"/>
                <w:color w:val="C8504F"/>
              </w:rPr>
              <w:t>$7M</w:t>
            </w:r>
          </w:p>
        </w:tc>
        <w:tc>
          <w:tcPr>
            <w:tcW w:w="0" w:type="dxa"/>
            <w:vAlign w:val="bottom"/>
          </w:tcPr>
          <w:p>
            <w:pPr>
              <w:spacing w:after="0"/>
              <w:rPr>
                <w:sz w:val="1"/>
                <w:szCs w:val="1"/>
                <w:color w:val="auto"/>
              </w:rPr>
            </w:pPr>
          </w:p>
        </w:tc>
      </w:tr>
      <w:tr>
        <w:trPr>
          <w:trHeight w:val="274"/>
        </w:trPr>
        <w:tc>
          <w:tcPr>
            <w:tcW w:w="1380" w:type="dxa"/>
            <w:vAlign w:val="bottom"/>
            <w:vMerge w:val="restart"/>
          </w:tcPr>
          <w:p>
            <w:pPr>
              <w:ind w:left="180"/>
              <w:spacing w:after="0"/>
              <w:rPr>
                <w:sz w:val="20"/>
                <w:szCs w:val="20"/>
                <w:color w:val="auto"/>
              </w:rPr>
            </w:pPr>
            <w:r>
              <w:rPr>
                <w:rFonts w:ascii="Arial" w:cs="Arial" w:eastAsia="Arial" w:hAnsi="Arial"/>
                <w:sz w:val="35"/>
                <w:szCs w:val="35"/>
                <w:color w:val="auto"/>
              </w:rPr>
              <w:t>N/A</w:t>
            </w:r>
          </w:p>
        </w:tc>
        <w:tc>
          <w:tcPr>
            <w:tcW w:w="1720" w:type="dxa"/>
            <w:vAlign w:val="bottom"/>
            <w:vMerge w:val="restart"/>
          </w:tcPr>
          <w:p>
            <w:pPr>
              <w:jc w:val="center"/>
              <w:spacing w:after="0"/>
              <w:rPr>
                <w:sz w:val="20"/>
                <w:szCs w:val="20"/>
                <w:color w:val="auto"/>
              </w:rPr>
            </w:pPr>
            <w:r>
              <w:rPr>
                <w:rFonts w:ascii="Arial" w:cs="Arial" w:eastAsia="Arial" w:hAnsi="Arial"/>
                <w:sz w:val="35"/>
                <w:szCs w:val="35"/>
                <w:color w:val="auto"/>
                <w:w w:val="99"/>
              </w:rPr>
              <w:t>N/A</w:t>
            </w:r>
          </w:p>
        </w:tc>
        <w:tc>
          <w:tcPr>
            <w:tcW w:w="43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5"/>
        </w:trPr>
        <w:tc>
          <w:tcPr>
            <w:tcW w:w="138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4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7"/>
        </w:trPr>
        <w:tc>
          <w:tcPr>
            <w:tcW w:w="1380" w:type="dxa"/>
            <w:vAlign w:val="bottom"/>
          </w:tcPr>
          <w:p>
            <w:pPr>
              <w:jc w:val="center"/>
              <w:ind w:right="4"/>
              <w:spacing w:after="0"/>
              <w:rPr>
                <w:sz w:val="20"/>
                <w:szCs w:val="20"/>
                <w:color w:val="auto"/>
              </w:rPr>
            </w:pPr>
            <w:r>
              <w:rPr>
                <w:rFonts w:ascii="Arial" w:cs="Arial" w:eastAsia="Arial" w:hAnsi="Arial"/>
                <w:sz w:val="35"/>
                <w:szCs w:val="35"/>
                <w:color w:val="auto"/>
                <w:w w:val="97"/>
              </w:rPr>
              <w:t>180 bps</w:t>
            </w:r>
          </w:p>
        </w:tc>
        <w:tc>
          <w:tcPr>
            <w:tcW w:w="1720" w:type="dxa"/>
            <w:vAlign w:val="bottom"/>
          </w:tcPr>
          <w:p>
            <w:pPr>
              <w:jc w:val="center"/>
              <w:spacing w:after="0"/>
              <w:rPr>
                <w:sz w:val="20"/>
                <w:szCs w:val="20"/>
                <w:color w:val="auto"/>
              </w:rPr>
            </w:pPr>
            <w:r>
              <w:rPr>
                <w:rFonts w:ascii="Arial" w:cs="Arial" w:eastAsia="Arial" w:hAnsi="Arial"/>
                <w:sz w:val="35"/>
                <w:szCs w:val="35"/>
                <w:color w:val="auto"/>
                <w:w w:val="99"/>
              </w:rPr>
              <w:t>170 bps</w:t>
            </w:r>
          </w:p>
        </w:tc>
        <w:tc>
          <w:tcPr>
            <w:tcW w:w="4340" w:type="dxa"/>
            <w:vAlign w:val="bottom"/>
          </w:tcPr>
          <w:p>
            <w:pPr>
              <w:ind w:left="300"/>
              <w:spacing w:after="0"/>
              <w:rPr>
                <w:sz w:val="20"/>
                <w:szCs w:val="20"/>
                <w:color w:val="auto"/>
              </w:rPr>
            </w:pPr>
            <w:r>
              <w:rPr>
                <w:rFonts w:ascii="Arial" w:cs="Arial" w:eastAsia="Arial" w:hAnsi="Arial"/>
                <w:sz w:val="38"/>
                <w:szCs w:val="38"/>
                <w:b w:val="1"/>
                <w:bCs w:val="1"/>
                <w:color w:val="auto"/>
              </w:rPr>
              <w:t xml:space="preserve">OUP Margin </w:t>
            </w:r>
            <w:r>
              <w:rPr>
                <w:rFonts w:ascii="Arial" w:cs="Arial" w:eastAsia="Arial" w:hAnsi="Arial"/>
                <w:sz w:val="40"/>
                <w:szCs w:val="40"/>
                <w:b w:val="1"/>
                <w:bCs w:val="1"/>
                <w:color w:val="C8504F"/>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80" w:hanging="193"/>
        <w:spacing w:after="0"/>
        <w:tabs>
          <w:tab w:leader="none" w:pos="280" w:val="left"/>
        </w:tabs>
        <w:numPr>
          <w:ilvl w:val="0"/>
          <w:numId w:val="14"/>
        </w:numPr>
        <w:rPr>
          <w:rFonts w:ascii="Arial" w:cs="Arial" w:eastAsia="Arial" w:hAnsi="Arial"/>
          <w:sz w:val="23"/>
          <w:szCs w:val="23"/>
          <w:b w:val="1"/>
          <w:bCs w:val="1"/>
          <w:color w:val="auto"/>
          <w:vertAlign w:val="superscript"/>
        </w:rPr>
      </w:pPr>
      <w:r>
        <w:rPr>
          <w:rFonts w:ascii="Arial" w:cs="Arial" w:eastAsia="Arial" w:hAnsi="Arial"/>
          <w:sz w:val="17"/>
          <w:szCs w:val="17"/>
          <w:color w:val="auto"/>
        </w:rPr>
        <w:t>Excludes the impact of the reorganization charges of $0.4M in 2009 and $0.8M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806450</wp:posOffset>
            </wp:positionV>
            <wp:extent cx="727900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sectPr>
      </w:pPr>
    </w:p>
    <w:bookmarkStart w:id="21" w:name="page22"/>
    <w:bookmarkEnd w:id="21"/>
    <w:tbl>
      <w:tblPr>
        <w:tblLayout w:type="fixed"/>
        <w:tblInd w:w="1300" w:type="dxa"/>
        <w:tblCellMar>
          <w:top w:w="0" w:type="dxa"/>
          <w:left w:w="0" w:type="dxa"/>
          <w:bottom w:w="0" w:type="dxa"/>
          <w:right w:w="0" w:type="dxa"/>
        </w:tblCellMar>
      </w:tblPr>
      <w:tr>
        <w:trPr>
          <w:trHeight w:val="364"/>
        </w:trPr>
        <w:tc>
          <w:tcPr>
            <w:tcW w:w="626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80" w:type="dxa"/>
            <w:vAlign w:val="bottom"/>
          </w:tcPr>
          <w:p>
            <w:pPr>
              <w:jc w:val="right"/>
              <w:spacing w:after="0"/>
              <w:rPr>
                <w:sz w:val="20"/>
                <w:szCs w:val="20"/>
                <w:color w:val="auto"/>
              </w:rPr>
            </w:pPr>
            <w:r>
              <w:rPr>
                <w:rFonts w:ascii="Arial" w:cs="Arial" w:eastAsia="Arial" w:hAnsi="Arial"/>
                <w:sz w:val="20"/>
                <w:szCs w:val="20"/>
                <w:color w:val="FFFFFF"/>
              </w:rPr>
              <w:t>11</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300"/>
        <w:spacing w:after="0"/>
        <w:rPr>
          <w:sz w:val="20"/>
          <w:szCs w:val="20"/>
          <w:color w:val="auto"/>
        </w:rPr>
      </w:pPr>
      <w:r>
        <w:rPr>
          <w:rFonts w:ascii="Arial" w:cs="Arial" w:eastAsia="Arial" w:hAnsi="Arial"/>
          <w:sz w:val="44"/>
          <w:szCs w:val="44"/>
          <w:color w:val="6698C2"/>
        </w:rPr>
        <w:t>Asia Pacific - Q4 Revenue Growth YoY</w:t>
      </w:r>
    </w:p>
    <w:p>
      <w:pPr>
        <w:spacing w:after="0" w:line="211" w:lineRule="exact"/>
        <w:rPr>
          <w:sz w:val="20"/>
          <w:szCs w:val="20"/>
          <w:color w:val="auto"/>
        </w:rPr>
      </w:pPr>
    </w:p>
    <w:p>
      <w:pPr>
        <w:ind w:left="1060" w:right="9240" w:hanging="271"/>
        <w:spacing w:after="0" w:line="304" w:lineRule="auto"/>
        <w:tabs>
          <w:tab w:leader="none" w:pos="1048" w:val="left"/>
        </w:tabs>
        <w:numPr>
          <w:ilvl w:val="0"/>
          <w:numId w:val="15"/>
        </w:numPr>
        <w:rPr>
          <w:rFonts w:ascii="Arial" w:cs="Arial" w:eastAsia="Arial" w:hAnsi="Arial"/>
          <w:sz w:val="21"/>
          <w:szCs w:val="21"/>
          <w:b w:val="1"/>
          <w:bCs w:val="1"/>
          <w:color w:val="auto"/>
        </w:rPr>
      </w:pPr>
      <w:r>
        <w:rPr>
          <w:rFonts w:ascii="Arial" w:cs="Arial" w:eastAsia="Arial" w:hAnsi="Arial"/>
          <w:sz w:val="21"/>
          <w:szCs w:val="21"/>
          <w:b w:val="1"/>
          <w:bCs w:val="1"/>
          <w:color w:val="auto"/>
        </w:rPr>
        <w:t>of Segment Revenue</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26"/>
          <w:szCs w:val="26"/>
          <w:b w:val="1"/>
          <w:bCs w:val="1"/>
          <w:color w:val="D47C18"/>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60"/>
        <w:spacing w:after="0"/>
        <w:rPr>
          <w:sz w:val="20"/>
          <w:szCs w:val="20"/>
          <w:color w:val="auto"/>
        </w:rPr>
      </w:pPr>
      <w:r>
        <w:rPr>
          <w:rFonts w:ascii="Arial" w:cs="Arial" w:eastAsia="Arial" w:hAnsi="Arial"/>
          <w:sz w:val="26"/>
          <w:szCs w:val="26"/>
          <w:b w:val="1"/>
          <w:bCs w:val="1"/>
          <w:color w:val="D47C18"/>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60"/>
        <w:spacing w:after="0"/>
        <w:rPr>
          <w:sz w:val="20"/>
          <w:szCs w:val="20"/>
          <w:color w:val="auto"/>
        </w:rPr>
      </w:pPr>
      <w:r>
        <w:rPr>
          <w:rFonts w:ascii="Arial" w:cs="Arial" w:eastAsia="Arial" w:hAnsi="Arial"/>
          <w:sz w:val="26"/>
          <w:szCs w:val="26"/>
          <w:b w:val="1"/>
          <w:bCs w:val="1"/>
          <w:color w:val="D47C18"/>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0" w:type="dxa"/>
            <w:vAlign w:val="bottom"/>
          </w:tcPr>
          <w:p>
            <w:pPr>
              <w:jc w:val="center"/>
              <w:ind w:left="4179"/>
              <w:spacing w:after="0"/>
              <w:rPr>
                <w:sz w:val="20"/>
                <w:szCs w:val="20"/>
                <w:color w:val="auto"/>
              </w:rPr>
            </w:pPr>
            <w:r>
              <w:rPr>
                <w:rFonts w:ascii="Arial" w:cs="Arial" w:eastAsia="Arial" w:hAnsi="Arial"/>
                <w:sz w:val="20"/>
                <w:szCs w:val="20"/>
                <w:b w:val="1"/>
                <w:bCs w:val="1"/>
                <w:color w:val="auto"/>
              </w:rPr>
              <w:t>Revenue</w:t>
            </w:r>
          </w:p>
        </w:tc>
        <w:tc>
          <w:tcPr>
            <w:tcW w:w="5460" w:type="dxa"/>
            <w:vAlign w:val="bottom"/>
          </w:tcPr>
          <w:p>
            <w:pPr>
              <w:ind w:left="420"/>
              <w:spacing w:after="0"/>
              <w:rPr>
                <w:sz w:val="20"/>
                <w:szCs w:val="20"/>
                <w:color w:val="auto"/>
              </w:rPr>
            </w:pPr>
            <w:r>
              <w:rPr>
                <w:rFonts w:ascii="Arial" w:cs="Arial" w:eastAsia="Arial" w:hAnsi="Arial"/>
                <w:sz w:val="20"/>
                <w:szCs w:val="20"/>
                <w:b w:val="1"/>
                <w:bCs w:val="1"/>
                <w:color w:val="auto"/>
              </w:rPr>
              <w:t>Revenue Growth - CC</w:t>
            </w:r>
          </w:p>
        </w:tc>
      </w:tr>
      <w:tr>
        <w:trPr>
          <w:trHeight w:val="268"/>
        </w:trPr>
        <w:tc>
          <w:tcPr>
            <w:tcW w:w="6000" w:type="dxa"/>
            <w:vAlign w:val="bottom"/>
          </w:tcPr>
          <w:p>
            <w:pPr>
              <w:jc w:val="center"/>
              <w:ind w:left="4199"/>
              <w:spacing w:after="0"/>
              <w:rPr>
                <w:sz w:val="20"/>
                <w:szCs w:val="20"/>
                <w:color w:val="auto"/>
              </w:rPr>
            </w:pPr>
            <w:r>
              <w:rPr>
                <w:rFonts w:ascii="Arial" w:cs="Arial" w:eastAsia="Arial" w:hAnsi="Arial"/>
                <w:sz w:val="20"/>
                <w:szCs w:val="20"/>
                <w:b w:val="1"/>
                <w:bCs w:val="1"/>
                <w:color w:val="auto"/>
                <w:w w:val="99"/>
              </w:rPr>
              <w:t>Growth</w:t>
            </w:r>
          </w:p>
        </w:tc>
        <w:tc>
          <w:tcPr>
            <w:tcW w:w="5460" w:type="dxa"/>
            <w:vAlign w:val="bottom"/>
          </w:tcPr>
          <w:p>
            <w:pPr>
              <w:spacing w:after="0"/>
              <w:rPr>
                <w:sz w:val="23"/>
                <w:szCs w:val="23"/>
                <w:color w:val="auto"/>
              </w:rPr>
            </w:pPr>
          </w:p>
        </w:tc>
      </w:tr>
      <w:tr>
        <w:trPr>
          <w:trHeight w:val="1034"/>
        </w:trPr>
        <w:tc>
          <w:tcPr>
            <w:tcW w:w="600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80" w:right="219" w:bottom="1440" w:gutter="0" w:footer="0" w:header="0"/>
        </w:sectPr>
      </w:pPr>
    </w:p>
    <w:bookmarkStart w:id="22" w:name="page23"/>
    <w:bookmarkEnd w:id="22"/>
    <w:tbl>
      <w:tblPr>
        <w:tblLayout w:type="fixed"/>
        <w:tblInd w:w="80" w:type="dxa"/>
        <w:tblCellMar>
          <w:top w:w="0" w:type="dxa"/>
          <w:left w:w="0" w:type="dxa"/>
          <w:bottom w:w="0" w:type="dxa"/>
          <w:right w:w="0" w:type="dxa"/>
        </w:tblCellMar>
      </w:tblPr>
      <w:tr>
        <w:trPr>
          <w:trHeight w:val="364"/>
        </w:trPr>
        <w:tc>
          <w:tcPr>
            <w:tcW w:w="626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80" w:type="dxa"/>
            <w:vAlign w:val="bottom"/>
          </w:tcPr>
          <w:p>
            <w:pPr>
              <w:jc w:val="right"/>
              <w:spacing w:after="0"/>
              <w:rPr>
                <w:sz w:val="20"/>
                <w:szCs w:val="20"/>
                <w:color w:val="auto"/>
              </w:rPr>
            </w:pPr>
            <w:r>
              <w:rPr>
                <w:rFonts w:ascii="Arial" w:cs="Arial" w:eastAsia="Arial" w:hAnsi="Arial"/>
                <w:sz w:val="20"/>
                <w:szCs w:val="20"/>
                <w:color w:val="FFFFFF"/>
              </w:rPr>
              <w:t>12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Arial" w:cs="Arial" w:eastAsia="Arial" w:hAnsi="Arial"/>
          <w:sz w:val="44"/>
          <w:szCs w:val="44"/>
          <w:color w:val="6698C2"/>
        </w:rPr>
        <w:t>Right Management Segment</w:t>
      </w:r>
    </w:p>
    <w:p>
      <w:pPr>
        <w:ind w:left="80"/>
        <w:spacing w:after="0"/>
        <w:rPr>
          <w:sz w:val="20"/>
          <w:szCs w:val="20"/>
          <w:color w:val="auto"/>
        </w:rPr>
      </w:pPr>
      <w:r>
        <w:rPr>
          <w:rFonts w:ascii="Arial" w:cs="Arial" w:eastAsia="Arial" w:hAnsi="Arial"/>
          <w:sz w:val="29"/>
          <w:szCs w:val="29"/>
          <w:color w:val="6698C2"/>
        </w:rPr>
        <w:t>(3% of Revenue)</w:t>
      </w:r>
    </w:p>
    <w:p>
      <w:pPr>
        <w:spacing w:after="0" w:line="330"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1380" w:type="dxa"/>
            <w:vAlign w:val="bottom"/>
            <w:vMerge w:val="restart"/>
          </w:tcPr>
          <w:p>
            <w:pPr>
              <w:jc w:val="center"/>
              <w:ind w:right="42"/>
              <w:spacing w:after="0"/>
              <w:rPr>
                <w:sz w:val="20"/>
                <w:szCs w:val="20"/>
                <w:color w:val="auto"/>
              </w:rPr>
            </w:pPr>
            <w:r>
              <w:rPr>
                <w:rFonts w:ascii="Arial" w:cs="Arial" w:eastAsia="Arial" w:hAnsi="Arial"/>
                <w:sz w:val="20"/>
                <w:szCs w:val="20"/>
                <w:b w:val="1"/>
                <w:bCs w:val="1"/>
                <w:color w:val="auto"/>
              </w:rPr>
              <w:t>As</w:t>
            </w:r>
          </w:p>
        </w:tc>
        <w:tc>
          <w:tcPr>
            <w:tcW w:w="1720" w:type="dxa"/>
            <w:vAlign w:val="bottom"/>
          </w:tcPr>
          <w:p>
            <w:pPr>
              <w:jc w:val="center"/>
              <w:spacing w:after="0"/>
              <w:rPr>
                <w:sz w:val="20"/>
                <w:szCs w:val="20"/>
                <w:color w:val="auto"/>
              </w:rPr>
            </w:pPr>
            <w:r>
              <w:rPr>
                <w:rFonts w:ascii="Arial" w:cs="Arial" w:eastAsia="Arial" w:hAnsi="Arial"/>
                <w:sz w:val="20"/>
                <w:szCs w:val="20"/>
                <w:b w:val="1"/>
                <w:bCs w:val="1"/>
                <w:color w:val="auto"/>
              </w:rPr>
              <w:t>Excluding Non</w:t>
            </w:r>
          </w:p>
        </w:tc>
        <w:tc>
          <w:tcPr>
            <w:tcW w:w="4340" w:type="dxa"/>
            <w:vAlign w:val="bottom"/>
            <w:vMerge w:val="restart"/>
          </w:tcPr>
          <w:p>
            <w:pPr>
              <w:ind w:left="160"/>
              <w:spacing w:after="0"/>
              <w:rPr>
                <w:sz w:val="20"/>
                <w:szCs w:val="20"/>
                <w:color w:val="auto"/>
              </w:rPr>
            </w:pPr>
            <w:r>
              <w:rPr>
                <w:rFonts w:ascii="Arial" w:cs="Arial" w:eastAsia="Arial" w:hAnsi="Arial"/>
                <w:sz w:val="38"/>
                <w:szCs w:val="38"/>
                <w:b w:val="1"/>
                <w:bCs w:val="1"/>
                <w:color w:val="auto"/>
                <w:w w:val="98"/>
              </w:rPr>
              <w:t>Q4 Financial Highlights</w:t>
            </w:r>
          </w:p>
        </w:tc>
        <w:tc>
          <w:tcPr>
            <w:tcW w:w="0" w:type="dxa"/>
            <w:vAlign w:val="bottom"/>
          </w:tcPr>
          <w:p>
            <w:pPr>
              <w:spacing w:after="0"/>
              <w:rPr>
                <w:sz w:val="1"/>
                <w:szCs w:val="1"/>
                <w:color w:val="auto"/>
              </w:rPr>
            </w:pPr>
          </w:p>
        </w:tc>
      </w:tr>
      <w:tr>
        <w:trPr>
          <w:trHeight w:val="208"/>
        </w:trPr>
        <w:tc>
          <w:tcPr>
            <w:tcW w:w="1380" w:type="dxa"/>
            <w:vAlign w:val="bottom"/>
            <w:vMerge w:val="continue"/>
          </w:tcPr>
          <w:p>
            <w:pPr>
              <w:spacing w:after="0"/>
              <w:rPr>
                <w:sz w:val="18"/>
                <w:szCs w:val="18"/>
                <w:color w:val="auto"/>
              </w:rPr>
            </w:pPr>
          </w:p>
        </w:tc>
        <w:tc>
          <w:tcPr>
            <w:tcW w:w="1720" w:type="dxa"/>
            <w:vAlign w:val="bottom"/>
          </w:tcPr>
          <w:p>
            <w:pPr>
              <w:jc w:val="center"/>
              <w:spacing w:after="0" w:line="207" w:lineRule="exact"/>
              <w:rPr>
                <w:sz w:val="20"/>
                <w:szCs w:val="20"/>
                <w:color w:val="auto"/>
              </w:rPr>
            </w:pPr>
            <w:r>
              <w:rPr>
                <w:rFonts w:ascii="Arial" w:cs="Arial" w:eastAsia="Arial" w:hAnsi="Arial"/>
                <w:sz w:val="20"/>
                <w:szCs w:val="20"/>
                <w:b w:val="1"/>
                <w:bCs w:val="1"/>
                <w:color w:val="auto"/>
              </w:rPr>
              <w:t>-recurring</w:t>
            </w:r>
          </w:p>
        </w:tc>
        <w:tc>
          <w:tcPr>
            <w:tcW w:w="4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380" w:type="dxa"/>
            <w:vAlign w:val="bottom"/>
          </w:tcPr>
          <w:p>
            <w:pPr>
              <w:jc w:val="center"/>
              <w:ind w:right="62"/>
              <w:spacing w:after="0"/>
              <w:rPr>
                <w:sz w:val="20"/>
                <w:szCs w:val="20"/>
                <w:color w:val="auto"/>
              </w:rPr>
            </w:pPr>
            <w:r>
              <w:rPr>
                <w:rFonts w:ascii="Arial" w:cs="Arial" w:eastAsia="Arial" w:hAnsi="Arial"/>
                <w:sz w:val="20"/>
                <w:szCs w:val="20"/>
                <w:b w:val="1"/>
                <w:bCs w:val="1"/>
                <w:color w:val="auto"/>
              </w:rPr>
              <w:t>Reported</w:t>
            </w:r>
          </w:p>
        </w:tc>
        <w:tc>
          <w:tcPr>
            <w:tcW w:w="1720" w:type="dxa"/>
            <w:vAlign w:val="bottom"/>
          </w:tcPr>
          <w:p>
            <w:pPr>
              <w:jc w:val="center"/>
              <w:ind w:left="8"/>
              <w:spacing w:after="0"/>
              <w:rPr>
                <w:sz w:val="20"/>
                <w:szCs w:val="20"/>
                <w:color w:val="auto"/>
              </w:rPr>
            </w:pPr>
            <w:r>
              <w:rPr>
                <w:rFonts w:ascii="Arial" w:cs="Arial" w:eastAsia="Arial" w:hAnsi="Arial"/>
                <w:sz w:val="20"/>
                <w:szCs w:val="20"/>
                <w:b w:val="1"/>
                <w:bCs w:val="1"/>
                <w:color w:val="auto"/>
                <w:w w:val="92"/>
              </w:rPr>
              <w:t>Items</w:t>
            </w:r>
            <w:r>
              <w:rPr>
                <w:rFonts w:ascii="Arial" w:cs="Arial" w:eastAsia="Arial" w:hAnsi="Arial"/>
                <w:sz w:val="31"/>
                <w:szCs w:val="31"/>
                <w:b w:val="1"/>
                <w:bCs w:val="1"/>
                <w:color w:val="5F81AA"/>
                <w:w w:val="92"/>
                <w:vertAlign w:val="superscript"/>
              </w:rPr>
              <w:t>(1)</w:t>
            </w:r>
          </w:p>
        </w:tc>
        <w:tc>
          <w:tcPr>
            <w:tcW w:w="4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380" w:type="dxa"/>
            <w:vAlign w:val="bottom"/>
          </w:tcPr>
          <w:p>
            <w:pPr>
              <w:jc w:val="right"/>
              <w:ind w:right="302"/>
              <w:spacing w:after="0"/>
              <w:rPr>
                <w:sz w:val="20"/>
                <w:szCs w:val="20"/>
                <w:color w:val="auto"/>
              </w:rPr>
            </w:pPr>
            <w:r>
              <w:rPr>
                <w:rFonts w:ascii="Arial" w:cs="Arial" w:eastAsia="Arial" w:hAnsi="Arial"/>
                <w:sz w:val="35"/>
                <w:szCs w:val="35"/>
                <w:color w:val="auto"/>
              </w:rPr>
              <w:t>5%</w:t>
            </w:r>
          </w:p>
        </w:tc>
        <w:tc>
          <w:tcPr>
            <w:tcW w:w="1720" w:type="dxa"/>
            <w:vAlign w:val="bottom"/>
          </w:tcPr>
          <w:p>
            <w:pPr>
              <w:jc w:val="center"/>
              <w:ind w:left="68"/>
              <w:spacing w:after="0"/>
              <w:rPr>
                <w:sz w:val="20"/>
                <w:szCs w:val="20"/>
                <w:color w:val="auto"/>
              </w:rPr>
            </w:pPr>
            <w:r>
              <w:rPr>
                <w:rFonts w:ascii="Arial" w:cs="Arial" w:eastAsia="Arial" w:hAnsi="Arial"/>
                <w:sz w:val="35"/>
                <w:szCs w:val="35"/>
                <w:color w:val="auto"/>
                <w:w w:val="98"/>
              </w:rPr>
              <w:t>5%</w:t>
            </w:r>
          </w:p>
        </w:tc>
        <w:tc>
          <w:tcPr>
            <w:tcW w:w="4340" w:type="dxa"/>
            <w:vAlign w:val="bottom"/>
            <w:vMerge w:val="restart"/>
          </w:tcPr>
          <w:p>
            <w:pPr>
              <w:ind w:left="280"/>
              <w:spacing w:after="0"/>
              <w:rPr>
                <w:sz w:val="20"/>
                <w:szCs w:val="20"/>
                <w:color w:val="auto"/>
              </w:rPr>
            </w:pPr>
            <w:r>
              <w:rPr>
                <w:rFonts w:ascii="Arial" w:cs="Arial" w:eastAsia="Arial" w:hAnsi="Arial"/>
                <w:sz w:val="38"/>
                <w:szCs w:val="38"/>
                <w:b w:val="1"/>
                <w:bCs w:val="1"/>
                <w:color w:val="auto"/>
              </w:rPr>
              <w:t xml:space="preserve">Revenue </w:t>
            </w:r>
            <w:r>
              <w:rPr>
                <w:rFonts w:ascii="Arial" w:cs="Arial" w:eastAsia="Arial" w:hAnsi="Arial"/>
                <w:sz w:val="40"/>
                <w:szCs w:val="40"/>
                <w:b w:val="1"/>
                <w:bCs w:val="1"/>
                <w:color w:val="5F81AA"/>
              </w:rPr>
              <w:t>$130M</w:t>
            </w:r>
          </w:p>
        </w:tc>
        <w:tc>
          <w:tcPr>
            <w:tcW w:w="0" w:type="dxa"/>
            <w:vAlign w:val="bottom"/>
          </w:tcPr>
          <w:p>
            <w:pPr>
              <w:spacing w:after="0"/>
              <w:rPr>
                <w:sz w:val="1"/>
                <w:szCs w:val="1"/>
                <w:color w:val="auto"/>
              </w:rPr>
            </w:pPr>
          </w:p>
        </w:tc>
      </w:tr>
      <w:tr>
        <w:trPr>
          <w:trHeight w:val="236"/>
        </w:trPr>
        <w:tc>
          <w:tcPr>
            <w:tcW w:w="1380" w:type="dxa"/>
            <w:vAlign w:val="bottom"/>
            <w:vMerge w:val="restart"/>
          </w:tcPr>
          <w:p>
            <w:pPr>
              <w:jc w:val="right"/>
              <w:ind w:right="342"/>
              <w:spacing w:after="0"/>
              <w:rPr>
                <w:sz w:val="20"/>
                <w:szCs w:val="20"/>
                <w:color w:val="auto"/>
              </w:rPr>
            </w:pPr>
            <w:r>
              <w:rPr>
                <w:rFonts w:ascii="Arial" w:cs="Arial" w:eastAsia="Arial" w:hAnsi="Arial"/>
                <w:sz w:val="35"/>
                <w:szCs w:val="35"/>
                <w:color w:val="auto"/>
              </w:rPr>
              <w:t>1%</w:t>
            </w:r>
          </w:p>
        </w:tc>
        <w:tc>
          <w:tcPr>
            <w:tcW w:w="1720" w:type="dxa"/>
            <w:vAlign w:val="bottom"/>
            <w:vMerge w:val="restart"/>
          </w:tcPr>
          <w:p>
            <w:pPr>
              <w:jc w:val="center"/>
              <w:spacing w:after="0"/>
              <w:rPr>
                <w:sz w:val="20"/>
                <w:szCs w:val="20"/>
                <w:color w:val="auto"/>
              </w:rPr>
            </w:pPr>
            <w:r>
              <w:rPr>
                <w:rFonts w:ascii="Arial" w:cs="Arial" w:eastAsia="Arial" w:hAnsi="Arial"/>
                <w:sz w:val="35"/>
                <w:szCs w:val="35"/>
                <w:color w:val="auto"/>
              </w:rPr>
              <w:t>1%</w:t>
            </w:r>
          </w:p>
        </w:tc>
        <w:tc>
          <w:tcPr>
            <w:tcW w:w="4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4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1380" w:type="dxa"/>
            <w:vAlign w:val="bottom"/>
          </w:tcPr>
          <w:p>
            <w:pPr>
              <w:jc w:val="center"/>
              <w:spacing w:after="0" w:line="314" w:lineRule="exact"/>
              <w:rPr>
                <w:sz w:val="20"/>
                <w:szCs w:val="20"/>
                <w:color w:val="auto"/>
              </w:rPr>
            </w:pPr>
            <w:r>
              <w:rPr>
                <w:rFonts w:ascii="Arial" w:cs="Arial" w:eastAsia="Arial" w:hAnsi="Arial"/>
                <w:sz w:val="35"/>
                <w:szCs w:val="35"/>
                <w:color w:val="auto"/>
                <w:w w:val="98"/>
              </w:rPr>
              <w:t>CC</w:t>
            </w:r>
          </w:p>
        </w:tc>
        <w:tc>
          <w:tcPr>
            <w:tcW w:w="1720" w:type="dxa"/>
            <w:vAlign w:val="bottom"/>
          </w:tcPr>
          <w:p>
            <w:pPr>
              <w:jc w:val="center"/>
              <w:spacing w:after="0" w:line="314" w:lineRule="exact"/>
              <w:rPr>
                <w:sz w:val="20"/>
                <w:szCs w:val="20"/>
                <w:color w:val="auto"/>
              </w:rPr>
            </w:pPr>
            <w:r>
              <w:rPr>
                <w:rFonts w:ascii="Arial" w:cs="Arial" w:eastAsia="Arial" w:hAnsi="Arial"/>
                <w:sz w:val="35"/>
                <w:szCs w:val="35"/>
                <w:color w:val="auto"/>
              </w:rPr>
              <w:t>CC</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380" w:type="dxa"/>
            <w:vAlign w:val="bottom"/>
          </w:tcPr>
          <w:p>
            <w:pPr>
              <w:jc w:val="center"/>
              <w:spacing w:after="0" w:line="326" w:lineRule="exact"/>
              <w:rPr>
                <w:sz w:val="20"/>
                <w:szCs w:val="20"/>
                <w:color w:val="auto"/>
              </w:rPr>
            </w:pPr>
            <w:r>
              <w:rPr>
                <w:rFonts w:ascii="Arial" w:cs="Arial" w:eastAsia="Arial" w:hAnsi="Arial"/>
                <w:sz w:val="35"/>
                <w:szCs w:val="35"/>
                <w:color w:val="auto"/>
                <w:w w:val="99"/>
              </w:rPr>
              <w:t>22%</w:t>
            </w:r>
          </w:p>
        </w:tc>
        <w:tc>
          <w:tcPr>
            <w:tcW w:w="1720" w:type="dxa"/>
            <w:vAlign w:val="bottom"/>
          </w:tcPr>
          <w:p>
            <w:pPr>
              <w:jc w:val="center"/>
              <w:ind w:left="28"/>
              <w:spacing w:after="0" w:line="326" w:lineRule="exact"/>
              <w:rPr>
                <w:sz w:val="20"/>
                <w:szCs w:val="20"/>
                <w:color w:val="auto"/>
              </w:rPr>
            </w:pPr>
            <w:r>
              <w:rPr>
                <w:rFonts w:ascii="Arial" w:cs="Arial" w:eastAsia="Arial" w:hAnsi="Arial"/>
                <w:sz w:val="35"/>
                <w:szCs w:val="35"/>
                <w:color w:val="auto"/>
                <w:w w:val="99"/>
              </w:rPr>
              <w:t>12%</w:t>
            </w:r>
          </w:p>
        </w:tc>
        <w:tc>
          <w:tcPr>
            <w:tcW w:w="4340" w:type="dxa"/>
            <w:vAlign w:val="bottom"/>
            <w:vMerge w:val="restart"/>
          </w:tcPr>
          <w:p>
            <w:pPr>
              <w:ind w:left="300"/>
              <w:spacing w:after="0"/>
              <w:rPr>
                <w:sz w:val="20"/>
                <w:szCs w:val="20"/>
                <w:color w:val="auto"/>
              </w:rPr>
            </w:pPr>
            <w:r>
              <w:rPr>
                <w:rFonts w:ascii="Arial" w:cs="Arial" w:eastAsia="Arial" w:hAnsi="Arial"/>
                <w:sz w:val="38"/>
                <w:szCs w:val="38"/>
                <w:b w:val="1"/>
                <w:bCs w:val="1"/>
                <w:color w:val="auto"/>
              </w:rPr>
              <w:t xml:space="preserve">OUP </w:t>
            </w:r>
            <w:r>
              <w:rPr>
                <w:rFonts w:ascii="Arial" w:cs="Arial" w:eastAsia="Arial" w:hAnsi="Arial"/>
                <w:sz w:val="40"/>
                <w:szCs w:val="40"/>
                <w:b w:val="1"/>
                <w:bCs w:val="1"/>
                <w:color w:val="5F81AA"/>
              </w:rPr>
              <w:t>$21M</w:t>
            </w:r>
          </w:p>
        </w:tc>
        <w:tc>
          <w:tcPr>
            <w:tcW w:w="0" w:type="dxa"/>
            <w:vAlign w:val="bottom"/>
          </w:tcPr>
          <w:p>
            <w:pPr>
              <w:spacing w:after="0"/>
              <w:rPr>
                <w:sz w:val="1"/>
                <w:szCs w:val="1"/>
                <w:color w:val="auto"/>
              </w:rPr>
            </w:pPr>
          </w:p>
        </w:tc>
      </w:tr>
      <w:tr>
        <w:trPr>
          <w:trHeight w:val="252"/>
        </w:trPr>
        <w:tc>
          <w:tcPr>
            <w:tcW w:w="1380" w:type="dxa"/>
            <w:vAlign w:val="bottom"/>
            <w:vMerge w:val="restart"/>
          </w:tcPr>
          <w:p>
            <w:pPr>
              <w:jc w:val="right"/>
              <w:ind w:right="242"/>
              <w:spacing w:after="0"/>
              <w:rPr>
                <w:sz w:val="20"/>
                <w:szCs w:val="20"/>
                <w:color w:val="auto"/>
              </w:rPr>
            </w:pPr>
            <w:r>
              <w:rPr>
                <w:rFonts w:ascii="Arial" w:cs="Arial" w:eastAsia="Arial" w:hAnsi="Arial"/>
                <w:sz w:val="35"/>
                <w:szCs w:val="35"/>
                <w:color w:val="auto"/>
              </w:rPr>
              <w:t>16%</w:t>
            </w:r>
          </w:p>
        </w:tc>
        <w:tc>
          <w:tcPr>
            <w:tcW w:w="1720" w:type="dxa"/>
            <w:vAlign w:val="bottom"/>
            <w:vMerge w:val="restart"/>
          </w:tcPr>
          <w:p>
            <w:pPr>
              <w:jc w:val="center"/>
              <w:spacing w:after="0"/>
              <w:rPr>
                <w:sz w:val="20"/>
                <w:szCs w:val="20"/>
                <w:color w:val="auto"/>
              </w:rPr>
            </w:pPr>
            <w:r>
              <w:rPr>
                <w:rFonts w:ascii="Arial" w:cs="Arial" w:eastAsia="Arial" w:hAnsi="Arial"/>
                <w:sz w:val="35"/>
                <w:szCs w:val="35"/>
                <w:color w:val="auto"/>
                <w:w w:val="98"/>
              </w:rPr>
              <w:t>6%</w:t>
            </w:r>
          </w:p>
        </w:tc>
        <w:tc>
          <w:tcPr>
            <w:tcW w:w="4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38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4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1380" w:type="dxa"/>
            <w:vAlign w:val="bottom"/>
          </w:tcPr>
          <w:p>
            <w:pPr>
              <w:jc w:val="center"/>
              <w:spacing w:after="0"/>
              <w:rPr>
                <w:sz w:val="20"/>
                <w:szCs w:val="20"/>
                <w:color w:val="auto"/>
              </w:rPr>
            </w:pPr>
            <w:r>
              <w:rPr>
                <w:rFonts w:ascii="Arial" w:cs="Arial" w:eastAsia="Arial" w:hAnsi="Arial"/>
                <w:sz w:val="35"/>
                <w:szCs w:val="35"/>
                <w:color w:val="auto"/>
                <w:w w:val="98"/>
              </w:rPr>
              <w:t>CC</w:t>
            </w:r>
          </w:p>
        </w:tc>
        <w:tc>
          <w:tcPr>
            <w:tcW w:w="1720" w:type="dxa"/>
            <w:vAlign w:val="bottom"/>
          </w:tcPr>
          <w:p>
            <w:pPr>
              <w:jc w:val="center"/>
              <w:spacing w:after="0"/>
              <w:rPr>
                <w:sz w:val="20"/>
                <w:szCs w:val="20"/>
                <w:color w:val="auto"/>
              </w:rPr>
            </w:pPr>
            <w:r>
              <w:rPr>
                <w:rFonts w:ascii="Arial" w:cs="Arial" w:eastAsia="Arial" w:hAnsi="Arial"/>
                <w:sz w:val="35"/>
                <w:szCs w:val="35"/>
                <w:color w:val="auto"/>
                <w:w w:val="98"/>
              </w:rPr>
              <w:t>CC</w:t>
            </w:r>
          </w:p>
        </w:tc>
        <w:tc>
          <w:tcPr>
            <w:tcW w:w="4340" w:type="dxa"/>
            <w:vAlign w:val="bottom"/>
            <w:vMerge w:val="restart"/>
          </w:tcPr>
          <w:p>
            <w:pPr>
              <w:ind w:left="300"/>
              <w:spacing w:after="0"/>
              <w:rPr>
                <w:sz w:val="20"/>
                <w:szCs w:val="20"/>
                <w:color w:val="auto"/>
              </w:rPr>
            </w:pPr>
            <w:r>
              <w:rPr>
                <w:rFonts w:ascii="Arial" w:cs="Arial" w:eastAsia="Arial" w:hAnsi="Arial"/>
                <w:sz w:val="38"/>
                <w:szCs w:val="38"/>
                <w:b w:val="1"/>
                <w:bCs w:val="1"/>
                <w:color w:val="auto"/>
              </w:rPr>
              <w:t xml:space="preserve">OUP Margin </w:t>
            </w:r>
            <w:r>
              <w:rPr>
                <w:rFonts w:ascii="Arial" w:cs="Arial" w:eastAsia="Arial" w:hAnsi="Arial"/>
                <w:sz w:val="40"/>
                <w:szCs w:val="40"/>
                <w:b w:val="1"/>
                <w:bCs w:val="1"/>
                <w:color w:val="5F81AA"/>
              </w:rPr>
              <w:t>16.0%</w:t>
            </w:r>
          </w:p>
        </w:tc>
        <w:tc>
          <w:tcPr>
            <w:tcW w:w="0" w:type="dxa"/>
            <w:vAlign w:val="bottom"/>
          </w:tcPr>
          <w:p>
            <w:pPr>
              <w:spacing w:after="0"/>
              <w:rPr>
                <w:sz w:val="1"/>
                <w:szCs w:val="1"/>
                <w:color w:val="auto"/>
              </w:rPr>
            </w:pPr>
          </w:p>
        </w:tc>
      </w:tr>
      <w:tr>
        <w:trPr>
          <w:trHeight w:val="448"/>
        </w:trPr>
        <w:tc>
          <w:tcPr>
            <w:tcW w:w="1380" w:type="dxa"/>
            <w:vAlign w:val="bottom"/>
          </w:tcPr>
          <w:p>
            <w:pPr>
              <w:jc w:val="center"/>
              <w:ind w:right="2"/>
              <w:spacing w:after="0"/>
              <w:rPr>
                <w:sz w:val="20"/>
                <w:szCs w:val="20"/>
                <w:color w:val="auto"/>
              </w:rPr>
            </w:pPr>
            <w:r>
              <w:rPr>
                <w:rFonts w:ascii="Arial" w:cs="Arial" w:eastAsia="Arial" w:hAnsi="Arial"/>
                <w:sz w:val="35"/>
                <w:szCs w:val="35"/>
                <w:color w:val="auto"/>
                <w:w w:val="97"/>
              </w:rPr>
              <w:t>230 bps</w:t>
            </w:r>
          </w:p>
        </w:tc>
        <w:tc>
          <w:tcPr>
            <w:tcW w:w="1720" w:type="dxa"/>
            <w:vAlign w:val="bottom"/>
          </w:tcPr>
          <w:p>
            <w:pPr>
              <w:jc w:val="center"/>
              <w:spacing w:after="0"/>
              <w:rPr>
                <w:sz w:val="20"/>
                <w:szCs w:val="20"/>
                <w:color w:val="auto"/>
              </w:rPr>
            </w:pPr>
            <w:r>
              <w:rPr>
                <w:rFonts w:ascii="Arial" w:cs="Arial" w:eastAsia="Arial" w:hAnsi="Arial"/>
                <w:sz w:val="35"/>
                <w:szCs w:val="35"/>
                <w:color w:val="auto"/>
                <w:w w:val="99"/>
              </w:rPr>
              <w:t>100 bps</w:t>
            </w:r>
          </w:p>
        </w:tc>
        <w:tc>
          <w:tcPr>
            <w:tcW w:w="4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80" w:hanging="193"/>
        <w:spacing w:after="0"/>
        <w:tabs>
          <w:tab w:leader="none" w:pos="280" w:val="left"/>
        </w:tabs>
        <w:numPr>
          <w:ilvl w:val="0"/>
          <w:numId w:val="16"/>
        </w:numPr>
        <w:rPr>
          <w:rFonts w:ascii="Arial" w:cs="Arial" w:eastAsia="Arial" w:hAnsi="Arial"/>
          <w:sz w:val="23"/>
          <w:szCs w:val="23"/>
          <w:b w:val="1"/>
          <w:bCs w:val="1"/>
          <w:color w:val="auto"/>
          <w:vertAlign w:val="superscript"/>
        </w:rPr>
      </w:pPr>
      <w:r>
        <w:rPr>
          <w:rFonts w:ascii="Arial" w:cs="Arial" w:eastAsia="Arial" w:hAnsi="Arial"/>
          <w:sz w:val="17"/>
          <w:szCs w:val="17"/>
          <w:color w:val="auto"/>
        </w:rPr>
        <w:t>Excludes the impact of the reorganization charges of $1.5M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806450</wp:posOffset>
            </wp:positionV>
            <wp:extent cx="727900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sectPr>
      </w:pPr>
    </w:p>
    <w:bookmarkStart w:id="23" w:name="page24"/>
    <w:bookmarkEnd w:id="23"/>
    <w:tbl>
      <w:tblPr>
        <w:tblLayout w:type="fixed"/>
        <w:tblInd w:w="80" w:type="dxa"/>
        <w:tblCellMar>
          <w:top w:w="0" w:type="dxa"/>
          <w:left w:w="0" w:type="dxa"/>
          <w:bottom w:w="0" w:type="dxa"/>
          <w:right w:w="0" w:type="dxa"/>
        </w:tblCellMar>
      </w:tblPr>
      <w:tr>
        <w:trPr>
          <w:trHeight w:val="364"/>
        </w:trPr>
        <w:tc>
          <w:tcPr>
            <w:tcW w:w="626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80" w:type="dxa"/>
            <w:vAlign w:val="bottom"/>
          </w:tcPr>
          <w:p>
            <w:pPr>
              <w:jc w:val="right"/>
              <w:spacing w:after="0"/>
              <w:rPr>
                <w:sz w:val="20"/>
                <w:szCs w:val="20"/>
                <w:color w:val="auto"/>
              </w:rPr>
            </w:pPr>
            <w:r>
              <w:rPr>
                <w:rFonts w:ascii="Arial" w:cs="Arial" w:eastAsia="Arial" w:hAnsi="Arial"/>
                <w:sz w:val="20"/>
                <w:szCs w:val="20"/>
                <w:color w:val="FFFFFF"/>
              </w:rPr>
              <w:t>13</w:t>
            </w:r>
          </w:p>
        </w:tc>
      </w:tr>
    </w:tbl>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44"/>
          <w:szCs w:val="44"/>
          <w:color w:val="6698C2"/>
        </w:rPr>
        <w:t>Jefferson Wells Segment</w:t>
      </w:r>
    </w:p>
    <w:p>
      <w:pPr>
        <w:ind w:left="80"/>
        <w:spacing w:after="0"/>
        <w:rPr>
          <w:sz w:val="20"/>
          <w:szCs w:val="20"/>
          <w:color w:val="auto"/>
        </w:rPr>
      </w:pPr>
      <w:r>
        <w:rPr>
          <w:rFonts w:ascii="Arial" w:cs="Arial" w:eastAsia="Arial" w:hAnsi="Arial"/>
          <w:sz w:val="29"/>
          <w:szCs w:val="29"/>
          <w:color w:val="6698C2"/>
        </w:rPr>
        <w:t>(1% of Revenue)</w:t>
      </w:r>
    </w:p>
    <w:p>
      <w:pPr>
        <w:spacing w:after="0" w:line="330"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1140" w:type="dxa"/>
            <w:vAlign w:val="bottom"/>
            <w:vMerge w:val="restart"/>
          </w:tcPr>
          <w:p>
            <w:pPr>
              <w:jc w:val="center"/>
              <w:ind w:right="90"/>
              <w:spacing w:after="0"/>
              <w:rPr>
                <w:sz w:val="20"/>
                <w:szCs w:val="20"/>
                <w:color w:val="auto"/>
              </w:rPr>
            </w:pPr>
            <w:r>
              <w:rPr>
                <w:rFonts w:ascii="Arial" w:cs="Arial" w:eastAsia="Arial" w:hAnsi="Arial"/>
                <w:sz w:val="20"/>
                <w:szCs w:val="20"/>
                <w:b w:val="1"/>
                <w:bCs w:val="1"/>
                <w:color w:val="auto"/>
              </w:rPr>
              <w:t>As</w:t>
            </w: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rPr>
              <w:t>Excluding Non</w:t>
            </w:r>
          </w:p>
        </w:tc>
        <w:tc>
          <w:tcPr>
            <w:tcW w:w="4340" w:type="dxa"/>
            <w:vAlign w:val="bottom"/>
            <w:vMerge w:val="restart"/>
          </w:tcPr>
          <w:p>
            <w:pPr>
              <w:ind w:left="160"/>
              <w:spacing w:after="0"/>
              <w:rPr>
                <w:sz w:val="20"/>
                <w:szCs w:val="20"/>
                <w:color w:val="auto"/>
              </w:rPr>
            </w:pPr>
            <w:r>
              <w:rPr>
                <w:rFonts w:ascii="Arial" w:cs="Arial" w:eastAsia="Arial" w:hAnsi="Arial"/>
                <w:sz w:val="38"/>
                <w:szCs w:val="38"/>
                <w:b w:val="1"/>
                <w:bCs w:val="1"/>
                <w:color w:val="auto"/>
                <w:w w:val="98"/>
              </w:rPr>
              <w:t>Q4 Financial Highlights</w:t>
            </w:r>
          </w:p>
        </w:tc>
        <w:tc>
          <w:tcPr>
            <w:tcW w:w="0" w:type="dxa"/>
            <w:vAlign w:val="bottom"/>
          </w:tcPr>
          <w:p>
            <w:pPr>
              <w:spacing w:after="0"/>
              <w:rPr>
                <w:sz w:val="1"/>
                <w:szCs w:val="1"/>
                <w:color w:val="auto"/>
              </w:rPr>
            </w:pPr>
          </w:p>
        </w:tc>
      </w:tr>
      <w:tr>
        <w:trPr>
          <w:trHeight w:val="208"/>
        </w:trPr>
        <w:tc>
          <w:tcPr>
            <w:tcW w:w="1140" w:type="dxa"/>
            <w:vAlign w:val="bottom"/>
            <w:vMerge w:val="continue"/>
          </w:tcPr>
          <w:p>
            <w:pPr>
              <w:spacing w:after="0"/>
              <w:rPr>
                <w:sz w:val="18"/>
                <w:szCs w:val="18"/>
                <w:color w:val="auto"/>
              </w:rPr>
            </w:pPr>
          </w:p>
        </w:tc>
        <w:tc>
          <w:tcPr>
            <w:tcW w:w="1820" w:type="dxa"/>
            <w:vAlign w:val="bottom"/>
          </w:tcPr>
          <w:p>
            <w:pPr>
              <w:jc w:val="center"/>
              <w:spacing w:after="0" w:line="207" w:lineRule="exact"/>
              <w:rPr>
                <w:sz w:val="20"/>
                <w:szCs w:val="20"/>
                <w:color w:val="auto"/>
              </w:rPr>
            </w:pPr>
            <w:r>
              <w:rPr>
                <w:rFonts w:ascii="Arial" w:cs="Arial" w:eastAsia="Arial" w:hAnsi="Arial"/>
                <w:sz w:val="20"/>
                <w:szCs w:val="20"/>
                <w:b w:val="1"/>
                <w:bCs w:val="1"/>
                <w:color w:val="auto"/>
              </w:rPr>
              <w:t>-recurring</w:t>
            </w:r>
          </w:p>
        </w:tc>
        <w:tc>
          <w:tcPr>
            <w:tcW w:w="4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140" w:type="dxa"/>
            <w:vAlign w:val="bottom"/>
          </w:tcPr>
          <w:p>
            <w:pPr>
              <w:jc w:val="center"/>
              <w:ind w:right="110"/>
              <w:spacing w:after="0"/>
              <w:rPr>
                <w:sz w:val="20"/>
                <w:szCs w:val="20"/>
                <w:color w:val="auto"/>
              </w:rPr>
            </w:pPr>
            <w:r>
              <w:rPr>
                <w:rFonts w:ascii="Arial" w:cs="Arial" w:eastAsia="Arial" w:hAnsi="Arial"/>
                <w:sz w:val="20"/>
                <w:szCs w:val="20"/>
                <w:b w:val="1"/>
                <w:bCs w:val="1"/>
                <w:color w:val="auto"/>
              </w:rPr>
              <w:t>Reported</w:t>
            </w:r>
          </w:p>
        </w:tc>
        <w:tc>
          <w:tcPr>
            <w:tcW w:w="1820" w:type="dxa"/>
            <w:vAlign w:val="bottom"/>
          </w:tcPr>
          <w:p>
            <w:pPr>
              <w:jc w:val="center"/>
              <w:ind w:left="117"/>
              <w:spacing w:after="0"/>
              <w:rPr>
                <w:sz w:val="20"/>
                <w:szCs w:val="20"/>
                <w:color w:val="auto"/>
              </w:rPr>
            </w:pPr>
            <w:r>
              <w:rPr>
                <w:rFonts w:ascii="Arial" w:cs="Arial" w:eastAsia="Arial" w:hAnsi="Arial"/>
                <w:sz w:val="20"/>
                <w:szCs w:val="20"/>
                <w:b w:val="1"/>
                <w:bCs w:val="1"/>
                <w:color w:val="auto"/>
                <w:w w:val="92"/>
              </w:rPr>
              <w:t>Items</w:t>
            </w:r>
            <w:r>
              <w:rPr>
                <w:rFonts w:ascii="Arial" w:cs="Arial" w:eastAsia="Arial" w:hAnsi="Arial"/>
                <w:sz w:val="31"/>
                <w:szCs w:val="31"/>
                <w:b w:val="1"/>
                <w:bCs w:val="1"/>
                <w:color w:val="6698C2"/>
                <w:w w:val="92"/>
                <w:vertAlign w:val="superscript"/>
              </w:rPr>
              <w:t>(1)</w:t>
            </w:r>
          </w:p>
        </w:tc>
        <w:tc>
          <w:tcPr>
            <w:tcW w:w="4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1140" w:type="dxa"/>
            <w:vAlign w:val="bottom"/>
          </w:tcPr>
          <w:p>
            <w:pPr>
              <w:jc w:val="center"/>
              <w:ind w:right="10"/>
              <w:spacing w:after="0"/>
              <w:rPr>
                <w:sz w:val="20"/>
                <w:szCs w:val="20"/>
                <w:color w:val="auto"/>
              </w:rPr>
            </w:pPr>
            <w:r>
              <w:rPr>
                <w:rFonts w:ascii="Arial" w:cs="Arial" w:eastAsia="Arial" w:hAnsi="Arial"/>
                <w:sz w:val="35"/>
                <w:szCs w:val="35"/>
                <w:color w:val="auto"/>
                <w:w w:val="99"/>
              </w:rPr>
              <w:t>32%</w:t>
            </w:r>
          </w:p>
        </w:tc>
        <w:tc>
          <w:tcPr>
            <w:tcW w:w="1820" w:type="dxa"/>
            <w:vAlign w:val="bottom"/>
          </w:tcPr>
          <w:p>
            <w:pPr>
              <w:jc w:val="center"/>
              <w:ind w:left="97"/>
              <w:spacing w:after="0"/>
              <w:rPr>
                <w:sz w:val="20"/>
                <w:szCs w:val="20"/>
                <w:color w:val="auto"/>
              </w:rPr>
            </w:pPr>
            <w:r>
              <w:rPr>
                <w:rFonts w:ascii="Arial" w:cs="Arial" w:eastAsia="Arial" w:hAnsi="Arial"/>
                <w:sz w:val="35"/>
                <w:szCs w:val="35"/>
                <w:color w:val="auto"/>
                <w:w w:val="99"/>
              </w:rPr>
              <w:t>32%</w:t>
            </w:r>
          </w:p>
        </w:tc>
        <w:tc>
          <w:tcPr>
            <w:tcW w:w="4340" w:type="dxa"/>
            <w:vAlign w:val="bottom"/>
          </w:tcPr>
          <w:p>
            <w:pPr>
              <w:ind w:left="280"/>
              <w:spacing w:after="0"/>
              <w:rPr>
                <w:sz w:val="20"/>
                <w:szCs w:val="20"/>
                <w:color w:val="auto"/>
              </w:rPr>
            </w:pPr>
            <w:r>
              <w:rPr>
                <w:rFonts w:ascii="Arial" w:cs="Arial" w:eastAsia="Arial" w:hAnsi="Arial"/>
                <w:sz w:val="38"/>
                <w:szCs w:val="38"/>
                <w:b w:val="1"/>
                <w:bCs w:val="1"/>
                <w:color w:val="auto"/>
              </w:rPr>
              <w:t xml:space="preserve">Revenue </w:t>
            </w:r>
            <w:r>
              <w:rPr>
                <w:rFonts w:ascii="Arial" w:cs="Arial" w:eastAsia="Arial" w:hAnsi="Arial"/>
                <w:sz w:val="40"/>
                <w:szCs w:val="40"/>
                <w:b w:val="1"/>
                <w:bCs w:val="1"/>
                <w:color w:val="6698C2"/>
              </w:rPr>
              <w:t>$43M</w:t>
            </w:r>
          </w:p>
        </w:tc>
        <w:tc>
          <w:tcPr>
            <w:tcW w:w="0" w:type="dxa"/>
            <w:vAlign w:val="bottom"/>
          </w:tcPr>
          <w:p>
            <w:pPr>
              <w:spacing w:after="0"/>
              <w:rPr>
                <w:sz w:val="1"/>
                <w:szCs w:val="1"/>
                <w:color w:val="auto"/>
              </w:rPr>
            </w:pPr>
          </w:p>
        </w:tc>
      </w:tr>
      <w:tr>
        <w:trPr>
          <w:trHeight w:val="1077"/>
        </w:trPr>
        <w:tc>
          <w:tcPr>
            <w:tcW w:w="1140" w:type="dxa"/>
            <w:vAlign w:val="bottom"/>
          </w:tcPr>
          <w:p>
            <w:pPr>
              <w:jc w:val="center"/>
              <w:ind w:right="50"/>
              <w:spacing w:after="0"/>
              <w:rPr>
                <w:sz w:val="20"/>
                <w:szCs w:val="20"/>
                <w:color w:val="auto"/>
              </w:rPr>
            </w:pPr>
            <w:r>
              <w:rPr>
                <w:rFonts w:ascii="Arial" w:cs="Arial" w:eastAsia="Arial" w:hAnsi="Arial"/>
                <w:sz w:val="35"/>
                <w:szCs w:val="35"/>
                <w:color w:val="auto"/>
                <w:w w:val="99"/>
              </w:rPr>
              <w:t>N/A</w:t>
            </w:r>
          </w:p>
        </w:tc>
        <w:tc>
          <w:tcPr>
            <w:tcW w:w="1820" w:type="dxa"/>
            <w:vAlign w:val="bottom"/>
          </w:tcPr>
          <w:p>
            <w:pPr>
              <w:jc w:val="center"/>
              <w:ind w:left="57"/>
              <w:spacing w:after="0"/>
              <w:rPr>
                <w:sz w:val="20"/>
                <w:szCs w:val="20"/>
                <w:color w:val="auto"/>
              </w:rPr>
            </w:pPr>
            <w:r>
              <w:rPr>
                <w:rFonts w:ascii="Arial" w:cs="Arial" w:eastAsia="Arial" w:hAnsi="Arial"/>
                <w:sz w:val="35"/>
                <w:szCs w:val="35"/>
                <w:color w:val="auto"/>
                <w:w w:val="99"/>
              </w:rPr>
              <w:t>N/A</w:t>
            </w:r>
          </w:p>
        </w:tc>
        <w:tc>
          <w:tcPr>
            <w:tcW w:w="4340" w:type="dxa"/>
            <w:vAlign w:val="bottom"/>
          </w:tcPr>
          <w:p>
            <w:pPr>
              <w:ind w:left="300"/>
              <w:spacing w:after="0"/>
              <w:rPr>
                <w:sz w:val="20"/>
                <w:szCs w:val="20"/>
                <w:color w:val="auto"/>
              </w:rPr>
            </w:pPr>
            <w:r>
              <w:rPr>
                <w:rFonts w:ascii="Arial" w:cs="Arial" w:eastAsia="Arial" w:hAnsi="Arial"/>
                <w:sz w:val="38"/>
                <w:szCs w:val="38"/>
                <w:b w:val="1"/>
                <w:bCs w:val="1"/>
                <w:color w:val="auto"/>
              </w:rPr>
              <w:t xml:space="preserve">OUP </w:t>
            </w:r>
            <w:r>
              <w:rPr>
                <w:rFonts w:ascii="Arial" w:cs="Arial" w:eastAsia="Arial" w:hAnsi="Arial"/>
                <w:sz w:val="40"/>
                <w:szCs w:val="40"/>
                <w:b w:val="1"/>
                <w:bCs w:val="1"/>
                <w:color w:val="6698C2"/>
              </w:rPr>
              <w:t>$(4M)</w:t>
            </w:r>
          </w:p>
        </w:tc>
        <w:tc>
          <w:tcPr>
            <w:tcW w:w="0" w:type="dxa"/>
            <w:vAlign w:val="bottom"/>
          </w:tcPr>
          <w:p>
            <w:pPr>
              <w:spacing w:after="0"/>
              <w:rPr>
                <w:sz w:val="1"/>
                <w:szCs w:val="1"/>
                <w:color w:val="auto"/>
              </w:rPr>
            </w:pPr>
          </w:p>
        </w:tc>
      </w:tr>
      <w:tr>
        <w:trPr>
          <w:trHeight w:val="988"/>
        </w:trPr>
        <w:tc>
          <w:tcPr>
            <w:tcW w:w="1140" w:type="dxa"/>
            <w:vAlign w:val="bottom"/>
          </w:tcPr>
          <w:p>
            <w:pPr>
              <w:jc w:val="center"/>
              <w:ind w:right="170"/>
              <w:spacing w:after="0"/>
              <w:rPr>
                <w:sz w:val="20"/>
                <w:szCs w:val="20"/>
                <w:color w:val="auto"/>
              </w:rPr>
            </w:pPr>
            <w:r>
              <w:rPr>
                <w:rFonts w:ascii="Arial" w:cs="Arial" w:eastAsia="Arial" w:hAnsi="Arial"/>
                <w:sz w:val="35"/>
                <w:szCs w:val="35"/>
                <w:color w:val="auto"/>
              </w:rPr>
              <w:t>1300</w:t>
            </w:r>
          </w:p>
        </w:tc>
        <w:tc>
          <w:tcPr>
            <w:tcW w:w="1820" w:type="dxa"/>
            <w:vAlign w:val="bottom"/>
          </w:tcPr>
          <w:p>
            <w:pPr>
              <w:jc w:val="center"/>
              <w:ind w:left="57"/>
              <w:spacing w:after="0"/>
              <w:rPr>
                <w:sz w:val="20"/>
                <w:szCs w:val="20"/>
                <w:color w:val="auto"/>
              </w:rPr>
            </w:pPr>
            <w:r>
              <w:rPr>
                <w:rFonts w:ascii="Arial" w:cs="Arial" w:eastAsia="Arial" w:hAnsi="Arial"/>
                <w:sz w:val="35"/>
                <w:szCs w:val="35"/>
                <w:color w:val="auto"/>
                <w:w w:val="97"/>
              </w:rPr>
              <w:t>50</w:t>
            </w:r>
          </w:p>
        </w:tc>
        <w:tc>
          <w:tcPr>
            <w:tcW w:w="4340" w:type="dxa"/>
            <w:vAlign w:val="bottom"/>
          </w:tcPr>
          <w:p>
            <w:pPr>
              <w:ind w:left="300"/>
              <w:spacing w:after="0"/>
              <w:rPr>
                <w:sz w:val="20"/>
                <w:szCs w:val="20"/>
                <w:color w:val="auto"/>
              </w:rPr>
            </w:pPr>
            <w:r>
              <w:rPr>
                <w:rFonts w:ascii="Arial" w:cs="Arial" w:eastAsia="Arial" w:hAnsi="Arial"/>
                <w:sz w:val="38"/>
                <w:szCs w:val="38"/>
                <w:b w:val="1"/>
                <w:bCs w:val="1"/>
                <w:color w:val="auto"/>
              </w:rPr>
              <w:t xml:space="preserve">OUP Margin </w:t>
            </w:r>
            <w:r>
              <w:rPr>
                <w:rFonts w:ascii="Arial" w:cs="Arial" w:eastAsia="Arial" w:hAnsi="Arial"/>
                <w:sz w:val="40"/>
                <w:szCs w:val="40"/>
                <w:b w:val="1"/>
                <w:bCs w:val="1"/>
                <w:color w:val="6698C2"/>
              </w:rPr>
              <w:t>- 8.6%</w:t>
            </w:r>
          </w:p>
        </w:tc>
        <w:tc>
          <w:tcPr>
            <w:tcW w:w="0" w:type="dxa"/>
            <w:vAlign w:val="bottom"/>
          </w:tcPr>
          <w:p>
            <w:pPr>
              <w:spacing w:after="0"/>
              <w:rPr>
                <w:sz w:val="1"/>
                <w:szCs w:val="1"/>
                <w:color w:val="auto"/>
              </w:rPr>
            </w:pPr>
          </w:p>
        </w:tc>
      </w:tr>
      <w:tr>
        <w:trPr>
          <w:trHeight w:val="419"/>
        </w:trPr>
        <w:tc>
          <w:tcPr>
            <w:tcW w:w="1140" w:type="dxa"/>
            <w:vAlign w:val="bottom"/>
          </w:tcPr>
          <w:p>
            <w:pPr>
              <w:jc w:val="center"/>
              <w:ind w:right="170"/>
              <w:spacing w:after="0"/>
              <w:rPr>
                <w:sz w:val="20"/>
                <w:szCs w:val="20"/>
                <w:color w:val="auto"/>
              </w:rPr>
            </w:pPr>
            <w:r>
              <w:rPr>
                <w:rFonts w:ascii="Arial" w:cs="Arial" w:eastAsia="Arial" w:hAnsi="Arial"/>
                <w:sz w:val="35"/>
                <w:szCs w:val="35"/>
                <w:color w:val="auto"/>
              </w:rPr>
              <w:t>bps</w:t>
            </w:r>
          </w:p>
        </w:tc>
        <w:tc>
          <w:tcPr>
            <w:tcW w:w="1820" w:type="dxa"/>
            <w:vAlign w:val="bottom"/>
          </w:tcPr>
          <w:p>
            <w:pPr>
              <w:jc w:val="center"/>
              <w:ind w:left="77"/>
              <w:spacing w:after="0"/>
              <w:rPr>
                <w:sz w:val="20"/>
                <w:szCs w:val="20"/>
                <w:color w:val="auto"/>
              </w:rPr>
            </w:pPr>
            <w:r>
              <w:rPr>
                <w:rFonts w:ascii="Arial" w:cs="Arial" w:eastAsia="Arial" w:hAnsi="Arial"/>
                <w:sz w:val="35"/>
                <w:szCs w:val="35"/>
                <w:color w:val="auto"/>
                <w:w w:val="99"/>
              </w:rPr>
              <w:t>bps</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340" w:hanging="188"/>
        <w:spacing w:after="0"/>
        <w:tabs>
          <w:tab w:leader="none" w:pos="34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Excludes the impact of the reorganization charges of $7.8M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779145</wp:posOffset>
            </wp:positionV>
            <wp:extent cx="727900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sectPr>
      </w:pPr>
    </w:p>
    <w:bookmarkStart w:id="24" w:name="page25"/>
    <w:bookmarkEnd w:id="24"/>
    <w:tbl>
      <w:tblPr>
        <w:tblLayout w:type="fixed"/>
        <w:tblInd w:w="80" w:type="dxa"/>
        <w:tblCellMar>
          <w:top w:w="0" w:type="dxa"/>
          <w:left w:w="0" w:type="dxa"/>
          <w:bottom w:w="0" w:type="dxa"/>
          <w:right w:w="0" w:type="dxa"/>
        </w:tblCellMar>
      </w:tblPr>
      <w:tr>
        <w:trPr>
          <w:trHeight w:val="364"/>
        </w:trPr>
        <w:tc>
          <w:tcPr>
            <w:tcW w:w="626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80" w:type="dxa"/>
            <w:vAlign w:val="bottom"/>
          </w:tcPr>
          <w:p>
            <w:pPr>
              <w:jc w:val="right"/>
              <w:spacing w:after="0"/>
              <w:rPr>
                <w:sz w:val="20"/>
                <w:szCs w:val="20"/>
                <w:color w:val="auto"/>
              </w:rPr>
            </w:pPr>
            <w:r>
              <w:rPr>
                <w:rFonts w:ascii="Arial" w:cs="Arial" w:eastAsia="Arial" w:hAnsi="Arial"/>
                <w:sz w:val="20"/>
                <w:szCs w:val="20"/>
                <w:color w:val="FFFFFF"/>
              </w:rPr>
              <w:t>14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Arial" w:cs="Arial" w:eastAsia="Arial" w:hAnsi="Arial"/>
          <w:sz w:val="44"/>
          <w:szCs w:val="44"/>
          <w:color w:val="6698C2"/>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3926205</wp:posOffset>
            </wp:positionV>
            <wp:extent cx="727900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sectPr>
      </w:pPr>
    </w:p>
    <w:bookmarkStart w:id="25" w:name="page26"/>
    <w:bookmarkEnd w:id="25"/>
    <w:tbl>
      <w:tblPr>
        <w:tblLayout w:type="fixed"/>
        <w:tblInd w:w="80" w:type="dxa"/>
        <w:tblCellMar>
          <w:top w:w="0" w:type="dxa"/>
          <w:left w:w="0" w:type="dxa"/>
          <w:bottom w:w="0" w:type="dxa"/>
          <w:right w:w="0" w:type="dxa"/>
        </w:tblCellMar>
      </w:tblPr>
      <w:tr>
        <w:trPr>
          <w:trHeight w:val="364"/>
        </w:trPr>
        <w:tc>
          <w:tcPr>
            <w:tcW w:w="626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80" w:type="dxa"/>
            <w:vAlign w:val="bottom"/>
          </w:tcPr>
          <w:p>
            <w:pPr>
              <w:jc w:val="right"/>
              <w:spacing w:after="0"/>
              <w:rPr>
                <w:sz w:val="20"/>
                <w:szCs w:val="20"/>
                <w:color w:val="auto"/>
              </w:rPr>
            </w:pPr>
            <w:r>
              <w:rPr>
                <w:rFonts w:ascii="Arial" w:cs="Arial" w:eastAsia="Arial" w:hAnsi="Arial"/>
                <w:sz w:val="20"/>
                <w:szCs w:val="20"/>
                <w:color w:val="FFFFFF"/>
              </w:rPr>
              <w:t>15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44"/>
          <w:szCs w:val="44"/>
          <w:color w:val="6698C2"/>
        </w:rPr>
        <w:t>Q4 Non-recurring Items</w:t>
      </w:r>
    </w:p>
    <w:p>
      <w:pPr>
        <w:ind w:left="60"/>
        <w:spacing w:after="0"/>
        <w:rPr>
          <w:sz w:val="20"/>
          <w:szCs w:val="20"/>
          <w:color w:val="auto"/>
        </w:rPr>
      </w:pPr>
      <w:r>
        <w:rPr>
          <w:rFonts w:ascii="Arial" w:cs="Arial" w:eastAsia="Arial" w:hAnsi="Arial"/>
          <w:sz w:val="26"/>
          <w:szCs w:val="26"/>
          <w:color w:val="C8504F"/>
        </w:rPr>
        <w:t>($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4081145</wp:posOffset>
            </wp:positionV>
            <wp:extent cx="727900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sectPr>
      </w:pPr>
    </w:p>
    <w:bookmarkStart w:id="26" w:name="page27"/>
    <w:bookmarkEnd w:id="26"/>
    <w:tbl>
      <w:tblPr>
        <w:tblLayout w:type="fixed"/>
        <w:tblInd w:w="80" w:type="dxa"/>
        <w:tblCellMar>
          <w:top w:w="0" w:type="dxa"/>
          <w:left w:w="0" w:type="dxa"/>
          <w:bottom w:w="0" w:type="dxa"/>
          <w:right w:w="0" w:type="dxa"/>
        </w:tblCellMar>
      </w:tblPr>
      <w:tr>
        <w:trPr>
          <w:trHeight w:val="364"/>
        </w:trPr>
        <w:tc>
          <w:tcPr>
            <w:tcW w:w="626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80" w:type="dxa"/>
            <w:vAlign w:val="bottom"/>
          </w:tcPr>
          <w:p>
            <w:pPr>
              <w:jc w:val="right"/>
              <w:spacing w:after="0"/>
              <w:rPr>
                <w:sz w:val="20"/>
                <w:szCs w:val="20"/>
                <w:color w:val="auto"/>
              </w:rPr>
            </w:pPr>
            <w:r>
              <w:rPr>
                <w:rFonts w:ascii="Arial" w:cs="Arial" w:eastAsia="Arial" w:hAnsi="Arial"/>
                <w:sz w:val="20"/>
                <w:szCs w:val="20"/>
                <w:color w:val="FFFFFF"/>
              </w:rPr>
              <w:t>16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44"/>
          <w:szCs w:val="44"/>
          <w:color w:val="6698C2"/>
        </w:rPr>
        <w:t>Full Year Non-recurring Items</w:t>
      </w:r>
    </w:p>
    <w:p>
      <w:pPr>
        <w:ind w:left="60"/>
        <w:spacing w:after="0"/>
        <w:rPr>
          <w:sz w:val="20"/>
          <w:szCs w:val="20"/>
          <w:color w:val="auto"/>
        </w:rPr>
      </w:pPr>
      <w:r>
        <w:rPr>
          <w:rFonts w:ascii="Arial" w:cs="Arial" w:eastAsia="Arial" w:hAnsi="Arial"/>
          <w:sz w:val="26"/>
          <w:szCs w:val="26"/>
          <w:color w:val="C8504F"/>
        </w:rPr>
        <w:t>($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40"/>
        <w:spacing w:after="0"/>
        <w:rPr>
          <w:sz w:val="20"/>
          <w:szCs w:val="20"/>
          <w:color w:val="auto"/>
        </w:rPr>
      </w:pPr>
      <w:r>
        <w:rPr>
          <w:rFonts w:ascii="Arial" w:cs="Arial" w:eastAsia="Arial" w:hAnsi="Arial"/>
          <w:sz w:val="13"/>
          <w:szCs w:val="13"/>
          <w:b w:val="1"/>
          <w:bCs w:val="1"/>
          <w:color w:val="C8504F"/>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right="1360" w:hanging="200"/>
        <w:spacing w:after="0" w:line="218" w:lineRule="auto"/>
        <w:tabs>
          <w:tab w:leader="none" w:pos="174" w:val="left"/>
        </w:tabs>
        <w:numPr>
          <w:ilvl w:val="0"/>
          <w:numId w:val="18"/>
        </w:numPr>
        <w:rPr>
          <w:rFonts w:ascii="Arial" w:cs="Arial" w:eastAsia="Arial" w:hAnsi="Arial"/>
          <w:sz w:val="21"/>
          <w:szCs w:val="21"/>
          <w:b w:val="1"/>
          <w:bCs w:val="1"/>
          <w:color w:val="auto"/>
          <w:vertAlign w:val="superscript"/>
        </w:rPr>
      </w:pPr>
      <w:r>
        <w:rPr>
          <w:rFonts w:ascii="Arial" w:cs="Arial" w:eastAsia="Arial" w:hAnsi="Arial"/>
          <w:sz w:val="15"/>
          <w:szCs w:val="15"/>
          <w:color w:val="auto"/>
        </w:rPr>
        <w:t>Reorganization expense was $6.9M pretax in Q1($0.06 per share), $13.0M in Q2 ($0.11 per share), $0.9M in Q3 ($0.01 per share) and $12.7M in Q4 ($0.11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527050</wp:posOffset>
            </wp:positionV>
            <wp:extent cx="727900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sectPr>
      </w:pPr>
    </w:p>
    <w:bookmarkStart w:id="27" w:name="page28"/>
    <w:bookmarkEnd w:id="27"/>
    <w:tbl>
      <w:tblPr>
        <w:tblLayout w:type="fixed"/>
        <w:tblInd w:w="100" w:type="dxa"/>
        <w:tblCellMar>
          <w:top w:w="0" w:type="dxa"/>
          <w:left w:w="0" w:type="dxa"/>
          <w:bottom w:w="0" w:type="dxa"/>
          <w:right w:w="0" w:type="dxa"/>
        </w:tblCellMar>
      </w:tblPr>
      <w:tr>
        <w:trPr>
          <w:trHeight w:val="364"/>
        </w:trPr>
        <w:tc>
          <w:tcPr>
            <w:tcW w:w="626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80" w:type="dxa"/>
            <w:vAlign w:val="bottom"/>
          </w:tcPr>
          <w:p>
            <w:pPr>
              <w:jc w:val="right"/>
              <w:spacing w:after="0"/>
              <w:rPr>
                <w:sz w:val="20"/>
                <w:szCs w:val="20"/>
                <w:color w:val="auto"/>
              </w:rPr>
            </w:pPr>
            <w:r>
              <w:rPr>
                <w:rFonts w:ascii="Arial" w:cs="Arial" w:eastAsia="Arial" w:hAnsi="Arial"/>
                <w:sz w:val="20"/>
                <w:szCs w:val="20"/>
                <w:color w:val="FFFFFF"/>
              </w:rPr>
              <w:t>17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344" w:lineRule="exact"/>
        <w:rPr>
          <w:sz w:val="20"/>
          <w:szCs w:val="20"/>
          <w:color w:val="auto"/>
        </w:rPr>
      </w:pPr>
    </w:p>
    <w:p>
      <w:pPr>
        <w:ind w:left="100"/>
        <w:spacing w:after="0"/>
        <w:rPr>
          <w:sz w:val="20"/>
          <w:szCs w:val="20"/>
          <w:color w:val="auto"/>
        </w:rPr>
      </w:pPr>
      <w:r>
        <w:rPr>
          <w:rFonts w:ascii="Arial" w:cs="Arial" w:eastAsia="Arial" w:hAnsi="Arial"/>
          <w:sz w:val="44"/>
          <w:szCs w:val="44"/>
          <w:color w:val="6698C2"/>
        </w:rPr>
        <w:t>Cash Flow Summary - Full Year</w:t>
      </w:r>
    </w:p>
    <w:p>
      <w:pPr>
        <w:sectPr>
          <w:pgSz w:w="11900" w:h="16838" w:orient="portrait"/>
          <w:cols w:equalWidth="0" w:num="1">
            <w:col w:w="9240"/>
          </w:cols>
          <w:pgMar w:left="1420" w:top="380" w:right="1239" w:bottom="1440" w:gutter="0" w:footer="0" w:header="0"/>
        </w:sect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26"/>
          <w:szCs w:val="26"/>
          <w:color w:val="D47C18"/>
        </w:rPr>
        <w:t>($ in millions)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29"/>
          <w:szCs w:val="29"/>
          <w:b w:val="1"/>
          <w:bCs w:val="1"/>
          <w:color w:val="auto"/>
        </w:rPr>
        <w:t>Cash from Operations</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29"/>
          <w:szCs w:val="29"/>
          <w:b w:val="1"/>
          <w:bCs w:val="1"/>
          <w:color w:val="auto"/>
        </w:rPr>
        <w:t>Capital</w:t>
      </w:r>
    </w:p>
    <w:p>
      <w:pPr>
        <w:ind w:left="440"/>
        <w:spacing w:after="0" w:line="181" w:lineRule="auto"/>
        <w:rPr>
          <w:sz w:val="20"/>
          <w:szCs w:val="20"/>
          <w:color w:val="auto"/>
        </w:rPr>
      </w:pPr>
      <w:r>
        <w:rPr>
          <w:rFonts w:ascii="Arial" w:cs="Arial" w:eastAsia="Arial" w:hAnsi="Arial"/>
          <w:sz w:val="52"/>
          <w:szCs w:val="52"/>
          <w:b w:val="1"/>
          <w:bCs w:val="1"/>
          <w:color w:val="auto"/>
          <w:vertAlign w:val="subscript"/>
        </w:rPr>
        <w:t>Free</w:t>
      </w:r>
      <w:r>
        <w:rPr>
          <w:rFonts w:ascii="Arial" w:cs="Arial" w:eastAsia="Arial" w:hAnsi="Arial"/>
          <w:sz w:val="27"/>
          <w:szCs w:val="27"/>
          <w:b w:val="1"/>
          <w:bCs w:val="1"/>
          <w:color w:val="auto"/>
        </w:rPr>
        <w:t>Expenditures</w:t>
      </w:r>
      <w:r>
        <w:rPr>
          <w:rFonts w:ascii="Arial" w:cs="Arial" w:eastAsia="Arial" w:hAnsi="Arial"/>
          <w:sz w:val="52"/>
          <w:szCs w:val="52"/>
          <w:b w:val="1"/>
          <w:bCs w:val="1"/>
          <w:color w:val="auto"/>
          <w:vertAlign w:val="subscript"/>
        </w:rPr>
        <w:t>CashFlow</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29"/>
          <w:szCs w:val="29"/>
          <w:b w:val="1"/>
          <w:bCs w:val="1"/>
          <w:color w:val="auto"/>
        </w:rPr>
        <w:t>Share Repurchases</w:t>
      </w:r>
    </w:p>
    <w:p>
      <w:pPr>
        <w:spacing w:after="0" w:line="134" w:lineRule="exact"/>
        <w:rPr>
          <w:sz w:val="20"/>
          <w:szCs w:val="20"/>
          <w:color w:val="auto"/>
        </w:rPr>
      </w:pPr>
    </w:p>
    <w:p>
      <w:pPr>
        <w:jc w:val="center"/>
        <w:ind w:right="2733"/>
        <w:spacing w:after="0"/>
        <w:rPr>
          <w:sz w:val="20"/>
          <w:szCs w:val="20"/>
          <w:color w:val="auto"/>
        </w:rPr>
      </w:pPr>
      <w:r>
        <w:rPr>
          <w:rFonts w:ascii="Arial" w:cs="Arial" w:eastAsia="Arial" w:hAnsi="Arial"/>
          <w:sz w:val="29"/>
          <w:szCs w:val="29"/>
          <w:b w:val="1"/>
          <w:bCs w:val="1"/>
          <w:color w:val="auto"/>
        </w:rPr>
        <w:t>Change in</w:t>
      </w:r>
    </w:p>
    <w:p>
      <w:pPr>
        <w:jc w:val="center"/>
        <w:ind w:right="2733"/>
        <w:spacing w:after="0" w:line="188" w:lineRule="auto"/>
        <w:rPr>
          <w:sz w:val="20"/>
          <w:szCs w:val="20"/>
          <w:color w:val="auto"/>
        </w:rPr>
      </w:pPr>
      <w:r>
        <w:rPr>
          <w:rFonts w:ascii="Arial" w:cs="Arial" w:eastAsia="Arial" w:hAnsi="Arial"/>
          <w:sz w:val="14"/>
          <w:szCs w:val="14"/>
          <w:b w:val="1"/>
          <w:bCs w:val="1"/>
          <w:color w:val="auto"/>
        </w:rPr>
        <w:t>Debt</w:t>
      </w:r>
    </w:p>
    <w:p>
      <w:pPr>
        <w:spacing w:after="0" w:line="1" w:lineRule="exact"/>
        <w:rPr>
          <w:sz w:val="20"/>
          <w:szCs w:val="20"/>
          <w:color w:val="auto"/>
        </w:rPr>
      </w:pPr>
    </w:p>
    <w:p>
      <w:pPr>
        <w:ind w:left="40" w:right="1893"/>
        <w:spacing w:after="0" w:line="382" w:lineRule="auto"/>
        <w:rPr>
          <w:sz w:val="20"/>
          <w:szCs w:val="20"/>
          <w:color w:val="auto"/>
        </w:rPr>
      </w:pPr>
      <w:r>
        <w:rPr>
          <w:rFonts w:ascii="Arial" w:cs="Arial" w:eastAsia="Arial" w:hAnsi="Arial"/>
          <w:sz w:val="19"/>
          <w:szCs w:val="19"/>
          <w:b w:val="1"/>
          <w:bCs w:val="1"/>
          <w:color w:val="auto"/>
        </w:rPr>
        <w:t>Acquisitions of Businesses,netofcash acquired</w:t>
      </w:r>
    </w:p>
    <w:p>
      <w:pPr>
        <w:spacing w:after="0" w:line="1" w:lineRule="exact"/>
        <w:rPr>
          <w:sz w:val="20"/>
          <w:szCs w:val="20"/>
          <w:color w:val="auto"/>
        </w:rPr>
      </w:pPr>
    </w:p>
    <w:p>
      <w:pPr>
        <w:ind w:right="273"/>
        <w:spacing w:after="0" w:line="339" w:lineRule="auto"/>
        <w:rPr>
          <w:sz w:val="20"/>
          <w:szCs w:val="20"/>
          <w:color w:val="auto"/>
        </w:rPr>
      </w:pPr>
      <w:r>
        <w:rPr>
          <w:rFonts w:ascii="Arial" w:cs="Arial" w:eastAsia="Arial" w:hAnsi="Arial"/>
          <w:sz w:val="29"/>
          <w:szCs w:val="29"/>
          <w:b w:val="1"/>
          <w:bCs w:val="1"/>
          <w:color w:val="auto"/>
        </w:rPr>
        <w:t>Effect of Exchange Rate Changes Other</w:t>
      </w:r>
    </w:p>
    <w:p>
      <w:pPr>
        <w:spacing w:after="0" w:line="11"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auto"/>
        </w:rPr>
        <w:t>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1017905</wp:posOffset>
            </wp:positionV>
            <wp:extent cx="727900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7"/>
        <w:spacing w:after="0"/>
        <w:tabs>
          <w:tab w:leader="none" w:pos="1667" w:val="left"/>
        </w:tabs>
        <w:rPr>
          <w:sz w:val="20"/>
          <w:szCs w:val="20"/>
          <w:color w:val="auto"/>
        </w:rPr>
      </w:pPr>
      <w:r>
        <w:rPr>
          <w:rFonts w:ascii="Arial" w:cs="Arial" w:eastAsia="Arial" w:hAnsi="Arial"/>
          <w:sz w:val="29"/>
          <w:szCs w:val="29"/>
          <w:b w:val="1"/>
          <w:bCs w:val="1"/>
          <w:color w:val="D47C18"/>
        </w:rPr>
        <w:t>2009</w:t>
      </w:r>
      <w:r>
        <w:rPr>
          <w:sz w:val="20"/>
          <w:szCs w:val="20"/>
          <w:color w:val="auto"/>
        </w:rPr>
        <w:tab/>
      </w:r>
      <w:r>
        <w:rPr>
          <w:rFonts w:ascii="Arial" w:cs="Arial" w:eastAsia="Arial" w:hAnsi="Arial"/>
          <w:sz w:val="29"/>
          <w:szCs w:val="29"/>
          <w:b w:val="1"/>
          <w:bCs w:val="1"/>
          <w:color w:val="D47C18"/>
        </w:rPr>
        <w:t>2008</w:t>
      </w:r>
    </w:p>
    <w:p>
      <w:pPr>
        <w:spacing w:after="0" w:line="234" w:lineRule="exact"/>
        <w:rPr>
          <w:sz w:val="20"/>
          <w:szCs w:val="20"/>
          <w:color w:val="auto"/>
        </w:rPr>
      </w:pPr>
    </w:p>
    <w:p>
      <w:pPr>
        <w:ind w:left="1847" w:hanging="1738"/>
        <w:spacing w:after="0"/>
        <w:tabs>
          <w:tab w:leader="none" w:pos="1847" w:val="left"/>
        </w:tabs>
        <w:numPr>
          <w:ilvl w:val="0"/>
          <w:numId w:val="19"/>
        </w:numPr>
        <w:rPr>
          <w:rFonts w:ascii="Arial" w:cs="Arial" w:eastAsia="Arial" w:hAnsi="Arial"/>
          <w:sz w:val="32"/>
          <w:szCs w:val="32"/>
          <w:b w:val="1"/>
          <w:bCs w:val="1"/>
          <w:color w:val="auto"/>
        </w:rPr>
      </w:pPr>
      <w:r>
        <w:rPr>
          <w:rFonts w:ascii="Arial" w:cs="Arial" w:eastAsia="Arial" w:hAnsi="Arial"/>
          <w:sz w:val="32"/>
          <w:szCs w:val="32"/>
          <w:b w:val="1"/>
          <w:bCs w:val="1"/>
          <w:color w:val="auto"/>
        </w:rPr>
        <w:t>792</w:t>
      </w:r>
    </w:p>
    <w:p>
      <w:pPr>
        <w:spacing w:after="0" w:line="67" w:lineRule="exact"/>
        <w:rPr>
          <w:rFonts w:ascii="Arial" w:cs="Arial" w:eastAsia="Arial" w:hAnsi="Arial"/>
          <w:sz w:val="32"/>
          <w:szCs w:val="32"/>
          <w:b w:val="1"/>
          <w:bCs w:val="1"/>
          <w:color w:val="auto"/>
        </w:rPr>
      </w:pPr>
    </w:p>
    <w:p>
      <w:pPr>
        <w:ind w:left="1907" w:hanging="1755"/>
        <w:spacing w:after="0"/>
        <w:tabs>
          <w:tab w:leader="none" w:pos="1907" w:val="left"/>
        </w:tabs>
        <w:numPr>
          <w:ilvl w:val="1"/>
          <w:numId w:val="19"/>
        </w:numPr>
        <w:rPr>
          <w:rFonts w:ascii="Arial" w:cs="Arial" w:eastAsia="Arial" w:hAnsi="Arial"/>
          <w:sz w:val="32"/>
          <w:szCs w:val="32"/>
          <w:b w:val="1"/>
          <w:bCs w:val="1"/>
          <w:color w:val="auto"/>
        </w:rPr>
      </w:pPr>
      <w:r>
        <w:rPr>
          <w:rFonts w:ascii="Arial" w:cs="Arial" w:eastAsia="Arial" w:hAnsi="Arial"/>
          <w:sz w:val="32"/>
          <w:szCs w:val="32"/>
          <w:b w:val="1"/>
          <w:bCs w:val="1"/>
          <w:color w:val="auto"/>
        </w:rPr>
        <w:t>(93)</w:t>
      </w:r>
    </w:p>
    <w:p>
      <w:pPr>
        <w:spacing w:after="0" w:line="57" w:lineRule="exact"/>
        <w:rPr>
          <w:sz w:val="20"/>
          <w:szCs w:val="20"/>
          <w:color w:val="auto"/>
        </w:rPr>
      </w:pPr>
    </w:p>
    <w:p>
      <w:pPr>
        <w:ind w:left="107"/>
        <w:spacing w:after="0"/>
        <w:tabs>
          <w:tab w:leader="none" w:pos="1807" w:val="left"/>
        </w:tabs>
        <w:rPr>
          <w:sz w:val="20"/>
          <w:szCs w:val="20"/>
          <w:color w:val="auto"/>
        </w:rPr>
      </w:pPr>
      <w:r>
        <w:rPr>
          <w:rFonts w:ascii="Arial" w:cs="Arial" w:eastAsia="Arial" w:hAnsi="Arial"/>
          <w:sz w:val="32"/>
          <w:szCs w:val="32"/>
          <w:b w:val="1"/>
          <w:bCs w:val="1"/>
          <w:color w:val="auto"/>
        </w:rPr>
        <w:t>379</w:t>
      </w:r>
      <w:r>
        <w:rPr>
          <w:sz w:val="20"/>
          <w:szCs w:val="20"/>
          <w:color w:val="auto"/>
        </w:rPr>
        <w:tab/>
      </w:r>
      <w:r>
        <w:rPr>
          <w:rFonts w:ascii="Arial" w:cs="Arial" w:eastAsia="Arial" w:hAnsi="Arial"/>
          <w:sz w:val="32"/>
          <w:szCs w:val="32"/>
          <w:b w:val="1"/>
          <w:bCs w:val="1"/>
          <w:color w:val="auto"/>
        </w:rPr>
        <w:t>699</w:t>
      </w:r>
    </w:p>
    <w:p>
      <w:pPr>
        <w:spacing w:after="0" w:line="121" w:lineRule="exact"/>
        <w:rPr>
          <w:sz w:val="20"/>
          <w:szCs w:val="20"/>
          <w:color w:val="auto"/>
        </w:rPr>
      </w:pPr>
    </w:p>
    <w:p>
      <w:pPr>
        <w:ind w:left="1747" w:hanging="1280"/>
        <w:spacing w:after="0"/>
        <w:tabs>
          <w:tab w:leader="none" w:pos="1747" w:val="left"/>
        </w:tabs>
        <w:numPr>
          <w:ilvl w:val="0"/>
          <w:numId w:val="20"/>
        </w:numPr>
        <w:rPr>
          <w:rFonts w:ascii="Arial" w:cs="Arial" w:eastAsia="Arial" w:hAnsi="Arial"/>
          <w:sz w:val="31"/>
          <w:szCs w:val="31"/>
          <w:b w:val="1"/>
          <w:bCs w:val="1"/>
          <w:color w:val="auto"/>
        </w:rPr>
      </w:pPr>
      <w:r>
        <w:rPr>
          <w:rFonts w:ascii="Arial" w:cs="Arial" w:eastAsia="Arial" w:hAnsi="Arial"/>
          <w:sz w:val="31"/>
          <w:szCs w:val="31"/>
          <w:b w:val="1"/>
          <w:bCs w:val="1"/>
          <w:color w:val="auto"/>
        </w:rPr>
        <w:t>(125)</w:t>
      </w:r>
    </w:p>
    <w:p>
      <w:pPr>
        <w:spacing w:after="0" w:line="79" w:lineRule="exact"/>
        <w:rPr>
          <w:sz w:val="20"/>
          <w:szCs w:val="20"/>
          <w:color w:val="auto"/>
        </w:rPr>
      </w:pPr>
    </w:p>
    <w:p>
      <w:pPr>
        <w:ind w:left="2067" w:hanging="2067"/>
        <w:spacing w:after="0"/>
        <w:tabs>
          <w:tab w:leader="none" w:pos="2067" w:val="left"/>
        </w:tabs>
        <w:numPr>
          <w:ilvl w:val="0"/>
          <w:numId w:val="21"/>
        </w:numPr>
        <w:rPr>
          <w:rFonts w:ascii="Arial" w:cs="Arial" w:eastAsia="Arial" w:hAnsi="Arial"/>
          <w:sz w:val="32"/>
          <w:szCs w:val="32"/>
          <w:b w:val="1"/>
          <w:bCs w:val="1"/>
          <w:color w:val="auto"/>
        </w:rPr>
      </w:pPr>
      <w:r>
        <w:rPr>
          <w:rFonts w:ascii="Arial" w:cs="Arial" w:eastAsia="Arial" w:hAnsi="Arial"/>
          <w:sz w:val="32"/>
          <w:szCs w:val="32"/>
          <w:b w:val="1"/>
          <w:bCs w:val="1"/>
          <w:color w:val="auto"/>
        </w:rPr>
        <w:t>79</w:t>
      </w:r>
    </w:p>
    <w:p>
      <w:pPr>
        <w:spacing w:after="0" w:line="208" w:lineRule="exact"/>
        <w:rPr>
          <w:rFonts w:ascii="Arial" w:cs="Arial" w:eastAsia="Arial" w:hAnsi="Arial"/>
          <w:sz w:val="32"/>
          <w:szCs w:val="32"/>
          <w:b w:val="1"/>
          <w:bCs w:val="1"/>
          <w:color w:val="auto"/>
        </w:rPr>
      </w:pPr>
    </w:p>
    <w:p>
      <w:pPr>
        <w:ind w:left="1707" w:hanging="1522"/>
        <w:spacing w:after="0"/>
        <w:tabs>
          <w:tab w:leader="none" w:pos="1707" w:val="left"/>
        </w:tabs>
        <w:numPr>
          <w:ilvl w:val="0"/>
          <w:numId w:val="22"/>
        </w:numPr>
        <w:rPr>
          <w:rFonts w:ascii="Arial" w:cs="Arial" w:eastAsia="Arial" w:hAnsi="Arial"/>
          <w:sz w:val="32"/>
          <w:szCs w:val="32"/>
          <w:b w:val="1"/>
          <w:bCs w:val="1"/>
          <w:color w:val="auto"/>
        </w:rPr>
      </w:pPr>
      <w:r>
        <w:rPr>
          <w:rFonts w:ascii="Arial" w:cs="Arial" w:eastAsia="Arial" w:hAnsi="Arial"/>
          <w:sz w:val="32"/>
          <w:szCs w:val="32"/>
          <w:b w:val="1"/>
          <w:bCs w:val="1"/>
          <w:color w:val="auto"/>
        </w:rPr>
        <w:t>(242)</w:t>
      </w:r>
    </w:p>
    <w:p>
      <w:pPr>
        <w:spacing w:after="0" w:line="219" w:lineRule="exact"/>
        <w:rPr>
          <w:sz w:val="20"/>
          <w:szCs w:val="20"/>
          <w:color w:val="auto"/>
        </w:rPr>
      </w:pPr>
    </w:p>
    <w:p>
      <w:pPr>
        <w:ind w:left="267"/>
        <w:spacing w:after="0"/>
        <w:tabs>
          <w:tab w:leader="none" w:pos="1847" w:val="left"/>
        </w:tabs>
        <w:rPr>
          <w:sz w:val="20"/>
          <w:szCs w:val="20"/>
          <w:color w:val="auto"/>
        </w:rPr>
      </w:pPr>
      <w:r>
        <w:rPr>
          <w:rFonts w:ascii="Arial" w:cs="Arial" w:eastAsia="Arial" w:hAnsi="Arial"/>
          <w:sz w:val="32"/>
          <w:szCs w:val="32"/>
          <w:b w:val="1"/>
          <w:bCs w:val="1"/>
          <w:color w:val="auto"/>
        </w:rPr>
        <w:t>37</w:t>
      </w:r>
      <w:r>
        <w:rPr>
          <w:sz w:val="20"/>
          <w:szCs w:val="20"/>
          <w:color w:val="auto"/>
        </w:rPr>
        <w:tab/>
      </w:r>
      <w:r>
        <w:rPr>
          <w:rFonts w:ascii="Arial" w:cs="Arial" w:eastAsia="Arial" w:hAnsi="Arial"/>
          <w:sz w:val="32"/>
          <w:szCs w:val="32"/>
          <w:b w:val="1"/>
          <w:bCs w:val="1"/>
          <w:color w:val="auto"/>
        </w:rPr>
        <w:t>(35)</w:t>
      </w:r>
    </w:p>
    <w:p>
      <w:pPr>
        <w:spacing w:after="0" w:line="68" w:lineRule="exact"/>
        <w:rPr>
          <w:sz w:val="20"/>
          <w:szCs w:val="20"/>
          <w:color w:val="auto"/>
        </w:rPr>
      </w:pPr>
    </w:p>
    <w:p>
      <w:pPr>
        <w:ind w:left="1867" w:hanging="1704"/>
        <w:spacing w:after="0"/>
        <w:tabs>
          <w:tab w:leader="none" w:pos="1867" w:val="left"/>
        </w:tabs>
        <w:numPr>
          <w:ilvl w:val="0"/>
          <w:numId w:val="23"/>
        </w:numPr>
        <w:rPr>
          <w:rFonts w:ascii="Arial" w:cs="Arial" w:eastAsia="Arial" w:hAnsi="Arial"/>
          <w:sz w:val="32"/>
          <w:szCs w:val="32"/>
          <w:b w:val="1"/>
          <w:bCs w:val="1"/>
          <w:color w:val="auto"/>
        </w:rPr>
      </w:pPr>
      <w:r>
        <w:rPr>
          <w:rFonts w:ascii="Arial" w:cs="Arial" w:eastAsia="Arial" w:hAnsi="Arial"/>
          <w:sz w:val="32"/>
          <w:szCs w:val="32"/>
          <w:b w:val="1"/>
          <w:bCs w:val="1"/>
          <w:color w:val="auto"/>
        </w:rPr>
        <w:t>(39)</w:t>
      </w:r>
    </w:p>
    <w:p>
      <w:pPr>
        <w:spacing w:after="0" w:line="121" w:lineRule="exact"/>
        <w:rPr>
          <w:rFonts w:ascii="Arial" w:cs="Arial" w:eastAsia="Arial" w:hAnsi="Arial"/>
          <w:sz w:val="32"/>
          <w:szCs w:val="32"/>
          <w:b w:val="1"/>
          <w:bCs w:val="1"/>
          <w:color w:val="auto"/>
        </w:rPr>
      </w:pPr>
    </w:p>
    <w:p>
      <w:pPr>
        <w:ind w:left="107"/>
        <w:spacing w:after="0"/>
        <w:rPr>
          <w:rFonts w:ascii="Arial" w:cs="Arial" w:eastAsia="Arial" w:hAnsi="Arial"/>
          <w:sz w:val="32"/>
          <w:szCs w:val="32"/>
          <w:b w:val="1"/>
          <w:bCs w:val="1"/>
          <w:color w:val="auto"/>
        </w:rPr>
      </w:pPr>
      <w:r>
        <w:rPr>
          <w:rFonts w:ascii="Arial" w:cs="Arial" w:eastAsia="Arial" w:hAnsi="Arial"/>
          <w:sz w:val="32"/>
          <w:szCs w:val="32"/>
          <w:b w:val="1"/>
          <w:bCs w:val="1"/>
          <w:color w:val="auto"/>
        </w:rPr>
        <w:t>141337</w:t>
      </w:r>
    </w:p>
    <w:p>
      <w:pPr>
        <w:sectPr>
          <w:pgSz w:w="11900" w:h="16838" w:orient="portrait"/>
          <w:cols w:equalWidth="0" w:num="2">
            <w:col w:w="4913" w:space="720"/>
            <w:col w:w="3607"/>
          </w:cols>
          <w:pgMar w:left="1420" w:top="380" w:right="1239" w:bottom="1440" w:gutter="0" w:footer="0" w:header="0"/>
          <w:type w:val="continuous"/>
        </w:sectPr>
      </w:pPr>
    </w:p>
    <w:bookmarkStart w:id="28" w:name="page29"/>
    <w:bookmarkEnd w:id="28"/>
    <w:p>
      <w:pPr>
        <w:ind w:left="580"/>
        <w:spacing w:after="0"/>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p>
      <w:pPr>
        <w:spacing w:after="0" w:line="369" w:lineRule="exact"/>
        <w:rPr>
          <w:sz w:val="20"/>
          <w:szCs w:val="20"/>
          <w:color w:val="auto"/>
        </w:rPr>
      </w:pPr>
    </w:p>
    <w:p>
      <w:pPr>
        <w:ind w:left="580"/>
        <w:spacing w:after="0"/>
        <w:rPr>
          <w:sz w:val="20"/>
          <w:szCs w:val="20"/>
          <w:color w:val="auto"/>
        </w:rPr>
      </w:pPr>
      <w:r>
        <w:rPr>
          <w:rFonts w:ascii="Arial" w:cs="Arial" w:eastAsia="Arial" w:hAnsi="Arial"/>
          <w:sz w:val="44"/>
          <w:szCs w:val="44"/>
          <w:color w:val="6698C2"/>
        </w:rPr>
        <w:t>Balance Sheet Highlights</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Total Debt</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60" w:type="dxa"/>
            <w:vAlign w:val="bottom"/>
          </w:tcPr>
          <w:p>
            <w:pPr>
              <w:jc w:val="center"/>
              <w:ind w:right="2339"/>
              <w:spacing w:after="0"/>
              <w:rPr>
                <w:sz w:val="20"/>
                <w:szCs w:val="20"/>
                <w:color w:val="auto"/>
              </w:rPr>
            </w:pPr>
            <w:r>
              <w:rPr>
                <w:rFonts w:ascii="Arial" w:cs="Arial" w:eastAsia="Arial" w:hAnsi="Arial"/>
                <w:sz w:val="20"/>
                <w:szCs w:val="20"/>
                <w:b w:val="1"/>
                <w:bCs w:val="1"/>
                <w:color w:val="auto"/>
                <w:w w:val="99"/>
              </w:rPr>
              <w:t>Total Debt to</w:t>
            </w:r>
          </w:p>
        </w:tc>
        <w:tc>
          <w:tcPr>
            <w:tcW w:w="2940" w:type="dxa"/>
            <w:vAlign w:val="bottom"/>
            <w:vMerge w:val="restart"/>
          </w:tcPr>
          <w:p>
            <w:pPr>
              <w:jc w:val="right"/>
              <w:spacing w:after="0"/>
              <w:rPr>
                <w:sz w:val="20"/>
                <w:szCs w:val="20"/>
                <w:color w:val="auto"/>
              </w:rPr>
            </w:pPr>
            <w:r>
              <w:rPr>
                <w:rFonts w:ascii="Arial" w:cs="Arial" w:eastAsia="Arial" w:hAnsi="Arial"/>
                <w:sz w:val="23"/>
                <w:szCs w:val="23"/>
                <w:color w:val="auto"/>
              </w:rPr>
              <w:t>2009</w:t>
            </w:r>
          </w:p>
        </w:tc>
        <w:tc>
          <w:tcPr>
            <w:tcW w:w="0" w:type="dxa"/>
            <w:vAlign w:val="bottom"/>
          </w:tcPr>
          <w:p>
            <w:pPr>
              <w:spacing w:after="0"/>
              <w:rPr>
                <w:sz w:val="1"/>
                <w:szCs w:val="1"/>
                <w:color w:val="auto"/>
              </w:rPr>
            </w:pPr>
          </w:p>
        </w:tc>
      </w:tr>
      <w:tr>
        <w:trPr>
          <w:trHeight w:val="147"/>
        </w:trPr>
        <w:tc>
          <w:tcPr>
            <w:tcW w:w="4260" w:type="dxa"/>
            <w:vAlign w:val="bottom"/>
            <w:vMerge w:val="restart"/>
          </w:tcPr>
          <w:p>
            <w:pPr>
              <w:jc w:val="center"/>
              <w:ind w:right="2319"/>
              <w:spacing w:after="0"/>
              <w:rPr>
                <w:sz w:val="20"/>
                <w:szCs w:val="20"/>
                <w:color w:val="auto"/>
              </w:rPr>
            </w:pPr>
            <w:r>
              <w:rPr>
                <w:rFonts w:ascii="Arial" w:cs="Arial" w:eastAsia="Arial" w:hAnsi="Arial"/>
                <w:sz w:val="20"/>
                <w:szCs w:val="20"/>
                <w:b w:val="1"/>
                <w:bCs w:val="1"/>
                <w:color w:val="auto"/>
              </w:rPr>
              <w:t>Total Capitalization</w:t>
            </w:r>
          </w:p>
        </w:tc>
        <w:tc>
          <w:tcPr>
            <w:tcW w:w="2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60" w:type="dxa"/>
            <w:vAlign w:val="bottom"/>
            <w:vMerge w:val="continue"/>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1260"/>
        <w:spacing w:after="0"/>
        <w:rPr>
          <w:sz w:val="20"/>
          <w:szCs w:val="20"/>
          <w:color w:val="auto"/>
        </w:rPr>
      </w:pPr>
      <w:r>
        <w:rPr>
          <w:rFonts w:ascii="Arial" w:cs="Arial" w:eastAsia="Arial" w:hAnsi="Arial"/>
          <w:sz w:val="23"/>
          <w:szCs w:val="23"/>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673735</wp:posOffset>
            </wp:positionV>
            <wp:extent cx="727900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20"/>
          <w:szCs w:val="20"/>
          <w:color w:val="FFFFFF"/>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Total Debt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Net</w:t>
      </w:r>
    </w:p>
    <w:p>
      <w:pPr>
        <w:spacing w:after="0"/>
        <w:rPr>
          <w:sz w:val="20"/>
          <w:szCs w:val="20"/>
          <w:color w:val="auto"/>
        </w:rPr>
      </w:pPr>
      <w:r>
        <w:rPr>
          <w:rFonts w:ascii="Arial" w:cs="Arial" w:eastAsia="Arial" w:hAnsi="Arial"/>
          <w:sz w:val="19"/>
          <w:szCs w:val="19"/>
          <w:color w:val="auto"/>
        </w:rPr>
        <w:t>Debt</w:t>
      </w:r>
    </w:p>
    <w:p>
      <w:pPr>
        <w:sectPr>
          <w:pgSz w:w="11900" w:h="16838" w:orient="portrait"/>
          <w:cols w:equalWidth="0" w:num="2">
            <w:col w:w="8400" w:space="720"/>
            <w:col w:w="840"/>
          </w:cols>
          <w:pgMar w:left="940" w:top="380" w:right="999" w:bottom="1440" w:gutter="0" w:footer="0" w:header="0"/>
        </w:sectPr>
      </w:pPr>
    </w:p>
    <w:bookmarkStart w:id="29" w:name="page30"/>
    <w:bookmarkEnd w:id="29"/>
    <w:tbl>
      <w:tblPr>
        <w:tblLayout w:type="fixed"/>
        <w:tblInd w:w="439" w:type="dxa"/>
        <w:tblCellMar>
          <w:top w:w="0" w:type="dxa"/>
          <w:left w:w="0" w:type="dxa"/>
          <w:bottom w:w="0" w:type="dxa"/>
          <w:right w:w="0" w:type="dxa"/>
        </w:tblCellMar>
      </w:tblPr>
      <w:tr>
        <w:trPr>
          <w:trHeight w:val="364"/>
        </w:trPr>
        <w:tc>
          <w:tcPr>
            <w:tcW w:w="626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80" w:type="dxa"/>
            <w:vAlign w:val="bottom"/>
          </w:tcPr>
          <w:p>
            <w:pPr>
              <w:jc w:val="right"/>
              <w:spacing w:after="0"/>
              <w:rPr>
                <w:sz w:val="20"/>
                <w:szCs w:val="20"/>
                <w:color w:val="auto"/>
              </w:rPr>
            </w:pPr>
            <w:r>
              <w:rPr>
                <w:rFonts w:ascii="Arial" w:cs="Arial" w:eastAsia="Arial" w:hAnsi="Arial"/>
                <w:sz w:val="20"/>
                <w:szCs w:val="20"/>
                <w:color w:val="FFFFFF"/>
              </w:rPr>
              <w:t>19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19"/>
        <w:spacing w:after="0"/>
        <w:rPr>
          <w:sz w:val="20"/>
          <w:szCs w:val="20"/>
          <w:color w:val="auto"/>
        </w:rPr>
      </w:pPr>
      <w:r>
        <w:rPr>
          <w:rFonts w:ascii="Arial" w:cs="Arial" w:eastAsia="Arial" w:hAnsi="Arial"/>
          <w:sz w:val="44"/>
          <w:szCs w:val="44"/>
          <w:color w:val="6698C2"/>
        </w:rPr>
        <w:t>Credit Facilities as of December 31, 2009</w:t>
      </w:r>
    </w:p>
    <w:tbl>
      <w:tblPr>
        <w:tblLayout w:type="fixed"/>
        <w:tblInd w:w="419" w:type="dxa"/>
        <w:tblCellMar>
          <w:top w:w="0" w:type="dxa"/>
          <w:left w:w="0" w:type="dxa"/>
          <w:bottom w:w="0" w:type="dxa"/>
          <w:right w:w="0" w:type="dxa"/>
        </w:tblCellMar>
      </w:tblPr>
      <w:tr>
        <w:trPr>
          <w:trHeight w:val="244"/>
        </w:trPr>
        <w:tc>
          <w:tcPr>
            <w:tcW w:w="2900" w:type="dxa"/>
            <w:vAlign w:val="bottom"/>
          </w:tcPr>
          <w:p>
            <w:pPr>
              <w:spacing w:after="0"/>
              <w:rPr>
                <w:sz w:val="20"/>
                <w:szCs w:val="20"/>
                <w:color w:val="auto"/>
              </w:rPr>
            </w:pPr>
            <w:r>
              <w:rPr>
                <w:rFonts w:ascii="Arial" w:cs="Arial" w:eastAsia="Arial" w:hAnsi="Arial"/>
                <w:sz w:val="20"/>
                <w:szCs w:val="20"/>
                <w:color w:val="6698C2"/>
              </w:rPr>
              <w:t>($ in millions)</w:t>
            </w:r>
          </w:p>
        </w:tc>
        <w:tc>
          <w:tcPr>
            <w:tcW w:w="1660" w:type="dxa"/>
            <w:vAlign w:val="bottom"/>
            <w:vMerge w:val="restart"/>
          </w:tcPr>
          <w:p>
            <w:pPr>
              <w:jc w:val="center"/>
              <w:ind w:left="544"/>
              <w:spacing w:after="0"/>
              <w:rPr>
                <w:sz w:val="20"/>
                <w:szCs w:val="20"/>
                <w:color w:val="auto"/>
              </w:rPr>
            </w:pPr>
            <w:r>
              <w:rPr>
                <w:rFonts w:ascii="Arial" w:cs="Arial" w:eastAsia="Arial" w:hAnsi="Arial"/>
                <w:sz w:val="20"/>
                <w:szCs w:val="20"/>
                <w:b w:val="1"/>
                <w:bCs w:val="1"/>
                <w:color w:val="6698C2"/>
              </w:rPr>
              <w:t>Interest</w:t>
            </w:r>
          </w:p>
        </w:tc>
        <w:tc>
          <w:tcPr>
            <w:tcW w:w="1220" w:type="dxa"/>
            <w:vAlign w:val="bottom"/>
            <w:vMerge w:val="restart"/>
          </w:tcPr>
          <w:p>
            <w:pPr>
              <w:jc w:val="center"/>
              <w:spacing w:after="0"/>
              <w:rPr>
                <w:sz w:val="20"/>
                <w:szCs w:val="20"/>
                <w:color w:val="auto"/>
              </w:rPr>
            </w:pPr>
            <w:r>
              <w:rPr>
                <w:rFonts w:ascii="Arial" w:cs="Arial" w:eastAsia="Arial" w:hAnsi="Arial"/>
                <w:sz w:val="20"/>
                <w:szCs w:val="20"/>
                <w:b w:val="1"/>
                <w:bCs w:val="1"/>
                <w:color w:val="6698C2"/>
              </w:rPr>
              <w:t>Maturity</w:t>
            </w:r>
          </w:p>
        </w:tc>
        <w:tc>
          <w:tcPr>
            <w:tcW w:w="1460" w:type="dxa"/>
            <w:vAlign w:val="bottom"/>
            <w:vMerge w:val="restart"/>
          </w:tcPr>
          <w:p>
            <w:pPr>
              <w:jc w:val="right"/>
              <w:ind w:right="379"/>
              <w:spacing w:after="0"/>
              <w:rPr>
                <w:sz w:val="20"/>
                <w:szCs w:val="20"/>
                <w:color w:val="auto"/>
              </w:rPr>
            </w:pPr>
            <w:r>
              <w:rPr>
                <w:rFonts w:ascii="Arial" w:cs="Arial" w:eastAsia="Arial" w:hAnsi="Arial"/>
                <w:sz w:val="20"/>
                <w:szCs w:val="20"/>
                <w:b w:val="1"/>
                <w:bCs w:val="1"/>
                <w:color w:val="6698C2"/>
              </w:rPr>
              <w:t>Total</w:t>
            </w:r>
          </w:p>
        </w:tc>
        <w:tc>
          <w:tcPr>
            <w:tcW w:w="1320" w:type="dxa"/>
            <w:vAlign w:val="bottom"/>
            <w:vMerge w:val="restart"/>
          </w:tcPr>
          <w:p>
            <w:pPr>
              <w:jc w:val="center"/>
              <w:spacing w:after="0"/>
              <w:rPr>
                <w:sz w:val="20"/>
                <w:szCs w:val="20"/>
                <w:color w:val="auto"/>
              </w:rPr>
            </w:pPr>
            <w:r>
              <w:rPr>
                <w:rFonts w:ascii="Arial" w:cs="Arial" w:eastAsia="Arial" w:hAnsi="Arial"/>
                <w:sz w:val="20"/>
                <w:szCs w:val="20"/>
                <w:b w:val="1"/>
                <w:bCs w:val="1"/>
                <w:color w:val="6698C2"/>
              </w:rPr>
              <w:t>Remaining</w:t>
            </w:r>
          </w:p>
        </w:tc>
        <w:tc>
          <w:tcPr>
            <w:tcW w:w="0" w:type="dxa"/>
            <w:vAlign w:val="bottom"/>
          </w:tcPr>
          <w:p>
            <w:pPr>
              <w:spacing w:after="0"/>
              <w:rPr>
                <w:sz w:val="1"/>
                <w:szCs w:val="1"/>
                <w:color w:val="auto"/>
              </w:rPr>
            </w:pPr>
          </w:p>
        </w:tc>
      </w:tr>
      <w:tr>
        <w:trPr>
          <w:trHeight w:val="244"/>
        </w:trPr>
        <w:tc>
          <w:tcPr>
            <w:tcW w:w="290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900" w:type="dxa"/>
            <w:vAlign w:val="bottom"/>
          </w:tcPr>
          <w:p>
            <w:pPr>
              <w:spacing w:after="0"/>
              <w:rPr>
                <w:sz w:val="23"/>
                <w:szCs w:val="23"/>
                <w:color w:val="auto"/>
              </w:rPr>
            </w:pPr>
          </w:p>
        </w:tc>
        <w:tc>
          <w:tcPr>
            <w:tcW w:w="1660" w:type="dxa"/>
            <w:vAlign w:val="bottom"/>
          </w:tcPr>
          <w:p>
            <w:pPr>
              <w:jc w:val="center"/>
              <w:ind w:left="564"/>
              <w:spacing w:after="0"/>
              <w:rPr>
                <w:sz w:val="20"/>
                <w:szCs w:val="20"/>
                <w:color w:val="auto"/>
              </w:rPr>
            </w:pPr>
            <w:r>
              <w:rPr>
                <w:rFonts w:ascii="Arial" w:cs="Arial" w:eastAsia="Arial" w:hAnsi="Arial"/>
                <w:sz w:val="20"/>
                <w:szCs w:val="20"/>
                <w:b w:val="1"/>
                <w:bCs w:val="1"/>
                <w:color w:val="6698C2"/>
              </w:rPr>
              <w:t>Rate</w:t>
            </w:r>
          </w:p>
        </w:tc>
        <w:tc>
          <w:tcPr>
            <w:tcW w:w="1220" w:type="dxa"/>
            <w:vAlign w:val="bottom"/>
          </w:tcPr>
          <w:p>
            <w:pPr>
              <w:jc w:val="center"/>
              <w:spacing w:after="0"/>
              <w:rPr>
                <w:sz w:val="20"/>
                <w:szCs w:val="20"/>
                <w:color w:val="auto"/>
              </w:rPr>
            </w:pPr>
            <w:r>
              <w:rPr>
                <w:rFonts w:ascii="Arial" w:cs="Arial" w:eastAsia="Arial" w:hAnsi="Arial"/>
                <w:sz w:val="20"/>
                <w:szCs w:val="20"/>
                <w:b w:val="1"/>
                <w:bCs w:val="1"/>
                <w:color w:val="6698C2"/>
              </w:rPr>
              <w:t>Date</w:t>
            </w:r>
          </w:p>
        </w:tc>
        <w:tc>
          <w:tcPr>
            <w:tcW w:w="1460" w:type="dxa"/>
            <w:vAlign w:val="bottom"/>
          </w:tcPr>
          <w:p>
            <w:pPr>
              <w:jc w:val="right"/>
              <w:ind w:right="39"/>
              <w:spacing w:after="0"/>
              <w:rPr>
                <w:sz w:val="20"/>
                <w:szCs w:val="20"/>
                <w:color w:val="auto"/>
              </w:rPr>
            </w:pPr>
            <w:r>
              <w:rPr>
                <w:rFonts w:ascii="Arial" w:cs="Arial" w:eastAsia="Arial" w:hAnsi="Arial"/>
                <w:sz w:val="20"/>
                <w:szCs w:val="20"/>
                <w:b w:val="1"/>
                <w:bCs w:val="1"/>
                <w:color w:val="6698C2"/>
              </w:rPr>
              <w:t>Outstanding</w:t>
            </w:r>
          </w:p>
        </w:tc>
        <w:tc>
          <w:tcPr>
            <w:tcW w:w="1320" w:type="dxa"/>
            <w:vAlign w:val="bottom"/>
          </w:tcPr>
          <w:p>
            <w:pPr>
              <w:jc w:val="center"/>
              <w:spacing w:after="0"/>
              <w:rPr>
                <w:sz w:val="20"/>
                <w:szCs w:val="20"/>
                <w:color w:val="auto"/>
              </w:rPr>
            </w:pPr>
            <w:r>
              <w:rPr>
                <w:rFonts w:ascii="Arial" w:cs="Arial" w:eastAsia="Arial" w:hAnsi="Arial"/>
                <w:sz w:val="20"/>
                <w:szCs w:val="20"/>
                <w:b w:val="1"/>
                <w:bCs w:val="1"/>
                <w:color w:val="6698C2"/>
              </w:rPr>
              <w:t>Available</w:t>
            </w:r>
          </w:p>
        </w:tc>
        <w:tc>
          <w:tcPr>
            <w:tcW w:w="0" w:type="dxa"/>
            <w:vAlign w:val="bottom"/>
          </w:tcPr>
          <w:p>
            <w:pPr>
              <w:spacing w:after="0"/>
              <w:rPr>
                <w:sz w:val="1"/>
                <w:szCs w:val="1"/>
                <w:color w:val="auto"/>
              </w:rPr>
            </w:pPr>
          </w:p>
        </w:tc>
      </w:tr>
      <w:tr>
        <w:trPr>
          <w:trHeight w:val="418"/>
        </w:trPr>
        <w:tc>
          <w:tcPr>
            <w:tcW w:w="2900" w:type="dxa"/>
            <w:vAlign w:val="bottom"/>
          </w:tcPr>
          <w:p>
            <w:pPr>
              <w:ind w:left="140"/>
              <w:spacing w:after="0"/>
              <w:rPr>
                <w:sz w:val="20"/>
                <w:szCs w:val="20"/>
                <w:color w:val="auto"/>
              </w:rPr>
            </w:pPr>
            <w:r>
              <w:rPr>
                <w:rFonts w:ascii="Arial" w:cs="Arial" w:eastAsia="Arial" w:hAnsi="Arial"/>
                <w:sz w:val="20"/>
                <w:szCs w:val="20"/>
                <w:b w:val="1"/>
                <w:bCs w:val="1"/>
                <w:color w:val="auto"/>
              </w:rPr>
              <w:t>Euro</w:t>
            </w: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00" w:type="dxa"/>
            <w:vAlign w:val="bottom"/>
          </w:tcPr>
          <w:p>
            <w:pPr>
              <w:ind w:left="140"/>
              <w:spacing w:after="0" w:line="207" w:lineRule="exact"/>
              <w:rPr>
                <w:sz w:val="20"/>
                <w:szCs w:val="20"/>
                <w:color w:val="auto"/>
              </w:rPr>
            </w:pPr>
            <w:r>
              <w:rPr>
                <w:rFonts w:ascii="Arial" w:cs="Arial" w:eastAsia="Arial" w:hAnsi="Arial"/>
                <w:sz w:val="20"/>
                <w:szCs w:val="20"/>
                <w:b w:val="1"/>
                <w:bCs w:val="1"/>
                <w:color w:val="auto"/>
              </w:rPr>
              <w:t>Notes:</w:t>
            </w:r>
          </w:p>
        </w:tc>
        <w:tc>
          <w:tcPr>
            <w:tcW w:w="1660" w:type="dxa"/>
            <w:vAlign w:val="bottom"/>
            <w:vMerge w:val="restart"/>
          </w:tcPr>
          <w:p>
            <w:pPr>
              <w:jc w:val="center"/>
              <w:ind w:left="544"/>
              <w:spacing w:after="0"/>
              <w:rPr>
                <w:sz w:val="20"/>
                <w:szCs w:val="20"/>
                <w:color w:val="auto"/>
              </w:rPr>
            </w:pPr>
            <w:r>
              <w:rPr>
                <w:rFonts w:ascii="Arial" w:cs="Arial" w:eastAsia="Arial" w:hAnsi="Arial"/>
                <w:sz w:val="20"/>
                <w:szCs w:val="20"/>
                <w:b w:val="1"/>
                <w:bCs w:val="1"/>
                <w:color w:val="auto"/>
              </w:rPr>
              <w:t>4.86%</w:t>
            </w:r>
          </w:p>
        </w:tc>
        <w:tc>
          <w:tcPr>
            <w:tcW w:w="1220" w:type="dxa"/>
            <w:vAlign w:val="bottom"/>
            <w:vMerge w:val="restart"/>
          </w:tcPr>
          <w:p>
            <w:pPr>
              <w:ind w:left="140"/>
              <w:spacing w:after="0"/>
              <w:rPr>
                <w:sz w:val="20"/>
                <w:szCs w:val="20"/>
                <w:color w:val="auto"/>
              </w:rPr>
            </w:pPr>
            <w:r>
              <w:rPr>
                <w:rFonts w:ascii="Arial" w:cs="Arial" w:eastAsia="Arial" w:hAnsi="Arial"/>
                <w:sz w:val="20"/>
                <w:szCs w:val="20"/>
                <w:b w:val="1"/>
                <w:bCs w:val="1"/>
                <w:color w:val="auto"/>
              </w:rPr>
              <w:t>June</w:t>
            </w:r>
          </w:p>
        </w:tc>
        <w:tc>
          <w:tcPr>
            <w:tcW w:w="1460" w:type="dxa"/>
            <w:vAlign w:val="bottom"/>
            <w:vMerge w:val="restart"/>
          </w:tcPr>
          <w:p>
            <w:pPr>
              <w:jc w:val="right"/>
              <w:ind w:right="19"/>
              <w:spacing w:after="0"/>
              <w:rPr>
                <w:sz w:val="20"/>
                <w:szCs w:val="20"/>
                <w:color w:val="auto"/>
              </w:rPr>
            </w:pPr>
            <w:r>
              <w:rPr>
                <w:rFonts w:ascii="Arial" w:cs="Arial" w:eastAsia="Arial" w:hAnsi="Arial"/>
                <w:sz w:val="20"/>
                <w:szCs w:val="20"/>
                <w:b w:val="1"/>
                <w:bCs w:val="1"/>
                <w:color w:val="auto"/>
              </w:rPr>
              <w:t>286</w:t>
            </w:r>
          </w:p>
        </w:tc>
        <w:tc>
          <w:tcPr>
            <w:tcW w:w="1320" w:type="dxa"/>
            <w:vAlign w:val="bottom"/>
            <w:vMerge w:val="restart"/>
          </w:tcPr>
          <w:p>
            <w:pPr>
              <w:jc w:val="center"/>
              <w:ind w:left="623"/>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195"/>
        </w:trPr>
        <w:tc>
          <w:tcPr>
            <w:tcW w:w="2900" w:type="dxa"/>
            <w:vAlign w:val="bottom"/>
          </w:tcPr>
          <w:p>
            <w:pPr>
              <w:ind w:left="280"/>
              <w:spacing w:after="0" w:line="195" w:lineRule="exact"/>
              <w:rPr>
                <w:sz w:val="20"/>
                <w:szCs w:val="20"/>
                <w:color w:val="auto"/>
              </w:rPr>
            </w:pPr>
            <w:r>
              <w:rPr>
                <w:rFonts w:ascii="Arial" w:cs="Arial" w:eastAsia="Arial" w:hAnsi="Arial"/>
                <w:sz w:val="20"/>
                <w:szCs w:val="20"/>
                <w:b w:val="1"/>
                <w:bCs w:val="1"/>
                <w:color w:val="auto"/>
              </w:rPr>
              <w:t>- Euro</w:t>
            </w:r>
          </w:p>
        </w:tc>
        <w:tc>
          <w:tcPr>
            <w:tcW w:w="16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00" w:type="dxa"/>
            <w:vAlign w:val="bottom"/>
          </w:tcPr>
          <w:p>
            <w:pPr>
              <w:ind w:left="280"/>
              <w:spacing w:after="0" w:line="207" w:lineRule="exact"/>
              <w:rPr>
                <w:sz w:val="20"/>
                <w:szCs w:val="20"/>
                <w:color w:val="auto"/>
              </w:rPr>
            </w:pPr>
            <w:r>
              <w:rPr>
                <w:rFonts w:ascii="Arial" w:cs="Arial" w:eastAsia="Arial" w:hAnsi="Arial"/>
                <w:sz w:val="20"/>
                <w:szCs w:val="20"/>
                <w:b w:val="1"/>
                <w:bCs w:val="1"/>
                <w:color w:val="auto"/>
              </w:rPr>
              <w:t>200M</w:t>
            </w:r>
          </w:p>
        </w:tc>
        <w:tc>
          <w:tcPr>
            <w:tcW w:w="1660" w:type="dxa"/>
            <w:vAlign w:val="bottom"/>
            <w:vMerge w:val="restart"/>
          </w:tcPr>
          <w:p>
            <w:pPr>
              <w:jc w:val="center"/>
              <w:ind w:left="544"/>
              <w:spacing w:after="0"/>
              <w:rPr>
                <w:sz w:val="20"/>
                <w:szCs w:val="20"/>
                <w:color w:val="auto"/>
              </w:rPr>
            </w:pPr>
            <w:r>
              <w:rPr>
                <w:rFonts w:ascii="Arial" w:cs="Arial" w:eastAsia="Arial" w:hAnsi="Arial"/>
                <w:sz w:val="20"/>
                <w:szCs w:val="20"/>
                <w:b w:val="1"/>
                <w:bCs w:val="1"/>
                <w:color w:val="auto"/>
              </w:rPr>
              <w:t>4.58%</w:t>
            </w:r>
          </w:p>
        </w:tc>
        <w:tc>
          <w:tcPr>
            <w:tcW w:w="1220" w:type="dxa"/>
            <w:vAlign w:val="bottom"/>
          </w:tcPr>
          <w:p>
            <w:pPr>
              <w:ind w:left="140"/>
              <w:spacing w:after="0" w:line="207" w:lineRule="exact"/>
              <w:rPr>
                <w:sz w:val="20"/>
                <w:szCs w:val="20"/>
                <w:color w:val="auto"/>
              </w:rPr>
            </w:pPr>
            <w:r>
              <w:rPr>
                <w:rFonts w:ascii="Arial" w:cs="Arial" w:eastAsia="Arial" w:hAnsi="Arial"/>
                <w:sz w:val="20"/>
                <w:szCs w:val="20"/>
                <w:b w:val="1"/>
                <w:bCs w:val="1"/>
                <w:color w:val="auto"/>
              </w:rPr>
              <w:t>2013</w:t>
            </w:r>
          </w:p>
        </w:tc>
        <w:tc>
          <w:tcPr>
            <w:tcW w:w="1460" w:type="dxa"/>
            <w:vAlign w:val="bottom"/>
            <w:vMerge w:val="restart"/>
          </w:tcPr>
          <w:p>
            <w:pPr>
              <w:jc w:val="right"/>
              <w:ind w:right="19"/>
              <w:spacing w:after="0"/>
              <w:rPr>
                <w:sz w:val="20"/>
                <w:szCs w:val="20"/>
                <w:color w:val="auto"/>
              </w:rPr>
            </w:pPr>
            <w:r>
              <w:rPr>
                <w:rFonts w:ascii="Arial" w:cs="Arial" w:eastAsia="Arial" w:hAnsi="Arial"/>
                <w:sz w:val="20"/>
                <w:szCs w:val="20"/>
                <w:b w:val="1"/>
                <w:bCs w:val="1"/>
                <w:color w:val="auto"/>
              </w:rPr>
              <w:t>429</w:t>
            </w:r>
          </w:p>
        </w:tc>
        <w:tc>
          <w:tcPr>
            <w:tcW w:w="1320" w:type="dxa"/>
            <w:vAlign w:val="bottom"/>
            <w:vMerge w:val="restart"/>
          </w:tcPr>
          <w:p>
            <w:pPr>
              <w:jc w:val="center"/>
              <w:ind w:left="623"/>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06"/>
        </w:trPr>
        <w:tc>
          <w:tcPr>
            <w:tcW w:w="2900" w:type="dxa"/>
            <w:vAlign w:val="bottom"/>
          </w:tcPr>
          <w:p>
            <w:pPr>
              <w:ind w:left="280"/>
              <w:spacing w:after="0" w:line="206" w:lineRule="exact"/>
              <w:rPr>
                <w:sz w:val="20"/>
                <w:szCs w:val="20"/>
                <w:color w:val="auto"/>
              </w:rPr>
            </w:pPr>
            <w:r>
              <w:rPr>
                <w:rFonts w:ascii="Arial" w:cs="Arial" w:eastAsia="Arial" w:hAnsi="Arial"/>
                <w:sz w:val="20"/>
                <w:szCs w:val="20"/>
                <w:b w:val="1"/>
                <w:bCs w:val="1"/>
                <w:color w:val="auto"/>
              </w:rPr>
              <w:t>- Euro</w:t>
            </w:r>
          </w:p>
        </w:tc>
        <w:tc>
          <w:tcPr>
            <w:tcW w:w="1660" w:type="dxa"/>
            <w:vAlign w:val="bottom"/>
            <w:vMerge w:val="continue"/>
          </w:tcPr>
          <w:p>
            <w:pPr>
              <w:spacing w:after="0"/>
              <w:rPr>
                <w:sz w:val="17"/>
                <w:szCs w:val="17"/>
                <w:color w:val="auto"/>
              </w:rPr>
            </w:pPr>
          </w:p>
        </w:tc>
        <w:tc>
          <w:tcPr>
            <w:tcW w:w="1220" w:type="dxa"/>
            <w:vAlign w:val="bottom"/>
          </w:tcPr>
          <w:p>
            <w:pPr>
              <w:ind w:left="140"/>
              <w:spacing w:after="0" w:line="206" w:lineRule="exact"/>
              <w:rPr>
                <w:sz w:val="20"/>
                <w:szCs w:val="20"/>
                <w:color w:val="auto"/>
              </w:rPr>
            </w:pPr>
            <w:r>
              <w:rPr>
                <w:rFonts w:ascii="Arial" w:cs="Arial" w:eastAsia="Arial" w:hAnsi="Arial"/>
                <w:sz w:val="20"/>
                <w:szCs w:val="20"/>
                <w:b w:val="1"/>
                <w:bCs w:val="1"/>
                <w:color w:val="auto"/>
              </w:rPr>
              <w:t>June</w:t>
            </w:r>
          </w:p>
        </w:tc>
        <w:tc>
          <w:tcPr>
            <w:tcW w:w="14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00" w:type="dxa"/>
            <w:vAlign w:val="bottom"/>
          </w:tcPr>
          <w:p>
            <w:pPr>
              <w:ind w:left="280"/>
              <w:spacing w:after="0" w:line="207" w:lineRule="exact"/>
              <w:rPr>
                <w:sz w:val="20"/>
                <w:szCs w:val="20"/>
                <w:color w:val="auto"/>
              </w:rPr>
            </w:pPr>
            <w:r>
              <w:rPr>
                <w:rFonts w:ascii="Arial" w:cs="Arial" w:eastAsia="Arial" w:hAnsi="Arial"/>
                <w:sz w:val="20"/>
                <w:szCs w:val="20"/>
                <w:b w:val="1"/>
                <w:bCs w:val="1"/>
                <w:color w:val="auto"/>
              </w:rPr>
              <w:t>300M</w:t>
            </w:r>
          </w:p>
        </w:tc>
        <w:tc>
          <w:tcPr>
            <w:tcW w:w="1660" w:type="dxa"/>
            <w:vAlign w:val="bottom"/>
          </w:tcPr>
          <w:p>
            <w:pPr>
              <w:ind w:left="20"/>
              <w:spacing w:after="0"/>
              <w:rPr>
                <w:sz w:val="20"/>
                <w:szCs w:val="20"/>
                <w:color w:val="auto"/>
              </w:rPr>
            </w:pPr>
            <w:r>
              <w:rPr>
                <w:rFonts w:ascii="Arial" w:cs="Arial" w:eastAsia="Arial" w:hAnsi="Arial"/>
                <w:sz w:val="13"/>
                <w:szCs w:val="13"/>
                <w:color w:val="auto"/>
              </w:rPr>
              <w:t>(a)</w:t>
            </w:r>
          </w:p>
        </w:tc>
        <w:tc>
          <w:tcPr>
            <w:tcW w:w="1220" w:type="dxa"/>
            <w:vAlign w:val="bottom"/>
          </w:tcPr>
          <w:p>
            <w:pPr>
              <w:ind w:left="140"/>
              <w:spacing w:after="0" w:line="207" w:lineRule="exact"/>
              <w:rPr>
                <w:sz w:val="20"/>
                <w:szCs w:val="20"/>
                <w:color w:val="auto"/>
              </w:rPr>
            </w:pPr>
            <w:r>
              <w:rPr>
                <w:rFonts w:ascii="Arial" w:cs="Arial" w:eastAsia="Arial" w:hAnsi="Arial"/>
                <w:sz w:val="20"/>
                <w:szCs w:val="20"/>
                <w:b w:val="1"/>
                <w:bCs w:val="1"/>
                <w:color w:val="auto"/>
              </w:rPr>
              <w:t>2012</w:t>
            </w:r>
          </w:p>
        </w:tc>
        <w:tc>
          <w:tcPr>
            <w:tcW w:w="1460" w:type="dxa"/>
            <w:vAlign w:val="bottom"/>
            <w:vMerge w:val="restart"/>
          </w:tcPr>
          <w:p>
            <w:pPr>
              <w:jc w:val="right"/>
              <w:ind w:right="119"/>
              <w:spacing w:after="0"/>
              <w:rPr>
                <w:sz w:val="20"/>
                <w:szCs w:val="20"/>
                <w:color w:val="auto"/>
              </w:rPr>
            </w:pPr>
            <w:r>
              <w:rPr>
                <w:rFonts w:ascii="Arial" w:cs="Arial" w:eastAsia="Arial" w:hAnsi="Arial"/>
                <w:sz w:val="20"/>
                <w:szCs w:val="20"/>
                <w:b w:val="1"/>
                <w:bCs w:val="1"/>
                <w:color w:val="auto"/>
              </w:rPr>
              <w:t>-</w:t>
            </w:r>
          </w:p>
        </w:tc>
        <w:tc>
          <w:tcPr>
            <w:tcW w:w="1320" w:type="dxa"/>
            <w:vAlign w:val="bottom"/>
            <w:vMerge w:val="restart"/>
          </w:tcPr>
          <w:p>
            <w:pPr>
              <w:jc w:val="center"/>
              <w:ind w:left="563"/>
              <w:spacing w:after="0"/>
              <w:rPr>
                <w:sz w:val="20"/>
                <w:szCs w:val="20"/>
                <w:color w:val="auto"/>
              </w:rPr>
            </w:pPr>
            <w:r>
              <w:rPr>
                <w:rFonts w:ascii="Arial" w:cs="Arial" w:eastAsia="Arial" w:hAnsi="Arial"/>
                <w:sz w:val="20"/>
                <w:szCs w:val="20"/>
                <w:b w:val="1"/>
                <w:bCs w:val="1"/>
                <w:color w:val="auto"/>
              </w:rPr>
              <w:t>391</w:t>
            </w:r>
          </w:p>
        </w:tc>
        <w:tc>
          <w:tcPr>
            <w:tcW w:w="0" w:type="dxa"/>
            <w:vAlign w:val="bottom"/>
          </w:tcPr>
          <w:p>
            <w:pPr>
              <w:spacing w:after="0"/>
              <w:rPr>
                <w:sz w:val="1"/>
                <w:szCs w:val="1"/>
                <w:color w:val="auto"/>
              </w:rPr>
            </w:pPr>
          </w:p>
        </w:tc>
      </w:tr>
      <w:tr>
        <w:trPr>
          <w:trHeight w:val="268"/>
        </w:trPr>
        <w:tc>
          <w:tcPr>
            <w:tcW w:w="2900" w:type="dxa"/>
            <w:vAlign w:val="bottom"/>
          </w:tcPr>
          <w:p>
            <w:pPr>
              <w:ind w:left="140"/>
              <w:spacing w:after="0"/>
              <w:rPr>
                <w:sz w:val="20"/>
                <w:szCs w:val="20"/>
                <w:color w:val="auto"/>
              </w:rPr>
            </w:pPr>
            <w:r>
              <w:rPr>
                <w:rFonts w:ascii="Arial" w:cs="Arial" w:eastAsia="Arial" w:hAnsi="Arial"/>
                <w:sz w:val="20"/>
                <w:szCs w:val="20"/>
                <w:b w:val="1"/>
                <w:bCs w:val="1"/>
                <w:color w:val="auto"/>
              </w:rPr>
              <w:t>Revolving Credit Agreement</w:t>
            </w:r>
          </w:p>
        </w:tc>
        <w:tc>
          <w:tcPr>
            <w:tcW w:w="1660" w:type="dxa"/>
            <w:vAlign w:val="bottom"/>
          </w:tcPr>
          <w:p>
            <w:pPr>
              <w:jc w:val="center"/>
              <w:ind w:left="544"/>
              <w:spacing w:after="0"/>
              <w:rPr>
                <w:sz w:val="20"/>
                <w:szCs w:val="20"/>
                <w:color w:val="auto"/>
              </w:rPr>
            </w:pPr>
            <w:r>
              <w:rPr>
                <w:rFonts w:ascii="Arial" w:cs="Arial" w:eastAsia="Arial" w:hAnsi="Arial"/>
                <w:sz w:val="20"/>
                <w:szCs w:val="20"/>
                <w:b w:val="1"/>
                <w:bCs w:val="1"/>
                <w:color w:val="auto"/>
              </w:rPr>
              <w:t>2.78%</w:t>
            </w: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rPr>
              <w:t>Nov 2012</w:t>
            </w:r>
          </w:p>
        </w:tc>
        <w:tc>
          <w:tcPr>
            <w:tcW w:w="146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00" w:type="dxa"/>
            <w:vAlign w:val="bottom"/>
          </w:tcPr>
          <w:p>
            <w:pPr>
              <w:ind w:left="140"/>
              <w:spacing w:after="0"/>
              <w:rPr>
                <w:sz w:val="20"/>
                <w:szCs w:val="20"/>
                <w:color w:val="auto"/>
              </w:rPr>
            </w:pPr>
            <w:r>
              <w:rPr>
                <w:rFonts w:ascii="Arial" w:cs="Arial" w:eastAsia="Arial" w:hAnsi="Arial"/>
                <w:sz w:val="20"/>
                <w:szCs w:val="20"/>
                <w:b w:val="1"/>
                <w:bCs w:val="1"/>
                <w:color w:val="auto"/>
              </w:rPr>
              <w:t>Uncommitted lines and</w:t>
            </w:r>
          </w:p>
        </w:tc>
        <w:tc>
          <w:tcPr>
            <w:tcW w:w="1660" w:type="dxa"/>
            <w:vAlign w:val="bottom"/>
          </w:tcPr>
          <w:p>
            <w:pPr>
              <w:jc w:val="center"/>
              <w:ind w:left="544"/>
              <w:spacing w:after="0"/>
              <w:rPr>
                <w:sz w:val="20"/>
                <w:szCs w:val="20"/>
                <w:color w:val="auto"/>
              </w:rPr>
            </w:pPr>
            <w:r>
              <w:rPr>
                <w:rFonts w:ascii="Arial" w:cs="Arial" w:eastAsia="Arial" w:hAnsi="Arial"/>
                <w:sz w:val="20"/>
                <w:szCs w:val="20"/>
                <w:b w:val="1"/>
                <w:bCs w:val="1"/>
                <w:color w:val="auto"/>
              </w:rPr>
              <w:t>Various</w:t>
            </w: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rPr>
              <w:t>Various</w:t>
            </w:r>
          </w:p>
        </w:tc>
        <w:tc>
          <w:tcPr>
            <w:tcW w:w="1460" w:type="dxa"/>
            <w:vAlign w:val="bottom"/>
          </w:tcPr>
          <w:p>
            <w:pPr>
              <w:jc w:val="right"/>
              <w:ind w:right="19"/>
              <w:spacing w:after="0"/>
              <w:rPr>
                <w:sz w:val="20"/>
                <w:szCs w:val="20"/>
                <w:color w:val="auto"/>
              </w:rPr>
            </w:pPr>
            <w:r>
              <w:rPr>
                <w:rFonts w:ascii="Arial" w:cs="Arial" w:eastAsia="Arial" w:hAnsi="Arial"/>
                <w:sz w:val="20"/>
                <w:szCs w:val="20"/>
                <w:b w:val="1"/>
                <w:bCs w:val="1"/>
                <w:color w:val="auto"/>
              </w:rPr>
              <w:t>42</w:t>
            </w:r>
          </w:p>
        </w:tc>
        <w:tc>
          <w:tcPr>
            <w:tcW w:w="1320" w:type="dxa"/>
            <w:vAlign w:val="bottom"/>
          </w:tcPr>
          <w:p>
            <w:pPr>
              <w:jc w:val="center"/>
              <w:ind w:left="603"/>
              <w:spacing w:after="0"/>
              <w:rPr>
                <w:sz w:val="20"/>
                <w:szCs w:val="20"/>
                <w:color w:val="auto"/>
              </w:rPr>
            </w:pPr>
            <w:r>
              <w:rPr>
                <w:rFonts w:ascii="Arial" w:cs="Arial" w:eastAsia="Arial" w:hAnsi="Arial"/>
                <w:sz w:val="20"/>
                <w:szCs w:val="20"/>
                <w:b w:val="1"/>
                <w:bCs w:val="1"/>
                <w:color w:val="auto"/>
              </w:rPr>
              <w:t>368</w:t>
            </w:r>
          </w:p>
        </w:tc>
        <w:tc>
          <w:tcPr>
            <w:tcW w:w="0" w:type="dxa"/>
            <w:vAlign w:val="bottom"/>
          </w:tcPr>
          <w:p>
            <w:pPr>
              <w:spacing w:after="0"/>
              <w:rPr>
                <w:sz w:val="1"/>
                <w:szCs w:val="1"/>
                <w:color w:val="auto"/>
              </w:rPr>
            </w:pPr>
          </w:p>
        </w:tc>
      </w:tr>
      <w:tr>
        <w:trPr>
          <w:trHeight w:val="208"/>
        </w:trPr>
        <w:tc>
          <w:tcPr>
            <w:tcW w:w="2900" w:type="dxa"/>
            <w:vAlign w:val="bottom"/>
          </w:tcPr>
          <w:p>
            <w:pPr>
              <w:ind w:left="140"/>
              <w:spacing w:after="0" w:line="207" w:lineRule="exact"/>
              <w:rPr>
                <w:sz w:val="20"/>
                <w:szCs w:val="20"/>
                <w:color w:val="auto"/>
              </w:rPr>
            </w:pPr>
            <w:r>
              <w:rPr>
                <w:rFonts w:ascii="Arial" w:cs="Arial" w:eastAsia="Arial" w:hAnsi="Arial"/>
                <w:sz w:val="20"/>
                <w:szCs w:val="20"/>
                <w:b w:val="1"/>
                <w:bCs w:val="1"/>
                <w:color w:val="auto"/>
              </w:rPr>
              <w:t>Other</w:t>
            </w:r>
          </w:p>
        </w:tc>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757</w:t>
            </w:r>
          </w:p>
        </w:tc>
        <w:tc>
          <w:tcPr>
            <w:tcW w:w="1320" w:type="dxa"/>
            <w:vAlign w:val="bottom"/>
          </w:tcPr>
          <w:p>
            <w:pPr>
              <w:ind w:left="1160"/>
              <w:spacing w:after="0"/>
              <w:rPr>
                <w:sz w:val="20"/>
                <w:szCs w:val="20"/>
                <w:color w:val="auto"/>
              </w:rPr>
            </w:pPr>
            <w:r>
              <w:rPr>
                <w:rFonts w:ascii="Arial" w:cs="Arial" w:eastAsia="Arial" w:hAnsi="Arial"/>
                <w:sz w:val="13"/>
                <w:szCs w:val="13"/>
                <w:color w:val="auto"/>
                <w:w w:val="87"/>
              </w:rPr>
              <w:t>(b)</w:t>
            </w:r>
          </w:p>
        </w:tc>
        <w:tc>
          <w:tcPr>
            <w:tcW w:w="0" w:type="dxa"/>
            <w:vAlign w:val="bottom"/>
          </w:tcPr>
          <w:p>
            <w:pPr>
              <w:spacing w:after="0"/>
              <w:rPr>
                <w:sz w:val="1"/>
                <w:szCs w:val="1"/>
                <w:color w:val="auto"/>
              </w:rPr>
            </w:pPr>
          </w:p>
        </w:tc>
      </w:tr>
      <w:tr>
        <w:trPr>
          <w:trHeight w:val="268"/>
        </w:trPr>
        <w:tc>
          <w:tcPr>
            <w:tcW w:w="2900" w:type="dxa"/>
            <w:vAlign w:val="bottom"/>
          </w:tcPr>
          <w:p>
            <w:pPr>
              <w:ind w:left="140"/>
              <w:spacing w:after="0"/>
              <w:rPr>
                <w:sz w:val="20"/>
                <w:szCs w:val="20"/>
                <w:color w:val="auto"/>
              </w:rPr>
            </w:pPr>
            <w:r>
              <w:rPr>
                <w:rFonts w:ascii="Arial" w:cs="Arial" w:eastAsia="Arial" w:hAnsi="Arial"/>
                <w:sz w:val="20"/>
                <w:szCs w:val="20"/>
                <w:b w:val="1"/>
                <w:bCs w:val="1"/>
                <w:color w:val="auto"/>
              </w:rPr>
              <w:t>Total Debt</w:t>
            </w:r>
          </w:p>
        </w:tc>
        <w:tc>
          <w:tcPr>
            <w:tcW w:w="1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60" w:type="dxa"/>
            <w:vAlign w:val="bottom"/>
            <w:vMerge w:val="continue"/>
          </w:tcPr>
          <w:p>
            <w:pPr>
              <w:spacing w:after="0"/>
              <w:rPr>
                <w:sz w:val="23"/>
                <w:szCs w:val="23"/>
                <w:color w:val="auto"/>
              </w:rPr>
            </w:pPr>
          </w:p>
        </w:tc>
        <w:tc>
          <w:tcPr>
            <w:tcW w:w="1320" w:type="dxa"/>
            <w:vAlign w:val="bottom"/>
          </w:tcPr>
          <w:p>
            <w:pPr>
              <w:jc w:val="center"/>
              <w:ind w:left="563"/>
              <w:spacing w:after="0"/>
              <w:rPr>
                <w:sz w:val="20"/>
                <w:szCs w:val="20"/>
                <w:color w:val="auto"/>
              </w:rPr>
            </w:pPr>
            <w:r>
              <w:rPr>
                <w:rFonts w:ascii="Arial" w:cs="Arial" w:eastAsia="Arial" w:hAnsi="Arial"/>
                <w:sz w:val="20"/>
                <w:szCs w:val="20"/>
                <w:b w:val="1"/>
                <w:bCs w:val="1"/>
                <w:color w:val="auto"/>
              </w:rPr>
              <w:t>759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19" w:right="1120" w:hanging="219"/>
        <w:spacing w:after="0" w:line="248" w:lineRule="auto"/>
        <w:tabs>
          <w:tab w:leader="none" w:pos="219" w:val="left"/>
        </w:tabs>
        <w:numPr>
          <w:ilvl w:val="0"/>
          <w:numId w:val="24"/>
        </w:numPr>
        <w:rPr>
          <w:rFonts w:ascii="Arial" w:cs="Arial" w:eastAsia="Arial" w:hAnsi="Arial"/>
          <w:sz w:val="13"/>
          <w:szCs w:val="13"/>
          <w:color w:val="auto"/>
        </w:rPr>
      </w:pPr>
      <w:r>
        <w:rPr>
          <w:rFonts w:ascii="Arial" w:cs="Arial" w:eastAsia="Arial" w:hAnsi="Arial"/>
          <w:sz w:val="13"/>
          <w:szCs w:val="13"/>
          <w:color w:val="auto"/>
        </w:rPr>
        <w:t>Effective October 16, 2009, we amended our Revolving Credit Agreement. The amendment reduces the size of the facility from $625M to $400M and revises covenant levels and pricing. The amended agreement requires, as of December 31, that we comply with a Debt-to-EBITDA ratio of less than 5.25 to 1 and a fixed charge coverage ratio of greater than 1.25 to 1. As defined in the agreement, we had a Debt-to -EBITDA ratio of 3.64 and a fixed charge coverage ratio of 1.55 as of December 31, 2009.</w:t>
      </w:r>
    </w:p>
    <w:p>
      <w:pPr>
        <w:spacing w:after="0" w:line="165" w:lineRule="exact"/>
        <w:rPr>
          <w:rFonts w:ascii="Arial" w:cs="Arial" w:eastAsia="Arial" w:hAnsi="Arial"/>
          <w:sz w:val="13"/>
          <w:szCs w:val="13"/>
          <w:color w:val="auto"/>
        </w:rPr>
      </w:pPr>
    </w:p>
    <w:p>
      <w:pPr>
        <w:ind w:left="219" w:right="1160"/>
        <w:spacing w:after="0" w:line="255" w:lineRule="auto"/>
        <w:rPr>
          <w:rFonts w:ascii="Arial" w:cs="Arial" w:eastAsia="Arial" w:hAnsi="Arial"/>
          <w:sz w:val="13"/>
          <w:szCs w:val="13"/>
          <w:color w:val="auto"/>
        </w:rPr>
      </w:pPr>
      <w:r>
        <w:rPr>
          <w:rFonts w:ascii="Arial" w:cs="Arial" w:eastAsia="Arial" w:hAnsi="Arial"/>
          <w:sz w:val="13"/>
          <w:szCs w:val="13"/>
          <w:color w:val="auto"/>
        </w:rPr>
        <w:t>On October 16, 2009, we elected to repay the €100M ($143M) borrowing under the agreement and terminated the related interest rate swaps. There are currently no outstanding borrowings under the agreement.</w:t>
      </w:r>
    </w:p>
    <w:p>
      <w:pPr>
        <w:spacing w:after="0" w:line="182" w:lineRule="exact"/>
        <w:rPr>
          <w:rFonts w:ascii="Arial" w:cs="Arial" w:eastAsia="Arial" w:hAnsi="Arial"/>
          <w:sz w:val="13"/>
          <w:szCs w:val="13"/>
          <w:color w:val="auto"/>
        </w:rPr>
      </w:pPr>
    </w:p>
    <w:p>
      <w:pPr>
        <w:ind w:left="219" w:hanging="219"/>
        <w:spacing w:after="0"/>
        <w:tabs>
          <w:tab w:leader="none" w:pos="219" w:val="left"/>
        </w:tabs>
        <w:numPr>
          <w:ilvl w:val="0"/>
          <w:numId w:val="24"/>
        </w:numPr>
        <w:rPr>
          <w:rFonts w:ascii="Arial" w:cs="Arial" w:eastAsia="Arial" w:hAnsi="Arial"/>
          <w:sz w:val="13"/>
          <w:szCs w:val="13"/>
          <w:color w:val="auto"/>
        </w:rPr>
      </w:pPr>
      <w:r>
        <w:rPr>
          <w:rFonts w:ascii="Arial" w:cs="Arial" w:eastAsia="Arial" w:hAnsi="Arial"/>
          <w:sz w:val="13"/>
          <w:szCs w:val="13"/>
          <w:color w:val="auto"/>
        </w:rPr>
        <w:t>Total additional borrowings are limited to $334 million due to the Revolving Credit Agreement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460375</wp:posOffset>
            </wp:positionV>
            <wp:extent cx="727900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579"/>
          </w:cols>
          <w:pgMar w:left="1081" w:top="380" w:right="1239" w:bottom="1440" w:gutter="0" w:footer="0" w:header="0"/>
        </w:sectPr>
      </w:pPr>
    </w:p>
    <w:bookmarkStart w:id="30" w:name="page31"/>
    <w:bookmarkEnd w:id="30"/>
    <w:tbl>
      <w:tblPr>
        <w:tblLayout w:type="fixed"/>
        <w:tblInd w:w="340" w:type="dxa"/>
        <w:tblCellMar>
          <w:top w:w="0" w:type="dxa"/>
          <w:left w:w="0" w:type="dxa"/>
          <w:bottom w:w="0" w:type="dxa"/>
          <w:right w:w="0" w:type="dxa"/>
        </w:tblCellMar>
      </w:tblPr>
      <w:tr>
        <w:trPr>
          <w:trHeight w:val="364"/>
        </w:trPr>
        <w:tc>
          <w:tcPr>
            <w:tcW w:w="6260" w:type="dxa"/>
            <w:vAlign w:val="bottom"/>
          </w:tcPr>
          <w:p>
            <w:pPr>
              <w:spacing w:after="0"/>
              <w:rPr>
                <w:sz w:val="20"/>
                <w:szCs w:val="20"/>
                <w:color w:val="auto"/>
              </w:rPr>
            </w:pPr>
            <w:r>
              <w:rPr>
                <w:rFonts w:ascii="Arial" w:cs="Arial" w:eastAsia="Arial" w:hAnsi="Arial"/>
                <w:sz w:val="20"/>
                <w:szCs w:val="20"/>
                <w:color w:val="FFFFFF"/>
              </w:rPr>
              <w:t>Manpower Inc. 2009 4</w:t>
            </w:r>
            <w:r>
              <w:rPr>
                <w:rFonts w:ascii="Arial" w:cs="Arial" w:eastAsia="Arial" w:hAnsi="Arial"/>
                <w:sz w:val="28"/>
                <w:szCs w:val="28"/>
                <w:color w:val="FFFFFF"/>
                <w:vertAlign w:val="superscript"/>
              </w:rPr>
              <w:t>th</w:t>
            </w:r>
            <w:r>
              <w:rPr>
                <w:rFonts w:ascii="Arial" w:cs="Arial" w:eastAsia="Arial" w:hAnsi="Arial"/>
                <w:sz w:val="20"/>
                <w:szCs w:val="20"/>
                <w:color w:val="FFFFFF"/>
              </w:rPr>
              <w:t xml:space="preserve"> Quarter Results</w:t>
            </w:r>
          </w:p>
        </w:tc>
        <w:tc>
          <w:tcPr>
            <w:tcW w:w="2880" w:type="dxa"/>
            <w:vAlign w:val="bottom"/>
          </w:tcPr>
          <w:p>
            <w:pPr>
              <w:jc w:val="right"/>
              <w:spacing w:after="0"/>
              <w:rPr>
                <w:sz w:val="20"/>
                <w:szCs w:val="20"/>
                <w:color w:val="auto"/>
              </w:rPr>
            </w:pPr>
            <w:r>
              <w:rPr>
                <w:rFonts w:ascii="Arial" w:cs="Arial" w:eastAsia="Arial" w:hAnsi="Arial"/>
                <w:sz w:val="20"/>
                <w:szCs w:val="20"/>
                <w:color w:val="FFFFFF"/>
              </w:rPr>
              <w:t>20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44"/>
          <w:szCs w:val="44"/>
          <w:color w:val="6698C2"/>
        </w:rPr>
        <w:t>First Quarter Outlook</w:t>
      </w:r>
    </w:p>
    <w:p>
      <w:pPr>
        <w:sectPr>
          <w:pgSz w:w="11900" w:h="16838" w:orient="portrait"/>
          <w:cols w:equalWidth="0" w:num="1">
            <w:col w:w="9480"/>
          </w:cols>
          <w:pgMar w:left="1180" w:top="380" w:right="1239" w:bottom="1440" w:gutter="0" w:footer="0" w:header="0"/>
        </w:sectPr>
      </w:pPr>
    </w:p>
    <w:p>
      <w:pPr>
        <w:spacing w:after="0" w:line="377" w:lineRule="exact"/>
        <w:rPr>
          <w:sz w:val="20"/>
          <w:szCs w:val="20"/>
          <w:color w:val="auto"/>
        </w:rPr>
      </w:pPr>
    </w:p>
    <w:p>
      <w:pPr>
        <w:spacing w:after="0"/>
        <w:tabs>
          <w:tab w:leader="none" w:pos="2900" w:val="left"/>
        </w:tabs>
        <w:rPr>
          <w:sz w:val="20"/>
          <w:szCs w:val="20"/>
          <w:color w:val="auto"/>
        </w:rPr>
      </w:pPr>
      <w:r>
        <w:rPr>
          <w:rFonts w:ascii="Arial" w:cs="Arial" w:eastAsia="Arial" w:hAnsi="Arial"/>
          <w:sz w:val="32"/>
          <w:szCs w:val="32"/>
          <w:b w:val="1"/>
          <w:bCs w:val="1"/>
          <w:color w:val="7EA190"/>
        </w:rPr>
        <w:t>Revenue</w:t>
      </w:r>
      <w:r>
        <w:rPr>
          <w:sz w:val="20"/>
          <w:szCs w:val="20"/>
          <w:color w:val="auto"/>
        </w:rPr>
        <w:tab/>
      </w:r>
      <w:r>
        <w:rPr>
          <w:rFonts w:ascii="Arial" w:cs="Arial" w:eastAsia="Arial" w:hAnsi="Arial"/>
          <w:sz w:val="29"/>
          <w:szCs w:val="29"/>
          <w:b w:val="1"/>
          <w:bCs w:val="1"/>
          <w:color w:val="auto"/>
        </w:rPr>
        <w:t>Total</w:t>
      </w:r>
    </w:p>
    <w:p>
      <w:pPr>
        <w:spacing w:after="0" w:line="87" w:lineRule="exact"/>
        <w:rPr>
          <w:sz w:val="20"/>
          <w:szCs w:val="20"/>
          <w:color w:val="auto"/>
        </w:rPr>
      </w:pPr>
    </w:p>
    <w:p>
      <w:pPr>
        <w:jc w:val="right"/>
        <w:ind w:right="20"/>
        <w:spacing w:after="0"/>
        <w:rPr>
          <w:sz w:val="20"/>
          <w:szCs w:val="20"/>
          <w:color w:val="auto"/>
        </w:rPr>
      </w:pPr>
      <w:r>
        <w:rPr>
          <w:rFonts w:ascii="Arial" w:cs="Arial" w:eastAsia="Arial" w:hAnsi="Arial"/>
          <w:sz w:val="29"/>
          <w:szCs w:val="29"/>
          <w:b w:val="1"/>
          <w:bCs w:val="1"/>
          <w:color w:val="auto"/>
        </w:rPr>
        <w:t>Americas</w:t>
      </w:r>
    </w:p>
    <w:p>
      <w:pPr>
        <w:spacing w:after="0" w:line="80" w:lineRule="exact"/>
        <w:rPr>
          <w:sz w:val="20"/>
          <w:szCs w:val="20"/>
          <w:color w:val="auto"/>
        </w:rPr>
      </w:pPr>
    </w:p>
    <w:p>
      <w:pPr>
        <w:jc w:val="right"/>
        <w:ind w:right="40"/>
        <w:spacing w:after="0"/>
        <w:rPr>
          <w:sz w:val="20"/>
          <w:szCs w:val="20"/>
          <w:color w:val="auto"/>
        </w:rPr>
      </w:pPr>
      <w:r>
        <w:rPr>
          <w:rFonts w:ascii="Arial" w:cs="Arial" w:eastAsia="Arial" w:hAnsi="Arial"/>
          <w:sz w:val="29"/>
          <w:szCs w:val="29"/>
          <w:b w:val="1"/>
          <w:bCs w:val="1"/>
          <w:color w:val="auto"/>
        </w:rPr>
        <w:t>France</w:t>
      </w:r>
    </w:p>
    <w:p>
      <w:pPr>
        <w:spacing w:after="0" w:line="69" w:lineRule="exact"/>
        <w:rPr>
          <w:sz w:val="20"/>
          <w:szCs w:val="20"/>
          <w:color w:val="auto"/>
        </w:rPr>
      </w:pPr>
    </w:p>
    <w:p>
      <w:pPr>
        <w:jc w:val="right"/>
        <w:ind w:right="20"/>
        <w:spacing w:after="0"/>
        <w:rPr>
          <w:sz w:val="20"/>
          <w:szCs w:val="20"/>
          <w:color w:val="auto"/>
        </w:rPr>
      </w:pPr>
      <w:r>
        <w:rPr>
          <w:rFonts w:ascii="Arial" w:cs="Arial" w:eastAsia="Arial" w:hAnsi="Arial"/>
          <w:sz w:val="29"/>
          <w:szCs w:val="29"/>
          <w:b w:val="1"/>
          <w:bCs w:val="1"/>
          <w:color w:val="auto"/>
        </w:rPr>
        <w:t>EMEA</w:t>
      </w:r>
    </w:p>
    <w:p>
      <w:pPr>
        <w:spacing w:after="0" w:line="80" w:lineRule="exact"/>
        <w:rPr>
          <w:sz w:val="20"/>
          <w:szCs w:val="20"/>
          <w:color w:val="auto"/>
        </w:rPr>
      </w:pPr>
    </w:p>
    <w:p>
      <w:pPr>
        <w:ind w:left="2520"/>
        <w:spacing w:after="0"/>
        <w:rPr>
          <w:sz w:val="20"/>
          <w:szCs w:val="20"/>
          <w:color w:val="auto"/>
        </w:rPr>
      </w:pPr>
      <w:r>
        <w:rPr>
          <w:rFonts w:ascii="Arial" w:cs="Arial" w:eastAsia="Arial" w:hAnsi="Arial"/>
          <w:sz w:val="29"/>
          <w:szCs w:val="29"/>
          <w:b w:val="1"/>
          <w:bCs w:val="1"/>
          <w:color w:val="auto"/>
        </w:rPr>
        <w:t>Asia</w:t>
      </w:r>
    </w:p>
    <w:p>
      <w:pPr>
        <w:ind w:left="1940"/>
        <w:spacing w:after="0" w:line="188" w:lineRule="auto"/>
        <w:rPr>
          <w:sz w:val="20"/>
          <w:szCs w:val="20"/>
          <w:color w:val="auto"/>
        </w:rPr>
      </w:pPr>
      <w:r>
        <w:rPr>
          <w:rFonts w:ascii="Arial" w:cs="Arial" w:eastAsia="Arial" w:hAnsi="Arial"/>
          <w:sz w:val="49"/>
          <w:szCs w:val="49"/>
          <w:b w:val="1"/>
          <w:bCs w:val="1"/>
          <w:color w:val="auto"/>
          <w:vertAlign w:val="subscript"/>
        </w:rPr>
        <w:t>Right</w:t>
      </w:r>
      <w:r>
        <w:rPr>
          <w:rFonts w:ascii="Arial" w:cs="Arial" w:eastAsia="Arial" w:hAnsi="Arial"/>
          <w:sz w:val="26"/>
          <w:szCs w:val="26"/>
          <w:b w:val="1"/>
          <w:bCs w:val="1"/>
          <w:color w:val="auto"/>
        </w:rPr>
        <w:t>Pacific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45"/>
          <w:szCs w:val="45"/>
          <w:b w:val="1"/>
          <w:bCs w:val="1"/>
          <w:color w:val="auto"/>
          <w:vertAlign w:val="superscript"/>
        </w:rPr>
        <w:t>Management</w:t>
      </w:r>
      <w:r>
        <w:rPr>
          <w:rFonts w:ascii="Arial" w:cs="Arial" w:eastAsia="Arial" w:hAnsi="Arial"/>
          <w:sz w:val="25"/>
          <w:szCs w:val="25"/>
          <w:b w:val="1"/>
          <w:bCs w:val="1"/>
          <w:color w:val="auto"/>
        </w:rPr>
        <w:t>JeffersonWells</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32"/>
          <w:szCs w:val="32"/>
          <w:b w:val="1"/>
          <w:bCs w:val="1"/>
          <w:color w:val="7EA190"/>
        </w:rPr>
        <w:t>Gross Profit</w:t>
      </w:r>
    </w:p>
    <w:p>
      <w:pPr>
        <w:ind w:left="980"/>
        <w:spacing w:after="0" w:line="189" w:lineRule="auto"/>
        <w:rPr>
          <w:sz w:val="20"/>
          <w:szCs w:val="20"/>
          <w:color w:val="auto"/>
        </w:rPr>
      </w:pPr>
      <w:r>
        <w:rPr>
          <w:rFonts w:ascii="Arial" w:cs="Arial" w:eastAsia="Arial" w:hAnsi="Arial"/>
          <w:sz w:val="17"/>
          <w:szCs w:val="17"/>
          <w:b w:val="1"/>
          <w:bCs w:val="1"/>
          <w:color w:val="7EA190"/>
        </w:rPr>
        <w:t>Margin</w:t>
      </w:r>
    </w:p>
    <w:p>
      <w:pPr>
        <w:ind w:left="600"/>
        <w:spacing w:after="0"/>
        <w:rPr>
          <w:sz w:val="20"/>
          <w:szCs w:val="20"/>
          <w:color w:val="auto"/>
        </w:rPr>
      </w:pPr>
      <w:r>
        <w:rPr>
          <w:rFonts w:ascii="Arial" w:cs="Arial" w:eastAsia="Arial" w:hAnsi="Arial"/>
          <w:sz w:val="32"/>
          <w:szCs w:val="32"/>
          <w:b w:val="1"/>
          <w:bCs w:val="1"/>
          <w:color w:val="7EA190"/>
        </w:rPr>
        <w:t>Operating Profit</w:t>
      </w:r>
    </w:p>
    <w:p>
      <w:pPr>
        <w:spacing w:after="0" w:line="227" w:lineRule="auto"/>
        <w:rPr>
          <w:sz w:val="20"/>
          <w:szCs w:val="20"/>
          <w:color w:val="auto"/>
        </w:rPr>
      </w:pPr>
      <w:r>
        <w:rPr>
          <w:rFonts w:ascii="Arial" w:cs="Arial" w:eastAsia="Arial" w:hAnsi="Arial"/>
          <w:sz w:val="32"/>
          <w:szCs w:val="32"/>
          <w:b w:val="1"/>
          <w:bCs w:val="1"/>
          <w:color w:val="7EA190"/>
        </w:rPr>
        <w:t>Tax Rate</w:t>
      </w:r>
      <w:r>
        <w:rPr>
          <w:rFonts w:ascii="Arial" w:cs="Arial" w:eastAsia="Arial" w:hAnsi="Arial"/>
          <w:sz w:val="63"/>
          <w:szCs w:val="63"/>
          <w:b w:val="1"/>
          <w:bCs w:val="1"/>
          <w:color w:val="7EA190"/>
          <w:vertAlign w:val="superscript"/>
        </w:rPr>
        <w:t>Margin</w:t>
      </w:r>
    </w:p>
    <w:p>
      <w:pPr>
        <w:spacing w:after="0" w:line="2"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7EA190"/>
        </w:rPr>
        <w:t>EPS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7"/>
        </w:trPr>
        <w:tc>
          <w:tcPr>
            <w:tcW w:w="1700" w:type="dxa"/>
            <w:vAlign w:val="bottom"/>
          </w:tcPr>
          <w:p>
            <w:pPr>
              <w:ind w:left="480"/>
              <w:spacing w:after="0"/>
              <w:rPr>
                <w:sz w:val="20"/>
                <w:szCs w:val="20"/>
                <w:color w:val="auto"/>
              </w:rPr>
            </w:pPr>
            <w:r>
              <w:rPr>
                <w:rFonts w:ascii="Arial" w:cs="Arial" w:eastAsia="Arial" w:hAnsi="Arial"/>
                <w:sz w:val="29"/>
                <w:szCs w:val="29"/>
                <w:color w:val="auto"/>
              </w:rPr>
              <w:t>Up 9-</w:t>
            </w:r>
          </w:p>
        </w:tc>
        <w:tc>
          <w:tcPr>
            <w:tcW w:w="1760" w:type="dxa"/>
            <w:vAlign w:val="bottom"/>
          </w:tcPr>
          <w:p>
            <w:pPr>
              <w:jc w:val="center"/>
              <w:ind w:right="49"/>
              <w:spacing w:after="0"/>
              <w:rPr>
                <w:sz w:val="20"/>
                <w:szCs w:val="20"/>
                <w:color w:val="auto"/>
              </w:rPr>
            </w:pPr>
            <w:r>
              <w:rPr>
                <w:rFonts w:ascii="Arial" w:cs="Arial" w:eastAsia="Arial" w:hAnsi="Arial"/>
                <w:sz w:val="29"/>
                <w:szCs w:val="29"/>
                <w:color w:val="auto"/>
                <w:w w:val="99"/>
              </w:rPr>
              <w:t>(Up 0-2%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700" w:type="dxa"/>
            <w:vAlign w:val="bottom"/>
          </w:tcPr>
          <w:p>
            <w:pPr>
              <w:jc w:val="right"/>
              <w:ind w:right="521"/>
              <w:spacing w:after="0" w:line="284" w:lineRule="exact"/>
              <w:rPr>
                <w:sz w:val="20"/>
                <w:szCs w:val="20"/>
                <w:color w:val="auto"/>
              </w:rPr>
            </w:pPr>
            <w:r>
              <w:rPr>
                <w:rFonts w:ascii="Arial" w:cs="Arial" w:eastAsia="Arial" w:hAnsi="Arial"/>
                <w:sz w:val="29"/>
                <w:szCs w:val="29"/>
                <w:color w:val="auto"/>
              </w:rPr>
              <w:t>1 %</w:t>
            </w:r>
          </w:p>
        </w:tc>
        <w:tc>
          <w:tcPr>
            <w:tcW w:w="1760" w:type="dxa"/>
            <w:vAlign w:val="bottom"/>
          </w:tcPr>
          <w:p>
            <w:pPr>
              <w:jc w:val="center"/>
              <w:ind w:right="49"/>
              <w:spacing w:after="0" w:line="284" w:lineRule="exact"/>
              <w:rPr>
                <w:sz w:val="20"/>
                <w:szCs w:val="20"/>
                <w:color w:val="auto"/>
              </w:rPr>
            </w:pPr>
            <w:r>
              <w:rPr>
                <w:rFonts w:ascii="Arial" w:cs="Arial" w:eastAsia="Arial" w:hAnsi="Arial"/>
                <w:sz w:val="29"/>
                <w:szCs w:val="29"/>
                <w:color w:val="auto"/>
                <w:w w:val="96"/>
              </w:rPr>
              <w:t>CC)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700" w:type="dxa"/>
            <w:vAlign w:val="bottom"/>
          </w:tcPr>
          <w:p>
            <w:pPr>
              <w:ind w:left="160"/>
              <w:spacing w:after="0" w:line="227" w:lineRule="exact"/>
              <w:rPr>
                <w:sz w:val="20"/>
                <w:szCs w:val="20"/>
                <w:color w:val="auto"/>
              </w:rPr>
            </w:pPr>
            <w:r>
              <w:rPr>
                <w:rFonts w:ascii="Arial" w:cs="Arial" w:eastAsia="Arial" w:hAnsi="Arial"/>
                <w:sz w:val="26"/>
                <w:szCs w:val="26"/>
                <w:color w:val="auto"/>
              </w:rPr>
              <w:t>Up 17-19%</w:t>
            </w:r>
          </w:p>
        </w:tc>
        <w:tc>
          <w:tcPr>
            <w:tcW w:w="3060" w:type="dxa"/>
            <w:vAlign w:val="bottom"/>
            <w:gridSpan w:val="2"/>
          </w:tcPr>
          <w:p>
            <w:pPr>
              <w:jc w:val="right"/>
              <w:ind w:right="755"/>
              <w:spacing w:after="0" w:line="227" w:lineRule="exact"/>
              <w:rPr>
                <w:sz w:val="20"/>
                <w:szCs w:val="20"/>
                <w:color w:val="auto"/>
              </w:rPr>
            </w:pPr>
            <w:r>
              <w:rPr>
                <w:rFonts w:ascii="Arial" w:cs="Arial" w:eastAsia="Arial" w:hAnsi="Arial"/>
                <w:sz w:val="26"/>
                <w:szCs w:val="26"/>
                <w:color w:val="auto"/>
              </w:rPr>
              <w:t>(Up 13-15% CC)</w:t>
            </w:r>
          </w:p>
        </w:tc>
        <w:tc>
          <w:tcPr>
            <w:tcW w:w="0" w:type="dxa"/>
            <w:vAlign w:val="bottom"/>
          </w:tcPr>
          <w:p>
            <w:pPr>
              <w:spacing w:after="0"/>
              <w:rPr>
                <w:sz w:val="1"/>
                <w:szCs w:val="1"/>
                <w:color w:val="auto"/>
              </w:rPr>
            </w:pPr>
          </w:p>
        </w:tc>
      </w:tr>
      <w:tr>
        <w:trPr>
          <w:trHeight w:val="348"/>
        </w:trPr>
        <w:tc>
          <w:tcPr>
            <w:tcW w:w="4760" w:type="dxa"/>
            <w:vAlign w:val="bottom"/>
            <w:gridSpan w:val="3"/>
          </w:tcPr>
          <w:p>
            <w:pPr>
              <w:ind w:left="120"/>
              <w:spacing w:after="0"/>
              <w:rPr>
                <w:sz w:val="20"/>
                <w:szCs w:val="20"/>
                <w:color w:val="auto"/>
              </w:rPr>
            </w:pPr>
            <w:r>
              <w:rPr>
                <w:rFonts w:ascii="Arial" w:cs="Arial" w:eastAsia="Arial" w:hAnsi="Arial"/>
                <w:sz w:val="29"/>
                <w:szCs w:val="29"/>
                <w:color w:val="auto"/>
              </w:rPr>
              <w:t>Up 13-15% (Up 5-7% CC)</w:t>
            </w:r>
          </w:p>
        </w:tc>
        <w:tc>
          <w:tcPr>
            <w:tcW w:w="0" w:type="dxa"/>
            <w:vAlign w:val="bottom"/>
          </w:tcPr>
          <w:p>
            <w:pPr>
              <w:spacing w:after="0"/>
              <w:rPr>
                <w:sz w:val="1"/>
                <w:szCs w:val="1"/>
                <w:color w:val="auto"/>
              </w:rPr>
            </w:pPr>
          </w:p>
        </w:tc>
      </w:tr>
      <w:tr>
        <w:trPr>
          <w:trHeight w:val="402"/>
        </w:trPr>
        <w:tc>
          <w:tcPr>
            <w:tcW w:w="1700" w:type="dxa"/>
            <w:vAlign w:val="bottom"/>
          </w:tcPr>
          <w:p>
            <w:pPr>
              <w:ind w:left="140"/>
              <w:spacing w:after="0"/>
              <w:rPr>
                <w:sz w:val="20"/>
                <w:szCs w:val="20"/>
                <w:color w:val="auto"/>
              </w:rPr>
            </w:pPr>
            <w:r>
              <w:rPr>
                <w:rFonts w:ascii="Arial" w:cs="Arial" w:eastAsia="Arial" w:hAnsi="Arial"/>
                <w:sz w:val="29"/>
                <w:szCs w:val="29"/>
                <w:color w:val="auto"/>
              </w:rPr>
              <w:t>Up 7-9%</w:t>
            </w:r>
          </w:p>
        </w:tc>
        <w:tc>
          <w:tcPr>
            <w:tcW w:w="1760" w:type="dxa"/>
            <w:vAlign w:val="bottom"/>
          </w:tcPr>
          <w:p>
            <w:pPr>
              <w:jc w:val="center"/>
              <w:spacing w:after="0"/>
              <w:rPr>
                <w:sz w:val="20"/>
                <w:szCs w:val="20"/>
                <w:color w:val="auto"/>
              </w:rPr>
            </w:pPr>
            <w:r>
              <w:rPr>
                <w:rFonts w:ascii="Arial" w:cs="Arial" w:eastAsia="Arial" w:hAnsi="Arial"/>
                <w:sz w:val="29"/>
                <w:szCs w:val="29"/>
                <w:color w:val="auto"/>
              </w:rPr>
              <w:t>(Down 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700" w:type="dxa"/>
            <w:vAlign w:val="bottom"/>
            <w:vMerge w:val="restart"/>
          </w:tcPr>
          <w:p>
            <w:pPr>
              <w:ind w:left="140"/>
              <w:spacing w:after="0"/>
              <w:rPr>
                <w:sz w:val="20"/>
                <w:szCs w:val="20"/>
                <w:color w:val="auto"/>
              </w:rPr>
            </w:pPr>
            <w:r>
              <w:rPr>
                <w:rFonts w:ascii="Arial" w:cs="Arial" w:eastAsia="Arial" w:hAnsi="Arial"/>
                <w:sz w:val="29"/>
                <w:szCs w:val="29"/>
                <w:color w:val="auto"/>
              </w:rPr>
              <w:t>Up 8-10%</w:t>
            </w:r>
          </w:p>
        </w:tc>
        <w:tc>
          <w:tcPr>
            <w:tcW w:w="1760" w:type="dxa"/>
            <w:vAlign w:val="bottom"/>
          </w:tcPr>
          <w:p>
            <w:pPr>
              <w:jc w:val="center"/>
              <w:spacing w:after="0" w:line="262" w:lineRule="exact"/>
              <w:rPr>
                <w:sz w:val="20"/>
                <w:szCs w:val="20"/>
                <w:color w:val="auto"/>
              </w:rPr>
            </w:pPr>
            <w:r>
              <w:rPr>
                <w:rFonts w:ascii="Arial" w:cs="Arial" w:eastAsia="Arial" w:hAnsi="Arial"/>
                <w:sz w:val="29"/>
                <w:szCs w:val="29"/>
                <w:color w:val="auto"/>
              </w:rPr>
              <w:t>CC)</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1700" w:type="dxa"/>
            <w:vAlign w:val="bottom"/>
            <w:vMerge w:val="continue"/>
          </w:tcPr>
          <w:p>
            <w:pPr>
              <w:spacing w:after="0"/>
              <w:rPr>
                <w:sz w:val="12"/>
                <w:szCs w:val="12"/>
                <w:color w:val="auto"/>
              </w:rPr>
            </w:pPr>
          </w:p>
        </w:tc>
        <w:tc>
          <w:tcPr>
            <w:tcW w:w="1760" w:type="dxa"/>
            <w:vAlign w:val="bottom"/>
          </w:tcPr>
          <w:p>
            <w:pPr>
              <w:jc w:val="center"/>
              <w:ind w:left="9"/>
              <w:spacing w:after="0" w:line="140" w:lineRule="exact"/>
              <w:rPr>
                <w:sz w:val="20"/>
                <w:szCs w:val="20"/>
                <w:color w:val="auto"/>
              </w:rPr>
            </w:pPr>
            <w:r>
              <w:rPr>
                <w:rFonts w:ascii="Arial" w:cs="Arial" w:eastAsia="Arial" w:hAnsi="Arial"/>
                <w:sz w:val="16"/>
                <w:szCs w:val="16"/>
                <w:color w:val="auto"/>
              </w:rPr>
              <w:t>(Down 0-2%</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1700" w:type="dxa"/>
            <w:vAlign w:val="bottom"/>
            <w:vMerge w:val="restart"/>
          </w:tcPr>
          <w:p>
            <w:pPr>
              <w:ind w:left="160"/>
              <w:spacing w:after="0"/>
              <w:rPr>
                <w:sz w:val="20"/>
                <w:szCs w:val="20"/>
                <w:color w:val="auto"/>
              </w:rPr>
            </w:pPr>
            <w:r>
              <w:rPr>
                <w:rFonts w:ascii="Arial" w:cs="Arial" w:eastAsia="Arial" w:hAnsi="Arial"/>
                <w:sz w:val="29"/>
                <w:szCs w:val="29"/>
                <w:color w:val="auto"/>
              </w:rPr>
              <w:t>Down 18-</w:t>
            </w:r>
          </w:p>
        </w:tc>
        <w:tc>
          <w:tcPr>
            <w:tcW w:w="1760" w:type="dxa"/>
            <w:vAlign w:val="bottom"/>
          </w:tcPr>
          <w:p>
            <w:pPr>
              <w:jc w:val="center"/>
              <w:ind w:left="9"/>
              <w:spacing w:after="0" w:line="262" w:lineRule="exact"/>
              <w:rPr>
                <w:sz w:val="20"/>
                <w:szCs w:val="20"/>
                <w:color w:val="auto"/>
              </w:rPr>
            </w:pPr>
            <w:r>
              <w:rPr>
                <w:rFonts w:ascii="Arial" w:cs="Arial" w:eastAsia="Arial" w:hAnsi="Arial"/>
                <w:sz w:val="29"/>
                <w:szCs w:val="29"/>
                <w:color w:val="auto"/>
                <w:w w:val="96"/>
              </w:rPr>
              <w:t>CC)</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700" w:type="dxa"/>
            <w:vAlign w:val="bottom"/>
            <w:vMerge w:val="continue"/>
          </w:tcPr>
          <w:p>
            <w:pPr>
              <w:spacing w:after="0"/>
              <w:rPr>
                <w:sz w:val="15"/>
                <w:szCs w:val="15"/>
                <w:color w:val="auto"/>
              </w:rPr>
            </w:pPr>
          </w:p>
        </w:tc>
        <w:tc>
          <w:tcPr>
            <w:tcW w:w="3060" w:type="dxa"/>
            <w:vAlign w:val="bottom"/>
            <w:gridSpan w:val="2"/>
          </w:tcPr>
          <w:p>
            <w:pPr>
              <w:jc w:val="right"/>
              <w:ind w:right="315"/>
              <w:spacing w:after="0" w:line="173" w:lineRule="exact"/>
              <w:rPr>
                <w:sz w:val="20"/>
                <w:szCs w:val="20"/>
                <w:color w:val="auto"/>
              </w:rPr>
            </w:pPr>
            <w:r>
              <w:rPr>
                <w:rFonts w:ascii="Arial" w:cs="Arial" w:eastAsia="Arial" w:hAnsi="Arial"/>
                <w:sz w:val="20"/>
                <w:szCs w:val="20"/>
                <w:color w:val="auto"/>
              </w:rPr>
              <w:t>(Down 23-25%</w:t>
            </w:r>
          </w:p>
        </w:tc>
        <w:tc>
          <w:tcPr>
            <w:tcW w:w="0" w:type="dxa"/>
            <w:vAlign w:val="bottom"/>
          </w:tcPr>
          <w:p>
            <w:pPr>
              <w:spacing w:after="0"/>
              <w:rPr>
                <w:sz w:val="1"/>
                <w:szCs w:val="1"/>
                <w:color w:val="auto"/>
              </w:rPr>
            </w:pPr>
          </w:p>
        </w:tc>
      </w:tr>
      <w:tr>
        <w:trPr>
          <w:trHeight w:val="262"/>
        </w:trPr>
        <w:tc>
          <w:tcPr>
            <w:tcW w:w="1700" w:type="dxa"/>
            <w:vAlign w:val="bottom"/>
          </w:tcPr>
          <w:p>
            <w:pPr>
              <w:spacing w:after="0" w:line="262" w:lineRule="exact"/>
              <w:rPr>
                <w:sz w:val="20"/>
                <w:szCs w:val="20"/>
                <w:color w:val="auto"/>
              </w:rPr>
            </w:pPr>
            <w:r>
              <w:rPr>
                <w:rFonts w:ascii="Arial" w:cs="Arial" w:eastAsia="Arial" w:hAnsi="Arial"/>
                <w:sz w:val="29"/>
                <w:szCs w:val="29"/>
                <w:color w:val="auto"/>
              </w:rPr>
              <w:t>20%</w:t>
            </w:r>
          </w:p>
        </w:tc>
        <w:tc>
          <w:tcPr>
            <w:tcW w:w="3060" w:type="dxa"/>
            <w:vAlign w:val="bottom"/>
            <w:gridSpan w:val="2"/>
          </w:tcPr>
          <w:p>
            <w:pPr>
              <w:jc w:val="right"/>
              <w:ind w:right="1015"/>
              <w:spacing w:after="0" w:line="262" w:lineRule="exact"/>
              <w:rPr>
                <w:sz w:val="20"/>
                <w:szCs w:val="20"/>
                <w:color w:val="auto"/>
              </w:rPr>
            </w:pPr>
            <w:r>
              <w:rPr>
                <w:rFonts w:ascii="Arial" w:cs="Arial" w:eastAsia="Arial" w:hAnsi="Arial"/>
                <w:sz w:val="29"/>
                <w:szCs w:val="29"/>
                <w:color w:val="auto"/>
              </w:rPr>
              <w:t>CC)</w:t>
            </w:r>
          </w:p>
        </w:tc>
        <w:tc>
          <w:tcPr>
            <w:tcW w:w="0" w:type="dxa"/>
            <w:vAlign w:val="bottom"/>
          </w:tcPr>
          <w:p>
            <w:pPr>
              <w:spacing w:after="0"/>
              <w:rPr>
                <w:sz w:val="1"/>
                <w:szCs w:val="1"/>
                <w:color w:val="auto"/>
              </w:rPr>
            </w:pPr>
          </w:p>
        </w:tc>
      </w:tr>
      <w:tr>
        <w:trPr>
          <w:trHeight w:val="129"/>
        </w:trPr>
        <w:tc>
          <w:tcPr>
            <w:tcW w:w="1700" w:type="dxa"/>
            <w:vAlign w:val="bottom"/>
          </w:tcPr>
          <w:p>
            <w:pPr>
              <w:ind w:left="460"/>
              <w:spacing w:after="0" w:line="129" w:lineRule="exact"/>
              <w:rPr>
                <w:sz w:val="20"/>
                <w:szCs w:val="20"/>
                <w:color w:val="auto"/>
              </w:rPr>
            </w:pPr>
            <w:r>
              <w:rPr>
                <w:rFonts w:ascii="Arial" w:cs="Arial" w:eastAsia="Arial" w:hAnsi="Arial"/>
                <w:sz w:val="14"/>
                <w:szCs w:val="14"/>
                <w:color w:val="auto"/>
              </w:rPr>
              <w:t>Down 20-</w:t>
            </w:r>
          </w:p>
        </w:tc>
        <w:tc>
          <w:tcPr>
            <w:tcW w:w="1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1700" w:type="dxa"/>
            <w:vAlign w:val="bottom"/>
          </w:tcPr>
          <w:p>
            <w:pPr>
              <w:jc w:val="right"/>
              <w:ind w:right="261"/>
              <w:spacing w:after="0" w:line="262" w:lineRule="exact"/>
              <w:rPr>
                <w:sz w:val="20"/>
                <w:szCs w:val="20"/>
                <w:color w:val="auto"/>
              </w:rPr>
            </w:pPr>
            <w:r>
              <w:rPr>
                <w:rFonts w:ascii="Arial" w:cs="Arial" w:eastAsia="Arial" w:hAnsi="Arial"/>
                <w:sz w:val="29"/>
                <w:szCs w:val="29"/>
                <w:color w:val="auto"/>
              </w:rPr>
              <w:t>22%</w:t>
            </w:r>
          </w:p>
        </w:tc>
        <w:tc>
          <w:tcPr>
            <w:tcW w:w="1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1700" w:type="dxa"/>
            <w:vAlign w:val="bottom"/>
          </w:tcPr>
          <w:p>
            <w:pPr>
              <w:ind w:left="180"/>
              <w:spacing w:after="0"/>
              <w:rPr>
                <w:sz w:val="20"/>
                <w:szCs w:val="20"/>
                <w:color w:val="auto"/>
              </w:rPr>
            </w:pPr>
            <w:r>
              <w:rPr>
                <w:rFonts w:ascii="Arial" w:cs="Arial" w:eastAsia="Arial" w:hAnsi="Arial"/>
                <w:sz w:val="29"/>
                <w:szCs w:val="29"/>
                <w:color w:val="auto"/>
              </w:rPr>
              <w:t>16.8-17.0%</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700" w:type="dxa"/>
            <w:vAlign w:val="bottom"/>
          </w:tcPr>
          <w:p>
            <w:pPr>
              <w:jc w:val="right"/>
              <w:ind w:right="261"/>
              <w:spacing w:after="0"/>
              <w:rPr>
                <w:sz w:val="20"/>
                <w:szCs w:val="20"/>
                <w:color w:val="auto"/>
              </w:rPr>
            </w:pPr>
            <w:r>
              <w:rPr>
                <w:rFonts w:ascii="Arial" w:cs="Arial" w:eastAsia="Arial" w:hAnsi="Arial"/>
                <w:sz w:val="29"/>
                <w:szCs w:val="29"/>
                <w:color w:val="auto"/>
              </w:rPr>
              <w:t>(0.2) -</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700" w:type="dxa"/>
            <w:vAlign w:val="bottom"/>
          </w:tcPr>
          <w:p>
            <w:pPr>
              <w:ind w:left="600"/>
              <w:spacing w:after="0" w:line="262" w:lineRule="exact"/>
              <w:rPr>
                <w:sz w:val="20"/>
                <w:szCs w:val="20"/>
                <w:color w:val="auto"/>
              </w:rPr>
            </w:pPr>
            <w:r>
              <w:rPr>
                <w:rFonts w:ascii="Arial" w:cs="Arial" w:eastAsia="Arial" w:hAnsi="Arial"/>
                <w:sz w:val="29"/>
                <w:szCs w:val="29"/>
                <w:color w:val="auto"/>
              </w:rPr>
              <w:t>0.2%</w:t>
            </w:r>
          </w:p>
        </w:tc>
        <w:tc>
          <w:tcPr>
            <w:tcW w:w="1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1700" w:type="dxa"/>
            <w:vAlign w:val="bottom"/>
          </w:tcPr>
          <w:p>
            <w:pPr>
              <w:ind w:left="200"/>
              <w:spacing w:after="0"/>
              <w:rPr>
                <w:sz w:val="20"/>
                <w:szCs w:val="20"/>
                <w:color w:val="auto"/>
              </w:rPr>
            </w:pPr>
            <w:r>
              <w:rPr>
                <w:rFonts w:ascii="Arial" w:cs="Arial" w:eastAsia="Arial" w:hAnsi="Arial"/>
                <w:sz w:val="29"/>
                <w:szCs w:val="29"/>
                <w:color w:val="auto"/>
              </w:rPr>
              <w:t>40%</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3460" w:type="dxa"/>
            <w:vAlign w:val="bottom"/>
            <w:gridSpan w:val="2"/>
          </w:tcPr>
          <w:p>
            <w:pPr>
              <w:ind w:left="160"/>
              <w:spacing w:after="0"/>
              <w:rPr>
                <w:sz w:val="20"/>
                <w:szCs w:val="20"/>
                <w:color w:val="auto"/>
              </w:rPr>
            </w:pPr>
            <w:r>
              <w:rPr>
                <w:rFonts w:ascii="Arial" w:cs="Arial" w:eastAsia="Arial" w:hAnsi="Arial"/>
                <w:sz w:val="29"/>
                <w:szCs w:val="29"/>
                <w:color w:val="auto"/>
              </w:rPr>
              <w:t>Loss of $0.05-$0.15</w:t>
            </w:r>
          </w:p>
        </w:tc>
        <w:tc>
          <w:tcPr>
            <w:tcW w:w="1300" w:type="dxa"/>
            <w:vAlign w:val="bottom"/>
          </w:tcPr>
          <w:p>
            <w:pPr>
              <w:jc w:val="right"/>
              <w:spacing w:after="0"/>
              <w:rPr>
                <w:sz w:val="20"/>
                <w:szCs w:val="20"/>
                <w:color w:val="auto"/>
              </w:rPr>
            </w:pPr>
            <w:r>
              <w:rPr>
                <w:rFonts w:ascii="Arial" w:cs="Arial" w:eastAsia="Arial" w:hAnsi="Arial"/>
                <w:sz w:val="29"/>
                <w:szCs w:val="29"/>
                <w:color w:val="auto"/>
                <w:w w:val="96"/>
              </w:rPr>
              <w:t>(Pos. $.03</w:t>
            </w:r>
          </w:p>
        </w:tc>
        <w:tc>
          <w:tcPr>
            <w:tcW w:w="0" w:type="dxa"/>
            <w:vAlign w:val="bottom"/>
          </w:tcPr>
          <w:p>
            <w:pPr>
              <w:spacing w:after="0"/>
              <w:rPr>
                <w:sz w:val="1"/>
                <w:szCs w:val="1"/>
                <w:color w:val="auto"/>
              </w:rPr>
            </w:pPr>
          </w:p>
        </w:tc>
      </w:tr>
      <w:tr>
        <w:trPr>
          <w:trHeight w:val="348"/>
        </w:trPr>
        <w:tc>
          <w:tcPr>
            <w:tcW w:w="1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9"/>
                <w:szCs w:val="29"/>
                <w:color w:val="auto"/>
              </w:rPr>
              <w:t>Currency)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654050</wp:posOffset>
            </wp:positionV>
            <wp:extent cx="727900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2">
            <w:col w:w="3640" w:space="380"/>
            <w:col w:w="5460"/>
          </w:cols>
          <w:pgMar w:left="1180" w:top="380" w:right="123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59"/>
        <w:spacing w:after="0"/>
        <w:rPr>
          <w:sz w:val="20"/>
          <w:szCs w:val="20"/>
          <w:color w:val="auto"/>
        </w:rPr>
      </w:pPr>
      <w:r>
        <w:rPr>
          <w:rFonts w:ascii="Arial" w:cs="Arial" w:eastAsia="Arial" w:hAnsi="Arial"/>
          <w:sz w:val="25"/>
          <w:szCs w:val="25"/>
          <w:color w:val="5F81AA"/>
        </w:rPr>
        <w:t>MANPOWER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60"/>
        <w:spacing w:after="0"/>
        <w:rPr>
          <w:sz w:val="20"/>
          <w:szCs w:val="20"/>
          <w:color w:val="auto"/>
        </w:rPr>
      </w:pPr>
      <w:r>
        <w:rPr>
          <w:rFonts w:ascii="Arial" w:cs="Arial" w:eastAsia="Arial" w:hAnsi="Arial"/>
          <w:sz w:val="52"/>
          <w:szCs w:val="52"/>
          <w:color w:val="FFFFFF"/>
        </w:rPr>
        <w:t>COMSYS</w:t>
      </w:r>
    </w:p>
    <w:p>
      <w:pPr>
        <w:ind w:left="6780"/>
        <w:spacing w:after="0"/>
        <w:rPr>
          <w:sz w:val="20"/>
          <w:szCs w:val="20"/>
          <w:color w:val="auto"/>
        </w:rPr>
      </w:pPr>
      <w:r>
        <w:rPr>
          <w:rFonts w:ascii="Arial" w:cs="Arial" w:eastAsia="Arial" w:hAnsi="Arial"/>
          <w:sz w:val="32"/>
          <w:szCs w:val="32"/>
          <w:color w:val="FFFFFF"/>
        </w:rPr>
        <w:t>Acquisition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20"/>
        <w:spacing w:after="0"/>
        <w:tabs>
          <w:tab w:leader="none" w:pos="7340" w:val="left"/>
        </w:tabs>
        <w:rPr>
          <w:sz w:val="20"/>
          <w:szCs w:val="20"/>
          <w:color w:val="auto"/>
        </w:rPr>
      </w:pPr>
      <w:r>
        <w:rPr>
          <w:rFonts w:ascii="Arial" w:cs="Arial" w:eastAsia="Arial" w:hAnsi="Arial"/>
          <w:sz w:val="25"/>
          <w:szCs w:val="25"/>
          <w:color w:val="auto"/>
        </w:rPr>
        <w:t>2010</w:t>
      </w:r>
      <w:r>
        <w:rPr>
          <w:sz w:val="20"/>
          <w:szCs w:val="20"/>
          <w:color w:val="auto"/>
        </w:rPr>
        <w:tab/>
      </w:r>
      <w:r>
        <w:rPr>
          <w:rFonts w:ascii="Arial" w:cs="Arial" w:eastAsia="Arial" w:hAnsi="Arial"/>
          <w:sz w:val="24"/>
          <w:szCs w:val="24"/>
          <w:color w:val="auto"/>
        </w:rPr>
        <w:t>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1503680</wp:posOffset>
            </wp:positionV>
            <wp:extent cx="727900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tbl>
      <w:tblPr>
        <w:tblLayout w:type="fixed"/>
        <w:tblInd w:w="80" w:type="dxa"/>
        <w:tblCellMar>
          <w:top w:w="0" w:type="dxa"/>
          <w:left w:w="0" w:type="dxa"/>
          <w:bottom w:w="0" w:type="dxa"/>
          <w:right w:w="0" w:type="dxa"/>
        </w:tblCellMar>
      </w:tblPr>
      <w:tr>
        <w:trPr>
          <w:trHeight w:val="255"/>
        </w:trPr>
        <w:tc>
          <w:tcPr>
            <w:tcW w:w="6160" w:type="dxa"/>
            <w:vAlign w:val="bottom"/>
          </w:tcPr>
          <w:p>
            <w:pPr>
              <w:spacing w:after="0"/>
              <w:rPr>
                <w:sz w:val="20"/>
                <w:szCs w:val="20"/>
                <w:color w:val="auto"/>
              </w:rPr>
            </w:pPr>
            <w:r>
              <w:rPr>
                <w:rFonts w:ascii="Arial" w:cs="Arial" w:eastAsia="Arial" w:hAnsi="Arial"/>
                <w:sz w:val="20"/>
                <w:szCs w:val="20"/>
                <w:color w:val="FFFFFF"/>
              </w:rPr>
              <w:t>Manpower Inc. - COMSYS Acquisition</w:t>
            </w:r>
          </w:p>
        </w:tc>
        <w:tc>
          <w:tcPr>
            <w:tcW w:w="2980" w:type="dxa"/>
            <w:vAlign w:val="bottom"/>
          </w:tcPr>
          <w:p>
            <w:pPr>
              <w:jc w:val="right"/>
              <w:spacing w:after="0"/>
              <w:rPr>
                <w:sz w:val="20"/>
                <w:szCs w:val="20"/>
                <w:color w:val="auto"/>
              </w:rPr>
            </w:pPr>
            <w:r>
              <w:rPr>
                <w:rFonts w:ascii="Arial" w:cs="Arial" w:eastAsia="Arial" w:hAnsi="Arial"/>
                <w:sz w:val="20"/>
                <w:szCs w:val="20"/>
                <w:color w:val="FFFFFF"/>
              </w:rPr>
              <w:t>22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Arial" w:cs="Arial" w:eastAsia="Arial" w:hAnsi="Arial"/>
          <w:sz w:val="44"/>
          <w:szCs w:val="44"/>
          <w:color w:val="5F81AA"/>
        </w:rPr>
        <w:t>Strategic Rationale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 w:hanging="324"/>
        <w:spacing w:after="0"/>
        <w:tabs>
          <w:tab w:leader="none" w:pos="400" w:val="left"/>
        </w:tabs>
        <w:numPr>
          <w:ilvl w:val="0"/>
          <w:numId w:val="25"/>
        </w:numPr>
        <w:rPr>
          <w:rFonts w:ascii="Arial" w:cs="Arial" w:eastAsia="Arial" w:hAnsi="Arial"/>
          <w:sz w:val="35"/>
          <w:szCs w:val="35"/>
          <w:color w:val="5F81AA"/>
        </w:rPr>
      </w:pPr>
      <w:r>
        <w:rPr>
          <w:rFonts w:ascii="Arial" w:cs="Arial" w:eastAsia="Arial" w:hAnsi="Arial"/>
          <w:sz w:val="35"/>
          <w:szCs w:val="35"/>
          <w:color w:val="auto"/>
        </w:rPr>
        <w:t>Increased capability to service clients’ IT requirements</w:t>
      </w:r>
    </w:p>
    <w:p>
      <w:pPr>
        <w:spacing w:after="0" w:line="271" w:lineRule="exact"/>
        <w:rPr>
          <w:rFonts w:ascii="Arial" w:cs="Arial" w:eastAsia="Arial" w:hAnsi="Arial"/>
          <w:sz w:val="35"/>
          <w:szCs w:val="35"/>
          <w:color w:val="5F81AA"/>
        </w:rPr>
      </w:pPr>
    </w:p>
    <w:p>
      <w:pPr>
        <w:ind w:left="400" w:hanging="324"/>
        <w:spacing w:after="0"/>
        <w:tabs>
          <w:tab w:leader="none" w:pos="400" w:val="left"/>
        </w:tabs>
        <w:numPr>
          <w:ilvl w:val="0"/>
          <w:numId w:val="25"/>
        </w:numPr>
        <w:rPr>
          <w:rFonts w:ascii="Arial" w:cs="Arial" w:eastAsia="Arial" w:hAnsi="Arial"/>
          <w:sz w:val="35"/>
          <w:szCs w:val="35"/>
          <w:color w:val="5F81AA"/>
        </w:rPr>
      </w:pPr>
      <w:r>
        <w:rPr>
          <w:rFonts w:ascii="Arial" w:cs="Arial" w:eastAsia="Arial" w:hAnsi="Arial"/>
          <w:sz w:val="35"/>
          <w:szCs w:val="35"/>
          <w:color w:val="auto"/>
        </w:rPr>
        <w:t>Stronger platform in higher growth market</w:t>
      </w:r>
    </w:p>
    <w:p>
      <w:pPr>
        <w:spacing w:after="0" w:line="282" w:lineRule="exact"/>
        <w:rPr>
          <w:rFonts w:ascii="Arial" w:cs="Arial" w:eastAsia="Arial" w:hAnsi="Arial"/>
          <w:sz w:val="35"/>
          <w:szCs w:val="35"/>
          <w:color w:val="5F81AA"/>
        </w:rPr>
      </w:pPr>
    </w:p>
    <w:p>
      <w:pPr>
        <w:ind w:left="400" w:right="880" w:hanging="324"/>
        <w:spacing w:after="0" w:line="270" w:lineRule="auto"/>
        <w:tabs>
          <w:tab w:leader="none" w:pos="402" w:val="left"/>
        </w:tabs>
        <w:numPr>
          <w:ilvl w:val="0"/>
          <w:numId w:val="25"/>
        </w:numPr>
        <w:rPr>
          <w:rFonts w:ascii="Arial" w:cs="Arial" w:eastAsia="Arial" w:hAnsi="Arial"/>
          <w:sz w:val="34"/>
          <w:szCs w:val="34"/>
          <w:color w:val="5F81AA"/>
        </w:rPr>
      </w:pPr>
      <w:r>
        <w:rPr>
          <w:rFonts w:ascii="Arial" w:cs="Arial" w:eastAsia="Arial" w:hAnsi="Arial"/>
          <w:sz w:val="34"/>
          <w:szCs w:val="34"/>
          <w:color w:val="auto"/>
        </w:rPr>
        <w:t>Enhances business mix, with over 20% of company revenue now coming from specialty services</w:t>
      </w:r>
    </w:p>
    <w:p>
      <w:pPr>
        <w:spacing w:after="0" w:line="218" w:lineRule="exact"/>
        <w:rPr>
          <w:rFonts w:ascii="Arial" w:cs="Arial" w:eastAsia="Arial" w:hAnsi="Arial"/>
          <w:sz w:val="34"/>
          <w:szCs w:val="34"/>
          <w:color w:val="5F81AA"/>
        </w:rPr>
      </w:pPr>
    </w:p>
    <w:p>
      <w:pPr>
        <w:ind w:left="400" w:hanging="324"/>
        <w:spacing w:after="0"/>
        <w:tabs>
          <w:tab w:leader="none" w:pos="400" w:val="left"/>
        </w:tabs>
        <w:numPr>
          <w:ilvl w:val="0"/>
          <w:numId w:val="25"/>
        </w:numPr>
        <w:rPr>
          <w:rFonts w:ascii="Arial" w:cs="Arial" w:eastAsia="Arial" w:hAnsi="Arial"/>
          <w:sz w:val="35"/>
          <w:szCs w:val="35"/>
          <w:color w:val="5F81AA"/>
        </w:rPr>
      </w:pPr>
      <w:r>
        <w:rPr>
          <w:rFonts w:ascii="Arial" w:cs="Arial" w:eastAsia="Arial" w:hAnsi="Arial"/>
          <w:sz w:val="35"/>
          <w:szCs w:val="35"/>
          <w:color w:val="auto"/>
        </w:rPr>
        <w:t>Good cultural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1640840</wp:posOffset>
            </wp:positionV>
            <wp:extent cx="727900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sectPr>
      </w:pPr>
    </w:p>
    <w:bookmarkStart w:id="33" w:name="page34"/>
    <w:bookmarkEnd w:id="33"/>
    <w:tbl>
      <w:tblPr>
        <w:tblLayout w:type="fixed"/>
        <w:tblInd w:w="80" w:type="dxa"/>
        <w:tblCellMar>
          <w:top w:w="0" w:type="dxa"/>
          <w:left w:w="0" w:type="dxa"/>
          <w:bottom w:w="0" w:type="dxa"/>
          <w:right w:w="0" w:type="dxa"/>
        </w:tblCellMar>
      </w:tblPr>
      <w:tr>
        <w:trPr>
          <w:trHeight w:val="255"/>
        </w:trPr>
        <w:tc>
          <w:tcPr>
            <w:tcW w:w="6160" w:type="dxa"/>
            <w:vAlign w:val="bottom"/>
          </w:tcPr>
          <w:p>
            <w:pPr>
              <w:spacing w:after="0"/>
              <w:rPr>
                <w:sz w:val="20"/>
                <w:szCs w:val="20"/>
                <w:color w:val="auto"/>
              </w:rPr>
            </w:pPr>
            <w:r>
              <w:rPr>
                <w:rFonts w:ascii="Arial" w:cs="Arial" w:eastAsia="Arial" w:hAnsi="Arial"/>
                <w:sz w:val="20"/>
                <w:szCs w:val="20"/>
                <w:color w:val="FFFFFF"/>
              </w:rPr>
              <w:t>Manpower Inc. - COMSYS Acquisition</w:t>
            </w:r>
          </w:p>
        </w:tc>
        <w:tc>
          <w:tcPr>
            <w:tcW w:w="2980" w:type="dxa"/>
            <w:vAlign w:val="bottom"/>
          </w:tcPr>
          <w:p>
            <w:pPr>
              <w:jc w:val="right"/>
              <w:spacing w:after="0"/>
              <w:rPr>
                <w:sz w:val="20"/>
                <w:szCs w:val="20"/>
                <w:color w:val="auto"/>
              </w:rPr>
            </w:pPr>
            <w:r>
              <w:rPr>
                <w:rFonts w:ascii="Arial" w:cs="Arial" w:eastAsia="Arial" w:hAnsi="Arial"/>
                <w:sz w:val="20"/>
                <w:szCs w:val="20"/>
                <w:color w:val="FFFFFF"/>
              </w:rPr>
              <w:t>23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Arial" w:cs="Arial" w:eastAsia="Arial" w:hAnsi="Arial"/>
          <w:sz w:val="44"/>
          <w:szCs w:val="44"/>
          <w:color w:val="6698C2"/>
        </w:rPr>
        <w:t>COMSYS Business Overview</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 w:hanging="324"/>
        <w:spacing w:after="0"/>
        <w:tabs>
          <w:tab w:leader="none" w:pos="400" w:val="left"/>
        </w:tabs>
        <w:numPr>
          <w:ilvl w:val="0"/>
          <w:numId w:val="26"/>
        </w:numPr>
        <w:rPr>
          <w:rFonts w:ascii="Arial" w:cs="Arial" w:eastAsia="Arial" w:hAnsi="Arial"/>
          <w:sz w:val="35"/>
          <w:szCs w:val="35"/>
          <w:color w:val="6698C2"/>
        </w:rPr>
      </w:pPr>
      <w:r>
        <w:rPr>
          <w:rFonts w:ascii="Arial" w:cs="Arial" w:eastAsia="Arial" w:hAnsi="Arial"/>
          <w:sz w:val="35"/>
          <w:szCs w:val="35"/>
          <w:color w:val="auto"/>
        </w:rPr>
        <w:t>Third largest IT staffing and managed solutions company</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35"/>
          <w:szCs w:val="35"/>
          <w:color w:val="auto"/>
        </w:rPr>
        <w:t>in the U.S. with $650 million in revenue</w:t>
      </w:r>
    </w:p>
    <w:p>
      <w:pPr>
        <w:spacing w:after="0" w:line="68" w:lineRule="exact"/>
        <w:rPr>
          <w:sz w:val="20"/>
          <w:szCs w:val="20"/>
          <w:color w:val="auto"/>
        </w:rPr>
      </w:pPr>
    </w:p>
    <w:tbl>
      <w:tblPr>
        <w:tblLayout w:type="fixed"/>
        <w:tblInd w:w="400" w:type="dxa"/>
        <w:tblCellMar>
          <w:top w:w="0" w:type="dxa"/>
          <w:left w:w="0" w:type="dxa"/>
          <w:bottom w:w="0" w:type="dxa"/>
          <w:right w:w="0" w:type="dxa"/>
        </w:tblCellMar>
      </w:tblPr>
      <w:tr>
        <w:trPr>
          <w:trHeight w:val="314"/>
        </w:trPr>
        <w:tc>
          <w:tcPr>
            <w:tcW w:w="220" w:type="dxa"/>
            <w:vAlign w:val="bottom"/>
          </w:tcPr>
          <w:p>
            <w:pPr>
              <w:spacing w:after="0"/>
              <w:rPr>
                <w:sz w:val="20"/>
                <w:szCs w:val="20"/>
                <w:color w:val="auto"/>
              </w:rPr>
            </w:pPr>
            <w:r>
              <w:rPr>
                <w:rFonts w:ascii="Arial" w:cs="Arial" w:eastAsia="Arial" w:hAnsi="Arial"/>
                <w:sz w:val="26"/>
                <w:szCs w:val="26"/>
                <w:color w:val="6698C2"/>
              </w:rPr>
              <w:t>–</w:t>
            </w:r>
          </w:p>
        </w:tc>
        <w:tc>
          <w:tcPr>
            <w:tcW w:w="2900" w:type="dxa"/>
            <w:vAlign w:val="bottom"/>
          </w:tcPr>
          <w:p>
            <w:pPr>
              <w:ind w:left="100"/>
              <w:spacing w:after="0"/>
              <w:rPr>
                <w:sz w:val="20"/>
                <w:szCs w:val="20"/>
                <w:color w:val="auto"/>
              </w:rPr>
            </w:pPr>
            <w:r>
              <w:rPr>
                <w:rFonts w:ascii="Arial" w:cs="Arial" w:eastAsia="Arial" w:hAnsi="Arial"/>
                <w:sz w:val="26"/>
                <w:szCs w:val="26"/>
                <w:color w:val="auto"/>
              </w:rPr>
              <w:t>Project Management</w:t>
            </w:r>
          </w:p>
        </w:tc>
        <w:tc>
          <w:tcPr>
            <w:tcW w:w="5680" w:type="dxa"/>
            <w:vAlign w:val="bottom"/>
          </w:tcPr>
          <w:p>
            <w:pPr>
              <w:ind w:left="240"/>
              <w:spacing w:after="0"/>
              <w:rPr>
                <w:sz w:val="20"/>
                <w:szCs w:val="20"/>
                <w:color w:val="auto"/>
              </w:rPr>
            </w:pPr>
            <w:r>
              <w:rPr>
                <w:rFonts w:ascii="Arial" w:cs="Arial" w:eastAsia="Arial" w:hAnsi="Arial"/>
                <w:sz w:val="26"/>
                <w:szCs w:val="26"/>
                <w:color w:val="5F81AA"/>
              </w:rPr>
              <w:t xml:space="preserve">– </w:t>
            </w:r>
            <w:r>
              <w:rPr>
                <w:rFonts w:ascii="Arial" w:cs="Arial" w:eastAsia="Arial" w:hAnsi="Arial"/>
                <w:sz w:val="26"/>
                <w:szCs w:val="26"/>
                <w:color w:val="000000"/>
              </w:rPr>
              <w:t>Applications Programming and Development</w:t>
            </w:r>
          </w:p>
        </w:tc>
      </w:tr>
      <w:tr>
        <w:trPr>
          <w:trHeight w:val="381"/>
        </w:trPr>
        <w:tc>
          <w:tcPr>
            <w:tcW w:w="220" w:type="dxa"/>
            <w:vAlign w:val="bottom"/>
          </w:tcPr>
          <w:p>
            <w:pPr>
              <w:spacing w:after="0"/>
              <w:rPr>
                <w:sz w:val="20"/>
                <w:szCs w:val="20"/>
                <w:color w:val="auto"/>
              </w:rPr>
            </w:pPr>
            <w:r>
              <w:rPr>
                <w:rFonts w:ascii="Arial" w:cs="Arial" w:eastAsia="Arial" w:hAnsi="Arial"/>
                <w:sz w:val="26"/>
                <w:szCs w:val="26"/>
                <w:color w:val="6698C2"/>
              </w:rPr>
              <w:t>–</w:t>
            </w:r>
          </w:p>
        </w:tc>
        <w:tc>
          <w:tcPr>
            <w:tcW w:w="2900" w:type="dxa"/>
            <w:vAlign w:val="bottom"/>
          </w:tcPr>
          <w:p>
            <w:pPr>
              <w:ind w:left="100"/>
              <w:spacing w:after="0"/>
              <w:rPr>
                <w:sz w:val="20"/>
                <w:szCs w:val="20"/>
                <w:color w:val="auto"/>
              </w:rPr>
            </w:pPr>
            <w:r>
              <w:rPr>
                <w:rFonts w:ascii="Arial" w:cs="Arial" w:eastAsia="Arial" w:hAnsi="Arial"/>
                <w:sz w:val="26"/>
                <w:szCs w:val="26"/>
                <w:color w:val="auto"/>
              </w:rPr>
              <w:t>Business Analysis</w:t>
            </w:r>
          </w:p>
        </w:tc>
        <w:tc>
          <w:tcPr>
            <w:tcW w:w="5680" w:type="dxa"/>
            <w:vAlign w:val="bottom"/>
          </w:tcPr>
          <w:p>
            <w:pPr>
              <w:ind w:left="240"/>
              <w:spacing w:after="0"/>
              <w:rPr>
                <w:sz w:val="20"/>
                <w:szCs w:val="20"/>
                <w:color w:val="auto"/>
              </w:rPr>
            </w:pPr>
            <w:r>
              <w:rPr>
                <w:rFonts w:ascii="Arial" w:cs="Arial" w:eastAsia="Arial" w:hAnsi="Arial"/>
                <w:sz w:val="26"/>
                <w:szCs w:val="26"/>
                <w:color w:val="5F81AA"/>
              </w:rPr>
              <w:t xml:space="preserve">– </w:t>
            </w:r>
            <w:r>
              <w:rPr>
                <w:rFonts w:ascii="Arial" w:cs="Arial" w:eastAsia="Arial" w:hAnsi="Arial"/>
                <w:sz w:val="26"/>
                <w:szCs w:val="26"/>
                <w:color w:val="000000"/>
              </w:rPr>
              <w:t>Quality Assurance and Testing</w:t>
            </w:r>
          </w:p>
        </w:tc>
      </w:tr>
      <w:tr>
        <w:trPr>
          <w:trHeight w:val="370"/>
        </w:trPr>
        <w:tc>
          <w:tcPr>
            <w:tcW w:w="220" w:type="dxa"/>
            <w:vAlign w:val="bottom"/>
          </w:tcPr>
          <w:p>
            <w:pPr>
              <w:spacing w:after="0"/>
              <w:rPr>
                <w:sz w:val="20"/>
                <w:szCs w:val="20"/>
                <w:color w:val="auto"/>
              </w:rPr>
            </w:pPr>
            <w:r>
              <w:rPr>
                <w:rFonts w:ascii="Arial" w:cs="Arial" w:eastAsia="Arial" w:hAnsi="Arial"/>
                <w:sz w:val="26"/>
                <w:szCs w:val="26"/>
                <w:color w:val="6698C2"/>
              </w:rPr>
              <w:t>–</w:t>
            </w:r>
          </w:p>
        </w:tc>
        <w:tc>
          <w:tcPr>
            <w:tcW w:w="2900" w:type="dxa"/>
            <w:vAlign w:val="bottom"/>
          </w:tcPr>
          <w:p>
            <w:pPr>
              <w:ind w:left="100"/>
              <w:spacing w:after="0"/>
              <w:rPr>
                <w:sz w:val="20"/>
                <w:szCs w:val="20"/>
                <w:color w:val="auto"/>
              </w:rPr>
            </w:pPr>
            <w:r>
              <w:rPr>
                <w:rFonts w:ascii="Arial" w:cs="Arial" w:eastAsia="Arial" w:hAnsi="Arial"/>
                <w:sz w:val="26"/>
                <w:szCs w:val="26"/>
                <w:color w:val="auto"/>
              </w:rPr>
              <w:t>Network Infrastructure</w:t>
            </w:r>
          </w:p>
        </w:tc>
        <w:tc>
          <w:tcPr>
            <w:tcW w:w="5680" w:type="dxa"/>
            <w:vAlign w:val="bottom"/>
          </w:tcPr>
          <w:p>
            <w:pPr>
              <w:ind w:left="240"/>
              <w:spacing w:after="0"/>
              <w:rPr>
                <w:sz w:val="20"/>
                <w:szCs w:val="20"/>
                <w:color w:val="auto"/>
              </w:rPr>
            </w:pPr>
            <w:r>
              <w:rPr>
                <w:rFonts w:ascii="Arial" w:cs="Arial" w:eastAsia="Arial" w:hAnsi="Arial"/>
                <w:sz w:val="26"/>
                <w:szCs w:val="26"/>
                <w:color w:val="5F81AA"/>
              </w:rPr>
              <w:t xml:space="preserve">– </w:t>
            </w:r>
            <w:r>
              <w:rPr>
                <w:rFonts w:ascii="Arial" w:cs="Arial" w:eastAsia="Arial" w:hAnsi="Arial"/>
                <w:sz w:val="26"/>
                <w:szCs w:val="26"/>
                <w:color w:val="000000"/>
              </w:rPr>
              <w:t>Workforce Solutions (RPO and MSP)</w:t>
            </w:r>
          </w:p>
        </w:tc>
      </w:tr>
    </w:tbl>
    <w:p>
      <w:pPr>
        <w:spacing w:after="0" w:line="56" w:lineRule="exact"/>
        <w:rPr>
          <w:sz w:val="20"/>
          <w:szCs w:val="20"/>
          <w:color w:val="auto"/>
        </w:rPr>
      </w:pPr>
    </w:p>
    <w:p>
      <w:pPr>
        <w:ind w:left="400"/>
        <w:spacing w:after="0"/>
        <w:rPr>
          <w:sz w:val="20"/>
          <w:szCs w:val="20"/>
          <w:color w:val="auto"/>
        </w:rPr>
      </w:pPr>
      <w:r>
        <w:rPr>
          <w:rFonts w:ascii="Arial" w:cs="Arial" w:eastAsia="Arial" w:hAnsi="Arial"/>
          <w:sz w:val="26"/>
          <w:szCs w:val="26"/>
          <w:color w:val="6698C2"/>
        </w:rPr>
        <w:t xml:space="preserve">– </w:t>
      </w:r>
      <w:r>
        <w:rPr>
          <w:rFonts w:ascii="Arial" w:cs="Arial" w:eastAsia="Arial" w:hAnsi="Arial"/>
          <w:sz w:val="26"/>
          <w:szCs w:val="26"/>
          <w:color w:val="000000"/>
        </w:rPr>
        <w:t>Business Intelligence</w:t>
      </w:r>
    </w:p>
    <w:p>
      <w:pPr>
        <w:spacing w:after="0" w:line="296" w:lineRule="exact"/>
        <w:rPr>
          <w:sz w:val="20"/>
          <w:szCs w:val="20"/>
          <w:color w:val="auto"/>
        </w:rPr>
      </w:pPr>
    </w:p>
    <w:p>
      <w:pPr>
        <w:ind w:left="400" w:hanging="324"/>
        <w:spacing w:after="0"/>
        <w:tabs>
          <w:tab w:leader="none" w:pos="400" w:val="left"/>
        </w:tabs>
        <w:numPr>
          <w:ilvl w:val="0"/>
          <w:numId w:val="27"/>
        </w:numPr>
        <w:rPr>
          <w:rFonts w:ascii="Arial" w:cs="Arial" w:eastAsia="Arial" w:hAnsi="Arial"/>
          <w:sz w:val="35"/>
          <w:szCs w:val="35"/>
          <w:color w:val="6698C2"/>
        </w:rPr>
      </w:pPr>
      <w:r>
        <w:rPr>
          <w:rFonts w:ascii="Arial" w:cs="Arial" w:eastAsia="Arial" w:hAnsi="Arial"/>
          <w:sz w:val="35"/>
          <w:szCs w:val="35"/>
          <w:color w:val="auto"/>
        </w:rPr>
        <w:t>National footprint with 52 branches</w:t>
      </w:r>
    </w:p>
    <w:p>
      <w:pPr>
        <w:spacing w:after="0" w:line="271" w:lineRule="exact"/>
        <w:rPr>
          <w:rFonts w:ascii="Arial" w:cs="Arial" w:eastAsia="Arial" w:hAnsi="Arial"/>
          <w:sz w:val="35"/>
          <w:szCs w:val="35"/>
          <w:color w:val="6698C2"/>
        </w:rPr>
      </w:pPr>
    </w:p>
    <w:p>
      <w:pPr>
        <w:ind w:left="400" w:right="1200" w:hanging="324"/>
        <w:spacing w:after="0" w:line="256" w:lineRule="auto"/>
        <w:tabs>
          <w:tab w:leader="none" w:pos="402" w:val="left"/>
        </w:tabs>
        <w:numPr>
          <w:ilvl w:val="0"/>
          <w:numId w:val="27"/>
        </w:numPr>
        <w:rPr>
          <w:rFonts w:ascii="Arial" w:cs="Arial" w:eastAsia="Arial" w:hAnsi="Arial"/>
          <w:sz w:val="35"/>
          <w:szCs w:val="35"/>
          <w:color w:val="6698C2"/>
        </w:rPr>
      </w:pPr>
      <w:r>
        <w:rPr>
          <w:rFonts w:ascii="Arial" w:cs="Arial" w:eastAsia="Arial" w:hAnsi="Arial"/>
          <w:sz w:val="35"/>
          <w:szCs w:val="35"/>
          <w:color w:val="auto"/>
        </w:rPr>
        <w:t>Diversified client base across several high growth industry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833120</wp:posOffset>
            </wp:positionV>
            <wp:extent cx="727900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sectPr>
      </w:pPr>
    </w:p>
    <w:bookmarkStart w:id="34" w:name="page35"/>
    <w:bookmarkEnd w:id="34"/>
    <w:tbl>
      <w:tblPr>
        <w:tblLayout w:type="fixed"/>
        <w:tblInd w:w="80" w:type="dxa"/>
        <w:tblCellMar>
          <w:top w:w="0" w:type="dxa"/>
          <w:left w:w="0" w:type="dxa"/>
          <w:bottom w:w="0" w:type="dxa"/>
          <w:right w:w="0" w:type="dxa"/>
        </w:tblCellMar>
      </w:tblPr>
      <w:tr>
        <w:trPr>
          <w:trHeight w:val="255"/>
        </w:trPr>
        <w:tc>
          <w:tcPr>
            <w:tcW w:w="6160" w:type="dxa"/>
            <w:vAlign w:val="bottom"/>
          </w:tcPr>
          <w:p>
            <w:pPr>
              <w:spacing w:after="0"/>
              <w:rPr>
                <w:sz w:val="20"/>
                <w:szCs w:val="20"/>
                <w:color w:val="auto"/>
              </w:rPr>
            </w:pPr>
            <w:r>
              <w:rPr>
                <w:rFonts w:ascii="Arial" w:cs="Arial" w:eastAsia="Arial" w:hAnsi="Arial"/>
                <w:sz w:val="20"/>
                <w:szCs w:val="20"/>
                <w:color w:val="FFFFFF"/>
              </w:rPr>
              <w:t>Manpower Inc. - COMSYS Acquisition</w:t>
            </w:r>
          </w:p>
        </w:tc>
        <w:tc>
          <w:tcPr>
            <w:tcW w:w="2980" w:type="dxa"/>
            <w:vAlign w:val="bottom"/>
          </w:tcPr>
          <w:p>
            <w:pPr>
              <w:jc w:val="right"/>
              <w:spacing w:after="0"/>
              <w:rPr>
                <w:sz w:val="20"/>
                <w:szCs w:val="20"/>
                <w:color w:val="auto"/>
              </w:rPr>
            </w:pPr>
            <w:r>
              <w:rPr>
                <w:rFonts w:ascii="Arial" w:cs="Arial" w:eastAsia="Arial" w:hAnsi="Arial"/>
                <w:sz w:val="20"/>
                <w:szCs w:val="20"/>
                <w:color w:val="FFFFFF"/>
              </w:rPr>
              <w:t>24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Arial" w:cs="Arial" w:eastAsia="Arial" w:hAnsi="Arial"/>
          <w:sz w:val="44"/>
          <w:szCs w:val="44"/>
          <w:color w:val="6698C2"/>
        </w:rPr>
        <w:t>Combined Business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 w:right="1080" w:hanging="324"/>
        <w:spacing w:after="0" w:line="256" w:lineRule="auto"/>
        <w:tabs>
          <w:tab w:leader="none" w:pos="402" w:val="left"/>
        </w:tabs>
        <w:numPr>
          <w:ilvl w:val="0"/>
          <w:numId w:val="28"/>
        </w:numPr>
        <w:rPr>
          <w:rFonts w:ascii="Arial" w:cs="Arial" w:eastAsia="Arial" w:hAnsi="Arial"/>
          <w:sz w:val="35"/>
          <w:szCs w:val="35"/>
          <w:color w:val="6698C2"/>
        </w:rPr>
      </w:pPr>
      <w:r>
        <w:rPr>
          <w:rFonts w:ascii="Arial" w:cs="Arial" w:eastAsia="Arial" w:hAnsi="Arial"/>
          <w:sz w:val="35"/>
          <w:szCs w:val="35"/>
          <w:color w:val="auto"/>
        </w:rPr>
        <w:t>Combined revenue of Manpower Professional and COMSYS will be over $2.5 billion</w:t>
      </w:r>
    </w:p>
    <w:p>
      <w:pPr>
        <w:spacing w:after="0" w:line="240" w:lineRule="exact"/>
        <w:rPr>
          <w:rFonts w:ascii="Arial" w:cs="Arial" w:eastAsia="Arial" w:hAnsi="Arial"/>
          <w:sz w:val="35"/>
          <w:szCs w:val="35"/>
          <w:color w:val="6698C2"/>
        </w:rPr>
      </w:pPr>
    </w:p>
    <w:p>
      <w:pPr>
        <w:ind w:left="400" w:right="580" w:hanging="324"/>
        <w:spacing w:after="0" w:line="256" w:lineRule="auto"/>
        <w:tabs>
          <w:tab w:leader="none" w:pos="402" w:val="left"/>
        </w:tabs>
        <w:numPr>
          <w:ilvl w:val="0"/>
          <w:numId w:val="28"/>
        </w:numPr>
        <w:rPr>
          <w:rFonts w:ascii="Arial" w:cs="Arial" w:eastAsia="Arial" w:hAnsi="Arial"/>
          <w:sz w:val="35"/>
          <w:szCs w:val="35"/>
          <w:color w:val="6698C2"/>
        </w:rPr>
      </w:pPr>
      <w:r>
        <w:rPr>
          <w:rFonts w:ascii="Arial" w:cs="Arial" w:eastAsia="Arial" w:hAnsi="Arial"/>
          <w:sz w:val="35"/>
          <w:szCs w:val="35"/>
          <w:color w:val="auto"/>
        </w:rPr>
        <w:t>Combined number of contractors on assignment daily will be over 25,000</w:t>
      </w:r>
    </w:p>
    <w:p>
      <w:pPr>
        <w:spacing w:after="0" w:line="240" w:lineRule="exact"/>
        <w:rPr>
          <w:rFonts w:ascii="Arial" w:cs="Arial" w:eastAsia="Arial" w:hAnsi="Arial"/>
          <w:sz w:val="35"/>
          <w:szCs w:val="35"/>
          <w:color w:val="6698C2"/>
        </w:rPr>
      </w:pPr>
    </w:p>
    <w:p>
      <w:pPr>
        <w:ind w:left="400" w:hanging="324"/>
        <w:spacing w:after="0"/>
        <w:tabs>
          <w:tab w:leader="none" w:pos="400" w:val="left"/>
        </w:tabs>
        <w:numPr>
          <w:ilvl w:val="0"/>
          <w:numId w:val="28"/>
        </w:numPr>
        <w:rPr>
          <w:rFonts w:ascii="Arial" w:cs="Arial" w:eastAsia="Arial" w:hAnsi="Arial"/>
          <w:sz w:val="35"/>
          <w:szCs w:val="35"/>
          <w:color w:val="6698C2"/>
        </w:rPr>
      </w:pPr>
      <w:r>
        <w:rPr>
          <w:rFonts w:ascii="Arial" w:cs="Arial" w:eastAsia="Arial" w:hAnsi="Arial"/>
          <w:sz w:val="35"/>
          <w:szCs w:val="35"/>
          <w:color w:val="auto"/>
        </w:rPr>
        <w:t>Combined footprint will be 400 offices</w:t>
      </w:r>
    </w:p>
    <w:p>
      <w:pPr>
        <w:spacing w:after="0" w:line="271" w:lineRule="exact"/>
        <w:rPr>
          <w:rFonts w:ascii="Arial" w:cs="Arial" w:eastAsia="Arial" w:hAnsi="Arial"/>
          <w:sz w:val="35"/>
          <w:szCs w:val="35"/>
          <w:color w:val="6698C2"/>
        </w:rPr>
      </w:pPr>
    </w:p>
    <w:p>
      <w:pPr>
        <w:ind w:left="400" w:right="200" w:hanging="324"/>
        <w:spacing w:after="0" w:line="256" w:lineRule="auto"/>
        <w:tabs>
          <w:tab w:leader="none" w:pos="402" w:val="left"/>
        </w:tabs>
        <w:numPr>
          <w:ilvl w:val="0"/>
          <w:numId w:val="28"/>
        </w:numPr>
        <w:rPr>
          <w:rFonts w:ascii="Arial" w:cs="Arial" w:eastAsia="Arial" w:hAnsi="Arial"/>
          <w:sz w:val="35"/>
          <w:szCs w:val="35"/>
          <w:color w:val="6698C2"/>
        </w:rPr>
      </w:pPr>
      <w:r>
        <w:rPr>
          <w:rFonts w:ascii="Arial" w:cs="Arial" w:eastAsia="Arial" w:hAnsi="Arial"/>
          <w:sz w:val="35"/>
          <w:szCs w:val="35"/>
          <w:color w:val="auto"/>
        </w:rPr>
        <w:t>Combined MSP offering will be total flow through dollars of $3.5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1088390</wp:posOffset>
            </wp:positionV>
            <wp:extent cx="727900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sectPr>
      </w:pPr>
    </w:p>
    <w:bookmarkStart w:id="35" w:name="page36"/>
    <w:bookmarkEnd w:id="35"/>
    <w:tbl>
      <w:tblPr>
        <w:tblLayout w:type="fixed"/>
        <w:tblInd w:w="80" w:type="dxa"/>
        <w:tblCellMar>
          <w:top w:w="0" w:type="dxa"/>
          <w:left w:w="0" w:type="dxa"/>
          <w:bottom w:w="0" w:type="dxa"/>
          <w:right w:w="0" w:type="dxa"/>
        </w:tblCellMar>
      </w:tblPr>
      <w:tr>
        <w:trPr>
          <w:trHeight w:val="255"/>
        </w:trPr>
        <w:tc>
          <w:tcPr>
            <w:tcW w:w="6160" w:type="dxa"/>
            <w:vAlign w:val="bottom"/>
          </w:tcPr>
          <w:p>
            <w:pPr>
              <w:spacing w:after="0"/>
              <w:rPr>
                <w:sz w:val="20"/>
                <w:szCs w:val="20"/>
                <w:color w:val="auto"/>
              </w:rPr>
            </w:pPr>
            <w:r>
              <w:rPr>
                <w:rFonts w:ascii="Arial" w:cs="Arial" w:eastAsia="Arial" w:hAnsi="Arial"/>
                <w:sz w:val="20"/>
                <w:szCs w:val="20"/>
                <w:color w:val="FFFFFF"/>
              </w:rPr>
              <w:t>Manpower Inc. - COMSYS Acquisition</w:t>
            </w:r>
          </w:p>
        </w:tc>
        <w:tc>
          <w:tcPr>
            <w:tcW w:w="2980" w:type="dxa"/>
            <w:vAlign w:val="bottom"/>
          </w:tcPr>
          <w:p>
            <w:pPr>
              <w:jc w:val="right"/>
              <w:spacing w:after="0"/>
              <w:rPr>
                <w:sz w:val="20"/>
                <w:szCs w:val="20"/>
                <w:color w:val="auto"/>
              </w:rPr>
            </w:pPr>
            <w:r>
              <w:rPr>
                <w:rFonts w:ascii="Arial" w:cs="Arial" w:eastAsia="Arial" w:hAnsi="Arial"/>
                <w:sz w:val="20"/>
                <w:szCs w:val="20"/>
                <w:color w:val="FFFFFF"/>
              </w:rPr>
              <w:t>25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560"/>
        <w:spacing w:after="0"/>
        <w:rPr>
          <w:sz w:val="20"/>
          <w:szCs w:val="20"/>
          <w:color w:val="auto"/>
        </w:rPr>
      </w:pPr>
      <w:r>
        <w:rPr>
          <w:rFonts w:ascii="Arial" w:cs="Arial" w:eastAsia="Arial" w:hAnsi="Arial"/>
          <w:sz w:val="12"/>
          <w:szCs w:val="12"/>
          <w:color w:val="auto"/>
        </w:rPr>
        <w:t>(1)</w:t>
      </w:r>
    </w:p>
    <w:p>
      <w:pPr>
        <w:spacing w:after="0" w:line="351"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1380"/>
        <w:spacing w:after="0"/>
        <w:rPr>
          <w:sz w:val="20"/>
          <w:szCs w:val="20"/>
          <w:color w:val="auto"/>
        </w:rPr>
      </w:pPr>
      <w:r>
        <w:rPr>
          <w:rFonts w:ascii="Arial" w:cs="Arial" w:eastAsia="Arial" w:hAnsi="Arial"/>
          <w:sz w:val="12"/>
          <w:szCs w:val="12"/>
          <w:color w:val="auto"/>
        </w:rPr>
        <w:t>(1)</w:t>
      </w:r>
    </w:p>
    <w:p>
      <w:pPr>
        <w:spacing w:after="0" w:line="81" w:lineRule="exact"/>
        <w:rPr>
          <w:sz w:val="20"/>
          <w:szCs w:val="20"/>
          <w:color w:val="auto"/>
        </w:rPr>
      </w:pPr>
    </w:p>
    <w:p>
      <w:pPr>
        <w:ind w:left="2140"/>
        <w:spacing w:after="0"/>
        <w:tabs>
          <w:tab w:leader="none" w:pos="3360" w:val="left"/>
          <w:tab w:leader="none" w:pos="4600" w:val="left"/>
          <w:tab w:leader="none" w:pos="5840" w:val="left"/>
          <w:tab w:leader="none" w:pos="7020" w:val="left"/>
        </w:tabs>
        <w:rPr>
          <w:sz w:val="20"/>
          <w:szCs w:val="20"/>
          <w:color w:val="auto"/>
        </w:rPr>
      </w:pPr>
      <w:r>
        <w:rPr>
          <w:rFonts w:ascii="Arial" w:cs="Arial" w:eastAsia="Arial" w:hAnsi="Arial"/>
          <w:sz w:val="17"/>
          <w:szCs w:val="17"/>
          <w:color w:val="5F81AA"/>
        </w:rPr>
        <w:t>(6.0%)</w:t>
      </w:r>
      <w:r>
        <w:rPr>
          <w:sz w:val="20"/>
          <w:szCs w:val="20"/>
          <w:color w:val="auto"/>
        </w:rPr>
        <w:tab/>
      </w:r>
      <w:r>
        <w:rPr>
          <w:rFonts w:ascii="Arial" w:cs="Arial" w:eastAsia="Arial" w:hAnsi="Arial"/>
          <w:sz w:val="17"/>
          <w:szCs w:val="17"/>
          <w:color w:val="5F81AA"/>
        </w:rPr>
        <w:t>(6.3%)</w:t>
      </w:r>
      <w:r>
        <w:rPr>
          <w:sz w:val="20"/>
          <w:szCs w:val="20"/>
          <w:color w:val="auto"/>
        </w:rPr>
        <w:tab/>
      </w:r>
      <w:r>
        <w:rPr>
          <w:rFonts w:ascii="Arial" w:cs="Arial" w:eastAsia="Arial" w:hAnsi="Arial"/>
          <w:sz w:val="17"/>
          <w:szCs w:val="17"/>
          <w:color w:val="5F81AA"/>
        </w:rPr>
        <w:t>(6.8%)</w:t>
      </w:r>
      <w:r>
        <w:rPr>
          <w:sz w:val="20"/>
          <w:szCs w:val="20"/>
          <w:color w:val="auto"/>
        </w:rPr>
        <w:tab/>
      </w:r>
      <w:r>
        <w:rPr>
          <w:rFonts w:ascii="Arial" w:cs="Arial" w:eastAsia="Arial" w:hAnsi="Arial"/>
          <w:sz w:val="17"/>
          <w:szCs w:val="17"/>
          <w:color w:val="5F81AA"/>
        </w:rPr>
        <w:t>(6.0%)</w:t>
      </w:r>
      <w:r>
        <w:rPr>
          <w:sz w:val="20"/>
          <w:szCs w:val="20"/>
          <w:color w:val="auto"/>
        </w:rPr>
        <w:tab/>
      </w:r>
      <w:r>
        <w:rPr>
          <w:rFonts w:ascii="Arial" w:cs="Arial" w:eastAsia="Arial" w:hAnsi="Arial"/>
          <w:sz w:val="17"/>
          <w:szCs w:val="17"/>
          <w:color w:val="5F81AA"/>
        </w:rPr>
        <w:t>(4.0%)</w:t>
      </w:r>
    </w:p>
    <w:p>
      <w:pPr>
        <w:spacing w:after="0" w:line="64" w:lineRule="exact"/>
        <w:rPr>
          <w:sz w:val="20"/>
          <w:szCs w:val="20"/>
          <w:color w:val="auto"/>
        </w:rPr>
      </w:pPr>
    </w:p>
    <w:p>
      <w:pPr>
        <w:ind w:left="240" w:hanging="240"/>
        <w:spacing w:after="0"/>
        <w:tabs>
          <w:tab w:leader="none" w:pos="240" w:val="left"/>
        </w:tabs>
        <w:numPr>
          <w:ilvl w:val="0"/>
          <w:numId w:val="29"/>
        </w:numPr>
        <w:rPr>
          <w:rFonts w:ascii="Arial" w:cs="Arial" w:eastAsia="Arial" w:hAnsi="Arial"/>
          <w:sz w:val="24"/>
          <w:szCs w:val="24"/>
          <w:b w:val="1"/>
          <w:bCs w:val="1"/>
          <w:color w:val="auto"/>
          <w:vertAlign w:val="superscript"/>
        </w:rPr>
      </w:pPr>
      <w:r>
        <w:rPr>
          <w:rFonts w:ascii="Arial" w:cs="Arial" w:eastAsia="Arial" w:hAnsi="Arial"/>
          <w:sz w:val="17"/>
          <w:szCs w:val="17"/>
          <w:color w:val="auto"/>
        </w:rPr>
        <w:t>Forecast based upon management guidance issued January 6, 2010.</w:t>
      </w:r>
    </w:p>
    <w:p>
      <w:pPr>
        <w:spacing w:after="0" w:line="105" w:lineRule="exact"/>
        <w:rPr>
          <w:rFonts w:ascii="Arial" w:cs="Arial" w:eastAsia="Arial" w:hAnsi="Arial"/>
          <w:sz w:val="24"/>
          <w:szCs w:val="24"/>
          <w:b w:val="1"/>
          <w:bCs w:val="1"/>
          <w:color w:val="auto"/>
          <w:vertAlign w:val="superscript"/>
        </w:rPr>
      </w:pPr>
    </w:p>
    <w:p>
      <w:pPr>
        <w:ind w:left="240" w:hanging="240"/>
        <w:spacing w:after="0" w:line="201" w:lineRule="auto"/>
        <w:tabs>
          <w:tab w:leader="none" w:pos="240" w:val="left"/>
        </w:tabs>
        <w:numPr>
          <w:ilvl w:val="0"/>
          <w:numId w:val="29"/>
        </w:numPr>
        <w:rPr>
          <w:rFonts w:ascii="Arial" w:cs="Arial" w:eastAsia="Arial" w:hAnsi="Arial"/>
          <w:sz w:val="24"/>
          <w:szCs w:val="24"/>
          <w:b w:val="1"/>
          <w:bCs w:val="1"/>
          <w:color w:val="auto"/>
          <w:vertAlign w:val="superscript"/>
        </w:rPr>
      </w:pPr>
      <w:r>
        <w:rPr>
          <w:rFonts w:ascii="Arial" w:cs="Arial" w:eastAsia="Arial" w:hAnsi="Arial"/>
          <w:sz w:val="17"/>
          <w:szCs w:val="17"/>
          <w:color w:val="auto"/>
        </w:rPr>
        <w:t>Excludes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309880</wp:posOffset>
            </wp:positionV>
            <wp:extent cx="727900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9220"/>
          </w:cols>
          <w:pgMar w:left="1440" w:top="380" w:right="1239" w:bottom="1440" w:gutter="0" w:footer="0" w:header="0"/>
        </w:sectPr>
      </w:pPr>
    </w:p>
    <w:bookmarkStart w:id="36" w:name="page37"/>
    <w:bookmarkEnd w:id="36"/>
    <w:tbl>
      <w:tblPr>
        <w:tblLayout w:type="fixed"/>
        <w:tblInd w:w="1300" w:type="dxa"/>
        <w:tblCellMar>
          <w:top w:w="0" w:type="dxa"/>
          <w:left w:w="0" w:type="dxa"/>
          <w:bottom w:w="0" w:type="dxa"/>
          <w:right w:w="0" w:type="dxa"/>
        </w:tblCellMar>
      </w:tblPr>
      <w:tr>
        <w:trPr>
          <w:trHeight w:val="255"/>
        </w:trPr>
        <w:tc>
          <w:tcPr>
            <w:tcW w:w="6160" w:type="dxa"/>
            <w:vAlign w:val="bottom"/>
          </w:tcPr>
          <w:p>
            <w:pPr>
              <w:spacing w:after="0"/>
              <w:rPr>
                <w:sz w:val="20"/>
                <w:szCs w:val="20"/>
                <w:color w:val="auto"/>
              </w:rPr>
            </w:pPr>
            <w:r>
              <w:rPr>
                <w:rFonts w:ascii="Arial" w:cs="Arial" w:eastAsia="Arial" w:hAnsi="Arial"/>
                <w:sz w:val="20"/>
                <w:szCs w:val="20"/>
                <w:color w:val="FFFFFF"/>
              </w:rPr>
              <w:t>Manpower Inc. - COMSYS Acquisition</w:t>
            </w:r>
          </w:p>
        </w:tc>
        <w:tc>
          <w:tcPr>
            <w:tcW w:w="2980" w:type="dxa"/>
            <w:vAlign w:val="bottom"/>
          </w:tcPr>
          <w:p>
            <w:pPr>
              <w:jc w:val="right"/>
              <w:spacing w:after="0"/>
              <w:rPr>
                <w:sz w:val="20"/>
                <w:szCs w:val="20"/>
                <w:color w:val="auto"/>
              </w:rPr>
            </w:pPr>
            <w:r>
              <w:rPr>
                <w:rFonts w:ascii="Arial" w:cs="Arial" w:eastAsia="Arial" w:hAnsi="Arial"/>
                <w:sz w:val="20"/>
                <w:szCs w:val="20"/>
                <w:color w:val="FFFFFF"/>
              </w:rPr>
              <w:t>26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spacing w:after="0"/>
        <w:rPr>
          <w:sz w:val="20"/>
          <w:szCs w:val="20"/>
          <w:color w:val="auto"/>
        </w:rPr>
      </w:pPr>
      <w:r>
        <w:rPr>
          <w:rFonts w:ascii="Arial" w:cs="Arial" w:eastAsia="Arial" w:hAnsi="Arial"/>
          <w:sz w:val="44"/>
          <w:szCs w:val="44"/>
          <w:color w:val="6698C2"/>
        </w:rPr>
        <w:t>Acquisition Summary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20" w:hanging="324"/>
        <w:spacing w:after="0"/>
        <w:tabs>
          <w:tab w:leader="none" w:pos="1620" w:val="left"/>
        </w:tabs>
        <w:numPr>
          <w:ilvl w:val="0"/>
          <w:numId w:val="30"/>
        </w:numPr>
        <w:rPr>
          <w:rFonts w:ascii="Arial" w:cs="Arial" w:eastAsia="Arial" w:hAnsi="Arial"/>
          <w:sz w:val="35"/>
          <w:szCs w:val="35"/>
          <w:color w:val="6698C2"/>
        </w:rPr>
      </w:pPr>
      <w:r>
        <w:rPr>
          <w:rFonts w:ascii="Arial" w:cs="Arial" w:eastAsia="Arial" w:hAnsi="Arial"/>
          <w:sz w:val="35"/>
          <w:szCs w:val="35"/>
          <w:color w:val="D47C18"/>
        </w:rPr>
        <w:t xml:space="preserve">Purchase Price:   </w:t>
      </w:r>
      <w:r>
        <w:rPr>
          <w:rFonts w:ascii="Arial" w:cs="Arial" w:eastAsia="Arial" w:hAnsi="Arial"/>
          <w:sz w:val="35"/>
          <w:szCs w:val="35"/>
          <w:color w:val="000000"/>
        </w:rPr>
        <w:t>$17.65 per share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1520" w:type="dxa"/>
            <w:vAlign w:val="bottom"/>
          </w:tcPr>
          <w:p>
            <w:pPr>
              <w:ind w:left="1300"/>
              <w:spacing w:after="0"/>
              <w:rPr>
                <w:sz w:val="20"/>
                <w:szCs w:val="20"/>
                <w:color w:val="auto"/>
              </w:rPr>
            </w:pPr>
            <w:r>
              <w:rPr>
                <w:rFonts w:ascii="Arial" w:cs="Arial" w:eastAsia="Arial" w:hAnsi="Arial"/>
                <w:sz w:val="35"/>
                <w:szCs w:val="35"/>
                <w:color w:val="6698C2"/>
              </w:rPr>
              <w:t>•</w:t>
            </w:r>
          </w:p>
        </w:tc>
        <w:tc>
          <w:tcPr>
            <w:tcW w:w="2580" w:type="dxa"/>
            <w:vAlign w:val="bottom"/>
          </w:tcPr>
          <w:p>
            <w:pPr>
              <w:ind w:left="100"/>
              <w:spacing w:after="0"/>
              <w:rPr>
                <w:sz w:val="20"/>
                <w:szCs w:val="20"/>
                <w:color w:val="auto"/>
              </w:rPr>
            </w:pPr>
            <w:r>
              <w:rPr>
                <w:rFonts w:ascii="Arial" w:cs="Arial" w:eastAsia="Arial" w:hAnsi="Arial"/>
                <w:sz w:val="35"/>
                <w:szCs w:val="35"/>
                <w:color w:val="D47C18"/>
              </w:rPr>
              <w:t>Equity Value:</w:t>
            </w:r>
          </w:p>
        </w:tc>
        <w:tc>
          <w:tcPr>
            <w:tcW w:w="7360" w:type="dxa"/>
            <w:vAlign w:val="bottom"/>
          </w:tcPr>
          <w:p>
            <w:pPr>
              <w:ind w:left="440"/>
              <w:spacing w:after="0"/>
              <w:rPr>
                <w:sz w:val="20"/>
                <w:szCs w:val="20"/>
                <w:color w:val="auto"/>
              </w:rPr>
            </w:pPr>
            <w:r>
              <w:rPr>
                <w:rFonts w:ascii="Arial" w:cs="Arial" w:eastAsia="Arial" w:hAnsi="Arial"/>
                <w:sz w:val="35"/>
                <w:szCs w:val="35"/>
                <w:color w:val="auto"/>
              </w:rPr>
              <w:t>$378 million, including net settlement</w:t>
            </w:r>
          </w:p>
        </w:tc>
      </w:tr>
      <w:tr>
        <w:trPr>
          <w:trHeight w:val="413"/>
        </w:trPr>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60" w:type="dxa"/>
            <w:vAlign w:val="bottom"/>
          </w:tcPr>
          <w:p>
            <w:pPr>
              <w:ind w:left="460"/>
              <w:spacing w:after="0"/>
              <w:rPr>
                <w:sz w:val="20"/>
                <w:szCs w:val="20"/>
                <w:color w:val="auto"/>
              </w:rPr>
            </w:pPr>
            <w:r>
              <w:rPr>
                <w:rFonts w:ascii="Arial" w:cs="Arial" w:eastAsia="Arial" w:hAnsi="Arial"/>
                <w:sz w:val="35"/>
                <w:szCs w:val="35"/>
                <w:color w:val="auto"/>
              </w:rPr>
              <w:t>of stock options, restricted stock and</w:t>
            </w:r>
          </w:p>
        </w:tc>
      </w:tr>
      <w:tr>
        <w:trPr>
          <w:trHeight w:val="419"/>
        </w:trPr>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60" w:type="dxa"/>
            <w:vAlign w:val="bottom"/>
          </w:tcPr>
          <w:p>
            <w:pPr>
              <w:ind w:left="460"/>
              <w:spacing w:after="0"/>
              <w:rPr>
                <w:sz w:val="20"/>
                <w:szCs w:val="20"/>
                <w:color w:val="auto"/>
              </w:rPr>
            </w:pPr>
            <w:r>
              <w:rPr>
                <w:rFonts w:ascii="Arial" w:cs="Arial" w:eastAsia="Arial" w:hAnsi="Arial"/>
                <w:sz w:val="35"/>
                <w:szCs w:val="35"/>
                <w:color w:val="auto"/>
              </w:rPr>
              <w:t>warrants</w:t>
            </w:r>
          </w:p>
        </w:tc>
      </w:tr>
      <w:tr>
        <w:trPr>
          <w:trHeight w:val="690"/>
        </w:trPr>
        <w:tc>
          <w:tcPr>
            <w:tcW w:w="1520" w:type="dxa"/>
            <w:vAlign w:val="bottom"/>
          </w:tcPr>
          <w:p>
            <w:pPr>
              <w:ind w:left="1300"/>
              <w:spacing w:after="0"/>
              <w:rPr>
                <w:sz w:val="20"/>
                <w:szCs w:val="20"/>
                <w:color w:val="auto"/>
              </w:rPr>
            </w:pPr>
            <w:r>
              <w:rPr>
                <w:rFonts w:ascii="Arial" w:cs="Arial" w:eastAsia="Arial" w:hAnsi="Arial"/>
                <w:sz w:val="35"/>
                <w:szCs w:val="35"/>
                <w:color w:val="6698C2"/>
              </w:rPr>
              <w:t>•</w:t>
            </w:r>
          </w:p>
        </w:tc>
        <w:tc>
          <w:tcPr>
            <w:tcW w:w="2580" w:type="dxa"/>
            <w:vAlign w:val="bottom"/>
          </w:tcPr>
          <w:p>
            <w:pPr>
              <w:ind w:left="100"/>
              <w:spacing w:after="0"/>
              <w:rPr>
                <w:sz w:val="20"/>
                <w:szCs w:val="20"/>
                <w:color w:val="auto"/>
              </w:rPr>
            </w:pPr>
            <w:r>
              <w:rPr>
                <w:rFonts w:ascii="Arial" w:cs="Arial" w:eastAsia="Arial" w:hAnsi="Arial"/>
                <w:sz w:val="35"/>
                <w:szCs w:val="35"/>
                <w:color w:val="D47C18"/>
              </w:rPr>
              <w:t>Debt Retired:</w:t>
            </w:r>
          </w:p>
        </w:tc>
        <w:tc>
          <w:tcPr>
            <w:tcW w:w="7360" w:type="dxa"/>
            <w:vAlign w:val="bottom"/>
          </w:tcPr>
          <w:p>
            <w:pPr>
              <w:ind w:left="460"/>
              <w:spacing w:after="0"/>
              <w:rPr>
                <w:sz w:val="20"/>
                <w:szCs w:val="20"/>
                <w:color w:val="auto"/>
              </w:rPr>
            </w:pPr>
            <w:r>
              <w:rPr>
                <w:rFonts w:ascii="Arial" w:cs="Arial" w:eastAsia="Arial" w:hAnsi="Arial"/>
                <w:sz w:val="35"/>
                <w:szCs w:val="35"/>
                <w:color w:val="auto"/>
              </w:rPr>
              <w:t>$53 million, net debt outstanding as of</w:t>
            </w:r>
          </w:p>
        </w:tc>
      </w:tr>
      <w:tr>
        <w:trPr>
          <w:trHeight w:val="419"/>
        </w:trPr>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60" w:type="dxa"/>
            <w:vAlign w:val="bottom"/>
          </w:tcPr>
          <w:p>
            <w:pPr>
              <w:ind w:left="460"/>
              <w:spacing w:after="0"/>
              <w:rPr>
                <w:sz w:val="20"/>
                <w:szCs w:val="20"/>
                <w:color w:val="auto"/>
              </w:rPr>
            </w:pPr>
            <w:r>
              <w:rPr>
                <w:rFonts w:ascii="Arial" w:cs="Arial" w:eastAsia="Arial" w:hAnsi="Arial"/>
                <w:sz w:val="35"/>
                <w:szCs w:val="35"/>
                <w:color w:val="auto"/>
              </w:rPr>
              <w:t>January 31, 2010</w:t>
            </w:r>
          </w:p>
        </w:tc>
      </w:tr>
      <w:tr>
        <w:trPr>
          <w:trHeight w:val="2426"/>
        </w:trPr>
        <w:tc>
          <w:tcPr>
            <w:tcW w:w="15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7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80" w:right="219" w:bottom="1440" w:gutter="0" w:footer="0" w:header="0"/>
        </w:sectPr>
      </w:pPr>
    </w:p>
    <w:bookmarkStart w:id="37" w:name="page38"/>
    <w:bookmarkEnd w:id="37"/>
    <w:tbl>
      <w:tblPr>
        <w:tblLayout w:type="fixed"/>
        <w:tblInd w:w="1300" w:type="dxa"/>
        <w:tblCellMar>
          <w:top w:w="0" w:type="dxa"/>
          <w:left w:w="0" w:type="dxa"/>
          <w:bottom w:w="0" w:type="dxa"/>
          <w:right w:w="0" w:type="dxa"/>
        </w:tblCellMar>
      </w:tblPr>
      <w:tr>
        <w:trPr>
          <w:trHeight w:val="255"/>
        </w:trPr>
        <w:tc>
          <w:tcPr>
            <w:tcW w:w="6160" w:type="dxa"/>
            <w:vAlign w:val="bottom"/>
          </w:tcPr>
          <w:p>
            <w:pPr>
              <w:spacing w:after="0"/>
              <w:rPr>
                <w:sz w:val="20"/>
                <w:szCs w:val="20"/>
                <w:color w:val="auto"/>
              </w:rPr>
            </w:pPr>
            <w:r>
              <w:rPr>
                <w:rFonts w:ascii="Arial" w:cs="Arial" w:eastAsia="Arial" w:hAnsi="Arial"/>
                <w:sz w:val="20"/>
                <w:szCs w:val="20"/>
                <w:color w:val="FFFFFF"/>
              </w:rPr>
              <w:t>Manpower Inc. - COMSYS Acquisition</w:t>
            </w:r>
          </w:p>
        </w:tc>
        <w:tc>
          <w:tcPr>
            <w:tcW w:w="2980" w:type="dxa"/>
            <w:vAlign w:val="bottom"/>
          </w:tcPr>
          <w:p>
            <w:pPr>
              <w:jc w:val="right"/>
              <w:spacing w:after="0"/>
              <w:rPr>
                <w:sz w:val="20"/>
                <w:szCs w:val="20"/>
                <w:color w:val="auto"/>
              </w:rPr>
            </w:pPr>
            <w:r>
              <w:rPr>
                <w:rFonts w:ascii="Arial" w:cs="Arial" w:eastAsia="Arial" w:hAnsi="Arial"/>
                <w:sz w:val="20"/>
                <w:szCs w:val="20"/>
                <w:color w:val="FFFFFF"/>
              </w:rPr>
              <w:t>27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spacing w:after="0"/>
        <w:rPr>
          <w:sz w:val="20"/>
          <w:szCs w:val="20"/>
          <w:color w:val="auto"/>
        </w:rPr>
      </w:pPr>
      <w:r>
        <w:rPr>
          <w:rFonts w:ascii="Arial" w:cs="Arial" w:eastAsia="Arial" w:hAnsi="Arial"/>
          <w:sz w:val="44"/>
          <w:szCs w:val="44"/>
          <w:color w:val="6698C2"/>
        </w:rPr>
        <w:t>Acquisition Summary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1520" w:type="dxa"/>
            <w:vAlign w:val="bottom"/>
          </w:tcPr>
          <w:p>
            <w:pPr>
              <w:ind w:left="1300"/>
              <w:spacing w:after="0"/>
              <w:rPr>
                <w:sz w:val="20"/>
                <w:szCs w:val="20"/>
                <w:color w:val="auto"/>
              </w:rPr>
            </w:pPr>
            <w:r>
              <w:rPr>
                <w:rFonts w:ascii="Arial" w:cs="Arial" w:eastAsia="Arial" w:hAnsi="Arial"/>
                <w:sz w:val="35"/>
                <w:szCs w:val="35"/>
                <w:color w:val="6698C2"/>
              </w:rPr>
              <w:t>•</w:t>
            </w:r>
          </w:p>
        </w:tc>
        <w:tc>
          <w:tcPr>
            <w:tcW w:w="2660" w:type="dxa"/>
            <w:vAlign w:val="bottom"/>
          </w:tcPr>
          <w:p>
            <w:pPr>
              <w:ind w:left="100"/>
              <w:spacing w:after="0"/>
              <w:rPr>
                <w:sz w:val="20"/>
                <w:szCs w:val="20"/>
                <w:color w:val="auto"/>
              </w:rPr>
            </w:pPr>
            <w:r>
              <w:rPr>
                <w:rFonts w:ascii="Arial" w:cs="Arial" w:eastAsia="Arial" w:hAnsi="Arial"/>
                <w:sz w:val="35"/>
                <w:szCs w:val="35"/>
                <w:color w:val="6698C2"/>
              </w:rPr>
              <w:t>Consideration:</w:t>
            </w:r>
          </w:p>
        </w:tc>
        <w:tc>
          <w:tcPr>
            <w:tcW w:w="7280" w:type="dxa"/>
            <w:vAlign w:val="bottom"/>
          </w:tcPr>
          <w:p>
            <w:pPr>
              <w:ind w:left="380"/>
              <w:spacing w:after="0"/>
              <w:rPr>
                <w:sz w:val="20"/>
                <w:szCs w:val="20"/>
                <w:color w:val="auto"/>
              </w:rPr>
            </w:pPr>
            <w:r>
              <w:rPr>
                <w:rFonts w:ascii="Arial" w:cs="Arial" w:eastAsia="Arial" w:hAnsi="Arial"/>
                <w:sz w:val="35"/>
                <w:szCs w:val="35"/>
                <w:color w:val="auto"/>
              </w:rPr>
              <w:t>50% stock / 50% cash,</w:t>
            </w:r>
          </w:p>
        </w:tc>
      </w:tr>
      <w:tr>
        <w:trPr>
          <w:trHeight w:val="419"/>
        </w:trPr>
        <w:tc>
          <w:tcPr>
            <w:tcW w:w="1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Arial" w:cs="Arial" w:eastAsia="Arial" w:hAnsi="Arial"/>
                <w:sz w:val="35"/>
                <w:szCs w:val="35"/>
                <w:color w:val="auto"/>
              </w:rPr>
              <w:t>with option to pay all cash</w:t>
            </w:r>
          </w:p>
        </w:tc>
      </w:tr>
      <w:tr>
        <w:trPr>
          <w:trHeight w:val="685"/>
        </w:trPr>
        <w:tc>
          <w:tcPr>
            <w:tcW w:w="1520" w:type="dxa"/>
            <w:vAlign w:val="bottom"/>
          </w:tcPr>
          <w:p>
            <w:pPr>
              <w:ind w:left="1300"/>
              <w:spacing w:after="0"/>
              <w:rPr>
                <w:sz w:val="20"/>
                <w:szCs w:val="20"/>
                <w:color w:val="auto"/>
              </w:rPr>
            </w:pPr>
            <w:r>
              <w:rPr>
                <w:rFonts w:ascii="Arial" w:cs="Arial" w:eastAsia="Arial" w:hAnsi="Arial"/>
                <w:sz w:val="35"/>
                <w:szCs w:val="35"/>
                <w:color w:val="6698C2"/>
              </w:rPr>
              <w:t>•</w:t>
            </w:r>
          </w:p>
        </w:tc>
        <w:tc>
          <w:tcPr>
            <w:tcW w:w="2660" w:type="dxa"/>
            <w:vAlign w:val="bottom"/>
          </w:tcPr>
          <w:p>
            <w:pPr>
              <w:ind w:left="100"/>
              <w:spacing w:after="0"/>
              <w:rPr>
                <w:sz w:val="20"/>
                <w:szCs w:val="20"/>
                <w:color w:val="auto"/>
              </w:rPr>
            </w:pPr>
            <w:r>
              <w:rPr>
                <w:rFonts w:ascii="Arial" w:cs="Arial" w:eastAsia="Arial" w:hAnsi="Arial"/>
                <w:sz w:val="35"/>
                <w:szCs w:val="35"/>
                <w:color w:val="6698C2"/>
              </w:rPr>
              <w:t>Tender Offer:</w:t>
            </w:r>
          </w:p>
        </w:tc>
        <w:tc>
          <w:tcPr>
            <w:tcW w:w="7280" w:type="dxa"/>
            <w:vAlign w:val="bottom"/>
          </w:tcPr>
          <w:p>
            <w:pPr>
              <w:ind w:left="320"/>
              <w:spacing w:after="0"/>
              <w:rPr>
                <w:sz w:val="20"/>
                <w:szCs w:val="20"/>
                <w:color w:val="auto"/>
              </w:rPr>
            </w:pPr>
            <w:r>
              <w:rPr>
                <w:rFonts w:ascii="Arial" w:cs="Arial" w:eastAsia="Arial" w:hAnsi="Arial"/>
                <w:sz w:val="35"/>
                <w:szCs w:val="35"/>
                <w:color w:val="auto"/>
              </w:rPr>
              <w:t>Expected to commence March 2010</w:t>
            </w:r>
          </w:p>
        </w:tc>
      </w:tr>
      <w:tr>
        <w:trPr>
          <w:trHeight w:val="674"/>
        </w:trPr>
        <w:tc>
          <w:tcPr>
            <w:tcW w:w="1520" w:type="dxa"/>
            <w:vAlign w:val="bottom"/>
          </w:tcPr>
          <w:p>
            <w:pPr>
              <w:ind w:left="1300"/>
              <w:spacing w:after="0"/>
              <w:rPr>
                <w:sz w:val="20"/>
                <w:szCs w:val="20"/>
                <w:color w:val="auto"/>
              </w:rPr>
            </w:pPr>
            <w:r>
              <w:rPr>
                <w:rFonts w:ascii="Arial" w:cs="Arial" w:eastAsia="Arial" w:hAnsi="Arial"/>
                <w:sz w:val="35"/>
                <w:szCs w:val="35"/>
                <w:color w:val="6698C2"/>
              </w:rPr>
              <w:t>•</w:t>
            </w:r>
          </w:p>
        </w:tc>
        <w:tc>
          <w:tcPr>
            <w:tcW w:w="9940" w:type="dxa"/>
            <w:vAlign w:val="bottom"/>
            <w:gridSpan w:val="2"/>
          </w:tcPr>
          <w:p>
            <w:pPr>
              <w:ind w:left="100"/>
              <w:spacing w:after="0"/>
              <w:rPr>
                <w:sz w:val="20"/>
                <w:szCs w:val="20"/>
                <w:color w:val="auto"/>
              </w:rPr>
            </w:pPr>
            <w:r>
              <w:rPr>
                <w:rFonts w:ascii="Arial" w:cs="Arial" w:eastAsia="Arial" w:hAnsi="Arial"/>
                <w:sz w:val="35"/>
                <w:szCs w:val="35"/>
                <w:color w:val="6698C2"/>
              </w:rPr>
              <w:t xml:space="preserve">Expected Closing: </w:t>
            </w:r>
            <w:r>
              <w:rPr>
                <w:rFonts w:ascii="Arial" w:cs="Arial" w:eastAsia="Arial" w:hAnsi="Arial"/>
                <w:sz w:val="35"/>
                <w:szCs w:val="35"/>
                <w:color w:val="000000"/>
              </w:rPr>
              <w:t>April 2010</w:t>
            </w:r>
          </w:p>
        </w:tc>
      </w:tr>
      <w:tr>
        <w:trPr>
          <w:trHeight w:val="685"/>
        </w:trPr>
        <w:tc>
          <w:tcPr>
            <w:tcW w:w="1520" w:type="dxa"/>
            <w:vAlign w:val="bottom"/>
          </w:tcPr>
          <w:p>
            <w:pPr>
              <w:ind w:left="1300"/>
              <w:spacing w:after="0"/>
              <w:rPr>
                <w:sz w:val="20"/>
                <w:szCs w:val="20"/>
                <w:color w:val="auto"/>
              </w:rPr>
            </w:pPr>
            <w:r>
              <w:rPr>
                <w:rFonts w:ascii="Arial" w:cs="Arial" w:eastAsia="Arial" w:hAnsi="Arial"/>
                <w:sz w:val="35"/>
                <w:szCs w:val="35"/>
                <w:color w:val="6698C2"/>
              </w:rPr>
              <w:t>•</w:t>
            </w:r>
          </w:p>
        </w:tc>
        <w:tc>
          <w:tcPr>
            <w:tcW w:w="2660" w:type="dxa"/>
            <w:vAlign w:val="bottom"/>
          </w:tcPr>
          <w:p>
            <w:pPr>
              <w:ind w:left="100"/>
              <w:spacing w:after="0"/>
              <w:rPr>
                <w:sz w:val="20"/>
                <w:szCs w:val="20"/>
                <w:color w:val="auto"/>
              </w:rPr>
            </w:pPr>
            <w:r>
              <w:rPr>
                <w:rFonts w:ascii="Arial" w:cs="Arial" w:eastAsia="Arial" w:hAnsi="Arial"/>
                <w:sz w:val="35"/>
                <w:szCs w:val="35"/>
                <w:color w:val="6698C2"/>
              </w:rPr>
              <w:t>Approvals:</w:t>
            </w:r>
          </w:p>
        </w:tc>
        <w:tc>
          <w:tcPr>
            <w:tcW w:w="7280" w:type="dxa"/>
            <w:vAlign w:val="bottom"/>
          </w:tcPr>
          <w:p>
            <w:pPr>
              <w:ind w:left="380"/>
              <w:spacing w:after="0"/>
              <w:rPr>
                <w:sz w:val="20"/>
                <w:szCs w:val="20"/>
                <w:color w:val="auto"/>
              </w:rPr>
            </w:pPr>
            <w:r>
              <w:rPr>
                <w:rFonts w:ascii="Arial" w:cs="Arial" w:eastAsia="Arial" w:hAnsi="Arial"/>
                <w:sz w:val="35"/>
                <w:szCs w:val="35"/>
                <w:color w:val="auto"/>
              </w:rPr>
              <w:t>Normal regulatory</w:t>
            </w:r>
          </w:p>
        </w:tc>
      </w:tr>
      <w:tr>
        <w:trPr>
          <w:trHeight w:val="2578"/>
        </w:trPr>
        <w:tc>
          <w:tcPr>
            <w:tcW w:w="152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80" w:right="219" w:bottom="1440" w:gutter="0" w:footer="0" w:header="0"/>
        </w:sectPr>
      </w:pPr>
    </w:p>
    <w:bookmarkStart w:id="38" w:name="page39"/>
    <w:bookmarkEnd w:id="38"/>
    <w:tbl>
      <w:tblPr>
        <w:tblLayout w:type="fixed"/>
        <w:tblInd w:w="1300" w:type="dxa"/>
        <w:tblCellMar>
          <w:top w:w="0" w:type="dxa"/>
          <w:left w:w="0" w:type="dxa"/>
          <w:bottom w:w="0" w:type="dxa"/>
          <w:right w:w="0" w:type="dxa"/>
        </w:tblCellMar>
      </w:tblPr>
      <w:tr>
        <w:trPr>
          <w:trHeight w:val="255"/>
        </w:trPr>
        <w:tc>
          <w:tcPr>
            <w:tcW w:w="6160" w:type="dxa"/>
            <w:vAlign w:val="bottom"/>
          </w:tcPr>
          <w:p>
            <w:pPr>
              <w:spacing w:after="0"/>
              <w:rPr>
                <w:sz w:val="20"/>
                <w:szCs w:val="20"/>
                <w:color w:val="auto"/>
              </w:rPr>
            </w:pPr>
            <w:r>
              <w:rPr>
                <w:rFonts w:ascii="Arial" w:cs="Arial" w:eastAsia="Arial" w:hAnsi="Arial"/>
                <w:sz w:val="20"/>
                <w:szCs w:val="20"/>
                <w:color w:val="FFFFFF"/>
              </w:rPr>
              <w:t>Manpower Inc. - COMSYS Acquisition</w:t>
            </w:r>
          </w:p>
        </w:tc>
        <w:tc>
          <w:tcPr>
            <w:tcW w:w="2980" w:type="dxa"/>
            <w:vAlign w:val="bottom"/>
          </w:tcPr>
          <w:p>
            <w:pPr>
              <w:jc w:val="right"/>
              <w:spacing w:after="0"/>
              <w:rPr>
                <w:sz w:val="20"/>
                <w:szCs w:val="20"/>
                <w:color w:val="auto"/>
              </w:rPr>
            </w:pPr>
            <w:r>
              <w:rPr>
                <w:rFonts w:ascii="Arial" w:cs="Arial" w:eastAsia="Arial" w:hAnsi="Arial"/>
                <w:sz w:val="20"/>
                <w:szCs w:val="20"/>
                <w:color w:val="FFFFFF"/>
              </w:rPr>
              <w:t>28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spacing w:after="0"/>
        <w:rPr>
          <w:sz w:val="20"/>
          <w:szCs w:val="20"/>
          <w:color w:val="auto"/>
        </w:rPr>
      </w:pPr>
      <w:r>
        <w:rPr>
          <w:rFonts w:ascii="Arial" w:cs="Arial" w:eastAsia="Arial" w:hAnsi="Arial"/>
          <w:sz w:val="44"/>
          <w:szCs w:val="44"/>
          <w:color w:val="6698C2"/>
        </w:rPr>
        <w:t>Acquisition Summary</w:t>
      </w:r>
    </w:p>
    <w:p>
      <w:pPr>
        <w:sectPr>
          <w:pgSz w:w="11900" w:h="16838" w:orient="portrait"/>
          <w:cols w:equalWidth="0" w:num="1">
            <w:col w:w="11460"/>
          </w:cols>
          <w:pgMar w:left="220" w:top="38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660"/>
        <w:spacing w:after="0"/>
        <w:rPr>
          <w:sz w:val="20"/>
          <w:szCs w:val="20"/>
          <w:color w:val="auto"/>
        </w:rPr>
      </w:pPr>
      <w:r>
        <w:rPr>
          <w:rFonts w:ascii="Arial" w:cs="Arial" w:eastAsia="Arial" w:hAnsi="Arial"/>
          <w:sz w:val="35"/>
          <w:szCs w:val="35"/>
          <w:color w:val="6698C2"/>
        </w:rPr>
        <w:t xml:space="preserve">• </w:t>
      </w:r>
      <w:r>
        <w:rPr>
          <w:rFonts w:ascii="Arial" w:cs="Arial" w:eastAsia="Arial" w:hAnsi="Arial"/>
          <w:sz w:val="35"/>
          <w:szCs w:val="35"/>
          <w:color w:val="5F81AA"/>
        </w:rPr>
        <w:t>Synergies: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80"/>
        <w:spacing w:after="0"/>
        <w:rPr>
          <w:sz w:val="20"/>
          <w:szCs w:val="20"/>
          <w:color w:val="auto"/>
        </w:rPr>
      </w:pPr>
      <w:r>
        <w:rPr>
          <w:rFonts w:ascii="Arial" w:cs="Arial" w:eastAsia="Arial" w:hAnsi="Arial"/>
          <w:sz w:val="34"/>
          <w:szCs w:val="34"/>
          <w:color w:val="auto"/>
        </w:rPr>
        <w:t>$20 million (3% of revenue) by 2011</w:t>
      </w:r>
    </w:p>
    <w:p>
      <w:pPr>
        <w:spacing w:after="0" w:line="211" w:lineRule="exact"/>
        <w:rPr>
          <w:sz w:val="20"/>
          <w:szCs w:val="20"/>
          <w:color w:val="auto"/>
        </w:rPr>
      </w:pPr>
    </w:p>
    <w:p>
      <w:pPr>
        <w:sectPr>
          <w:pgSz w:w="11900" w:h="16838" w:orient="portrait"/>
          <w:cols w:equalWidth="0" w:num="2">
            <w:col w:w="3900" w:space="720"/>
            <w:col w:w="6840"/>
          </w:cols>
          <w:pgMar w:left="220" w:top="380" w:right="219" w:bottom="1440" w:gutter="0" w:footer="0" w:header="0"/>
          <w:type w:val="continuous"/>
        </w:sectPr>
      </w:pPr>
    </w:p>
    <w:p>
      <w:pPr>
        <w:spacing w:after="0" w:line="72" w:lineRule="exact"/>
        <w:rPr>
          <w:sz w:val="20"/>
          <w:szCs w:val="20"/>
          <w:color w:val="auto"/>
        </w:rPr>
      </w:pPr>
    </w:p>
    <w:p>
      <w:pPr>
        <w:ind w:left="1300"/>
        <w:spacing w:after="0"/>
        <w:rPr>
          <w:sz w:val="20"/>
          <w:szCs w:val="20"/>
          <w:color w:val="auto"/>
        </w:rPr>
      </w:pPr>
      <w:r>
        <w:rPr>
          <w:rFonts w:ascii="Arial" w:cs="Arial" w:eastAsia="Arial" w:hAnsi="Arial"/>
          <w:sz w:val="35"/>
          <w:szCs w:val="35"/>
          <w:color w:val="6698C2"/>
        </w:rPr>
        <w:t xml:space="preserve">• </w:t>
      </w:r>
      <w:r>
        <w:rPr>
          <w:rFonts w:ascii="Arial" w:cs="Arial" w:eastAsia="Arial" w:hAnsi="Arial"/>
          <w:sz w:val="35"/>
          <w:szCs w:val="35"/>
          <w:color w:val="5F81AA"/>
        </w:rPr>
        <w:t>Tax NOL:</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1280" w:hanging="36"/>
        <w:spacing w:after="0" w:line="256" w:lineRule="auto"/>
        <w:rPr>
          <w:sz w:val="20"/>
          <w:szCs w:val="20"/>
          <w:color w:val="auto"/>
        </w:rPr>
      </w:pPr>
      <w:r>
        <w:rPr>
          <w:rFonts w:ascii="Arial" w:cs="Arial" w:eastAsia="Arial" w:hAnsi="Arial"/>
          <w:sz w:val="35"/>
          <w:szCs w:val="35"/>
          <w:color w:val="auto"/>
        </w:rPr>
        <w:t>$35 million (NPV) tax shelter utilized over next 10 years</w:t>
      </w:r>
    </w:p>
    <w:p>
      <w:pPr>
        <w:spacing w:after="0" w:line="200" w:lineRule="exact"/>
        <w:rPr>
          <w:sz w:val="20"/>
          <w:szCs w:val="20"/>
          <w:color w:val="auto"/>
        </w:rPr>
      </w:pPr>
    </w:p>
    <w:p>
      <w:pPr>
        <w:sectPr>
          <w:pgSz w:w="11900" w:h="16838" w:orient="portrait"/>
          <w:cols w:equalWidth="0" w:num="2">
            <w:col w:w="3900" w:space="720"/>
            <w:col w:w="6840"/>
          </w:cols>
          <w:pgMar w:left="220" w:top="380" w:right="219" w:bottom="1440" w:gutter="0" w:footer="0" w:header="0"/>
          <w:type w:val="continuous"/>
        </w:sectPr>
      </w:pPr>
    </w:p>
    <w:p>
      <w:pPr>
        <w:spacing w:after="0" w:line="40" w:lineRule="exact"/>
        <w:rPr>
          <w:sz w:val="20"/>
          <w:szCs w:val="20"/>
          <w:color w:val="auto"/>
        </w:rPr>
      </w:pPr>
    </w:p>
    <w:p>
      <w:pPr>
        <w:ind w:left="1620" w:hanging="324"/>
        <w:spacing w:after="0"/>
        <w:tabs>
          <w:tab w:leader="none" w:pos="1620" w:val="left"/>
        </w:tabs>
        <w:numPr>
          <w:ilvl w:val="0"/>
          <w:numId w:val="31"/>
        </w:numPr>
        <w:rPr>
          <w:rFonts w:ascii="Arial" w:cs="Arial" w:eastAsia="Arial" w:hAnsi="Arial"/>
          <w:sz w:val="35"/>
          <w:szCs w:val="35"/>
          <w:color w:val="6698C2"/>
        </w:rPr>
      </w:pPr>
      <w:r>
        <w:rPr>
          <w:rFonts w:ascii="Arial" w:cs="Arial" w:eastAsia="Arial" w:hAnsi="Arial"/>
          <w:sz w:val="35"/>
          <w:szCs w:val="35"/>
          <w:color w:val="5F81AA"/>
        </w:rPr>
        <w:t xml:space="preserve">Integration Costs:  </w:t>
      </w:r>
      <w:r>
        <w:rPr>
          <w:rFonts w:ascii="Arial" w:cs="Arial" w:eastAsia="Arial" w:hAnsi="Arial"/>
          <w:sz w:val="35"/>
          <w:szCs w:val="35"/>
          <w:color w:val="000000"/>
        </w:rPr>
        <w:t>$18 million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4260" w:type="dxa"/>
            <w:vAlign w:val="bottom"/>
          </w:tcPr>
          <w:p>
            <w:pPr>
              <w:ind w:left="1300"/>
              <w:spacing w:after="0"/>
              <w:rPr>
                <w:sz w:val="20"/>
                <w:szCs w:val="20"/>
                <w:color w:val="auto"/>
              </w:rPr>
            </w:pPr>
            <w:r>
              <w:rPr>
                <w:rFonts w:ascii="Arial" w:cs="Arial" w:eastAsia="Arial" w:hAnsi="Arial"/>
                <w:sz w:val="35"/>
                <w:szCs w:val="35"/>
                <w:color w:val="6698C2"/>
              </w:rPr>
              <w:t xml:space="preserve">• </w:t>
            </w:r>
            <w:r>
              <w:rPr>
                <w:rFonts w:ascii="Arial" w:cs="Arial" w:eastAsia="Arial" w:hAnsi="Arial"/>
                <w:sz w:val="35"/>
                <w:szCs w:val="35"/>
                <w:color w:val="5F81AA"/>
              </w:rPr>
              <w:t>EPS Accretive:</w:t>
            </w:r>
          </w:p>
        </w:tc>
        <w:tc>
          <w:tcPr>
            <w:tcW w:w="7200" w:type="dxa"/>
            <w:vAlign w:val="bottom"/>
          </w:tcPr>
          <w:p>
            <w:pPr>
              <w:ind w:left="340"/>
              <w:spacing w:after="0"/>
              <w:rPr>
                <w:sz w:val="20"/>
                <w:szCs w:val="20"/>
                <w:color w:val="auto"/>
              </w:rPr>
            </w:pPr>
            <w:r>
              <w:rPr>
                <w:rFonts w:ascii="Arial" w:cs="Arial" w:eastAsia="Arial" w:hAnsi="Arial"/>
                <w:sz w:val="35"/>
                <w:szCs w:val="35"/>
                <w:color w:val="auto"/>
              </w:rPr>
              <w:t>10 cents accretive in 2010</w:t>
            </w:r>
          </w:p>
        </w:tc>
      </w:tr>
      <w:tr>
        <w:trPr>
          <w:trHeight w:val="419"/>
        </w:trPr>
        <w:tc>
          <w:tcPr>
            <w:tcW w:w="4260" w:type="dxa"/>
            <w:vAlign w:val="bottom"/>
          </w:tcPr>
          <w:p>
            <w:pPr>
              <w:spacing w:after="0"/>
              <w:rPr>
                <w:sz w:val="24"/>
                <w:szCs w:val="24"/>
                <w:color w:val="auto"/>
              </w:rPr>
            </w:pPr>
          </w:p>
        </w:tc>
        <w:tc>
          <w:tcPr>
            <w:tcW w:w="7200" w:type="dxa"/>
            <w:vAlign w:val="bottom"/>
          </w:tcPr>
          <w:p>
            <w:pPr>
              <w:ind w:left="360"/>
              <w:spacing w:after="0"/>
              <w:rPr>
                <w:sz w:val="20"/>
                <w:szCs w:val="20"/>
                <w:color w:val="auto"/>
              </w:rPr>
            </w:pPr>
            <w:r>
              <w:rPr>
                <w:rFonts w:ascii="Arial" w:cs="Arial" w:eastAsia="Arial" w:hAnsi="Arial"/>
                <w:sz w:val="35"/>
                <w:szCs w:val="35"/>
                <w:color w:val="auto"/>
              </w:rPr>
              <w:t>excluding intangible amortization</w:t>
            </w:r>
          </w:p>
        </w:tc>
      </w:tr>
      <w:tr>
        <w:trPr>
          <w:trHeight w:val="2165"/>
        </w:trPr>
        <w:tc>
          <w:tcPr>
            <w:tcW w:w="4260" w:type="dxa"/>
            <w:vAlign w:val="bottom"/>
            <w:tcBorders>
              <w:bottom w:val="single" w:sz="8" w:color="808080"/>
            </w:tcBorders>
          </w:tcPr>
          <w:p>
            <w:pPr>
              <w:spacing w:after="0"/>
              <w:rPr>
                <w:sz w:val="24"/>
                <w:szCs w:val="24"/>
                <w:color w:val="auto"/>
              </w:rPr>
            </w:pPr>
          </w:p>
        </w:tc>
        <w:tc>
          <w:tcPr>
            <w:tcW w:w="7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80" w:right="219" w:bottom="1440" w:gutter="0" w:footer="0" w:header="0"/>
          <w:type w:val="continuous"/>
        </w:sectPr>
      </w:pPr>
    </w:p>
    <w:bookmarkStart w:id="39" w:name="page40"/>
    <w:bookmarkEnd w:id="39"/>
    <w:p>
      <w:pPr>
        <w:ind w:left="80"/>
        <w:spacing w:after="0"/>
        <w:rPr>
          <w:sz w:val="20"/>
          <w:szCs w:val="20"/>
          <w:color w:val="auto"/>
        </w:rPr>
      </w:pPr>
      <w:r>
        <w:rPr>
          <w:rFonts w:ascii="Arial" w:cs="Arial" w:eastAsia="Arial" w:hAnsi="Arial"/>
          <w:sz w:val="26"/>
          <w:szCs w:val="26"/>
          <w:b w:val="1"/>
          <w:bCs w:val="1"/>
          <w:color w:val="6698C2"/>
        </w:rPr>
        <w:drawing>
          <wp:anchor simplePos="0" relativeHeight="251657728" behindDoc="1" locked="0" layoutInCell="0" allowOverlap="1">
            <wp:simplePos x="0" y="0"/>
            <wp:positionH relativeFrom="page">
              <wp:posOffset>468630</wp:posOffset>
            </wp:positionH>
            <wp:positionV relativeFrom="page">
              <wp:posOffset>165100</wp:posOffset>
            </wp:positionV>
            <wp:extent cx="6630670" cy="4973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630670" cy="4973320"/>
                    </a:xfrm>
                    <a:prstGeom prst="rect">
                      <a:avLst/>
                    </a:prstGeom>
                    <a:noFill/>
                  </pic:spPr>
                </pic:pic>
              </a:graphicData>
            </a:graphic>
          </wp:anchor>
        </w:drawing>
        <w:t>Manpower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20"/>
        <w:spacing w:after="0"/>
        <w:rPr>
          <w:sz w:val="20"/>
          <w:szCs w:val="20"/>
          <w:color w:val="auto"/>
        </w:rPr>
      </w:pPr>
      <w:r>
        <w:rPr>
          <w:rFonts w:ascii="Arial" w:cs="Arial" w:eastAsia="Arial" w:hAnsi="Arial"/>
          <w:sz w:val="58"/>
          <w:szCs w:val="58"/>
          <w:color w:val="auto"/>
        </w:rPr>
        <w:t>Questions?</w:t>
      </w:r>
    </w:p>
    <w:p>
      <w:pPr>
        <w:jc w:val="right"/>
        <w:ind w:right="1039"/>
        <w:spacing w:after="0"/>
        <w:rPr>
          <w:sz w:val="20"/>
          <w:szCs w:val="20"/>
          <w:color w:val="auto"/>
        </w:rPr>
      </w:pPr>
      <w:r>
        <w:rPr>
          <w:rFonts w:ascii="Arial" w:cs="Arial" w:eastAsia="Arial" w:hAnsi="Arial"/>
          <w:sz w:val="87"/>
          <w:szCs w:val="87"/>
          <w:color w:val="auto"/>
        </w:rPr>
        <w:t>Answers</w:t>
      </w:r>
    </w:p>
    <w:p>
      <w:pPr>
        <w:sectPr>
          <w:pgSz w:w="11900" w:h="16838" w:orient="portrait"/>
          <w:cols w:equalWidth="0" w:num="1">
            <w:col w:w="9019"/>
          </w:cols>
          <w:pgMar w:left="1440" w:top="1068"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99.3</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Manpower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Restated Results - Annual Earnings</w:t>
      </w:r>
    </w:p>
    <w:p>
      <w:pPr>
        <w:spacing w:after="0"/>
        <w:rPr>
          <w:sz w:val="20"/>
          <w:szCs w:val="20"/>
          <w:color w:val="auto"/>
        </w:rPr>
      </w:pPr>
      <w:r>
        <w:rPr>
          <w:rFonts w:ascii="Arial" w:cs="Arial" w:eastAsia="Arial" w:hAnsi="Arial"/>
          <w:sz w:val="16"/>
          <w:szCs w:val="16"/>
          <w:b w:val="1"/>
          <w:bCs w:val="1"/>
          <w:color w:val="auto"/>
        </w:rPr>
        <w:t>December 31, 2009</w:t>
      </w:r>
    </w:p>
    <w:p>
      <w:pPr>
        <w:spacing w:after="0"/>
        <w:rPr>
          <w:sz w:val="20"/>
          <w:szCs w:val="20"/>
          <w:color w:val="auto"/>
        </w:rPr>
      </w:pPr>
      <w:r>
        <w:rPr>
          <w:rFonts w:ascii="Arial" w:cs="Arial" w:eastAsia="Arial" w:hAnsi="Arial"/>
          <w:sz w:val="17"/>
          <w:szCs w:val="17"/>
          <w:color w:val="auto"/>
        </w:rPr>
        <w:t>(In millions, except per share data)</w:t>
      </w:r>
    </w:p>
    <w:p>
      <w:pPr>
        <w:spacing w:after="0" w:line="380"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During the fourth quarter of 2009, we determined that our Other EMEA reportable segment prematurely recognized revenues related to a workforce solutions contract. These revenues were recorded on a cash-basis rather than being deferred and earned over the four-year performance period following the month the services were performed. Accordingly, we have restated our annual and quarterly financial results for 2007, 2008, and the nine months ended September 30, 2009. This restatement has no impact on cash flows and only impacts the timing of when revenues are earned, as total revenues for the contract are expected to remain unchanged. The effects of this restatement on 2009, 2008 and 2007 are as follows:</w:t>
      </w:r>
    </w:p>
    <w:p>
      <w:pPr>
        <w:sectPr>
          <w:pgSz w:w="11900" w:h="16838" w:orient="portrait"/>
          <w:cols w:equalWidth="0" w:num="1">
            <w:col w:w="11460"/>
          </w:cols>
          <w:pgMar w:left="220" w:top="11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Revenues from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4772660"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72660" cy="13970"/>
                    </a:xfrm>
                    <a:prstGeom prst="rect">
                      <a:avLst/>
                    </a:prstGeom>
                    <a:noFill/>
                  </pic:spPr>
                </pic:pic>
              </a:graphicData>
            </a:graphic>
          </wp:anchor>
        </w:drawing>
      </w:r>
    </w:p>
    <w:p>
      <w:pPr>
        <w:spacing w:after="0" w:line="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Cost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4772660"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72660" cy="1397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Gross profit</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Selling and administrative expenses</w:t>
      </w:r>
    </w:p>
    <w:p>
      <w:pPr>
        <w:spacing w:after="0" w:line="13" w:lineRule="exact"/>
        <w:rPr>
          <w:sz w:val="20"/>
          <w:szCs w:val="20"/>
          <w:color w:val="auto"/>
        </w:rPr>
      </w:pPr>
    </w:p>
    <w:p>
      <w:pPr>
        <w:jc w:val="right"/>
        <w:ind w:right="3520"/>
        <w:spacing w:after="0"/>
        <w:rPr>
          <w:sz w:val="20"/>
          <w:szCs w:val="20"/>
          <w:color w:val="auto"/>
        </w:rPr>
      </w:pPr>
      <w:r>
        <w:rPr>
          <w:rFonts w:ascii="Arial" w:cs="Arial" w:eastAsia="Arial" w:hAnsi="Arial"/>
          <w:sz w:val="14"/>
          <w:szCs w:val="14"/>
          <w:color w:val="auto"/>
        </w:rPr>
        <w:t>Goodwill and intangible asset impairment charge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Selling and administrative expenses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Interest and other expense</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Year Ended December 31, 2008</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As</w:t>
            </w: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160" w:type="dxa"/>
            <w:vAlign w:val="bottom"/>
          </w:tcPr>
          <w:p>
            <w:pPr>
              <w:spacing w:after="0"/>
              <w:rPr>
                <w:sz w:val="15"/>
                <w:szCs w:val="15"/>
                <w:color w:val="auto"/>
              </w:rPr>
            </w:pPr>
          </w:p>
        </w:tc>
        <w:tc>
          <w:tcPr>
            <w:tcW w:w="1040" w:type="dxa"/>
            <w:vAlign w:val="bottom"/>
          </w:tcPr>
          <w:p>
            <w:pPr>
              <w:jc w:val="center"/>
              <w:ind w:right="168"/>
              <w:spacing w:after="0"/>
              <w:rPr>
                <w:sz w:val="20"/>
                <w:szCs w:val="20"/>
                <w:color w:val="auto"/>
              </w:rPr>
            </w:pPr>
            <w:r>
              <w:rPr>
                <w:rFonts w:ascii="Arial" w:cs="Arial" w:eastAsia="Arial" w:hAnsi="Arial"/>
                <w:sz w:val="14"/>
                <w:szCs w:val="14"/>
                <w:b w:val="1"/>
                <w:bCs w:val="1"/>
                <w:color w:val="auto"/>
                <w:w w:val="91"/>
              </w:rPr>
              <w:t>previously</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w:t>
            </w:r>
          </w:p>
        </w:tc>
      </w:tr>
      <w:tr>
        <w:trPr>
          <w:trHeight w:val="190"/>
        </w:trPr>
        <w:tc>
          <w:tcPr>
            <w:tcW w:w="160" w:type="dxa"/>
            <w:vAlign w:val="bottom"/>
          </w:tcPr>
          <w:p>
            <w:pPr>
              <w:spacing w:after="0"/>
              <w:rPr>
                <w:sz w:val="16"/>
                <w:szCs w:val="16"/>
                <w:color w:val="auto"/>
              </w:rPr>
            </w:pPr>
          </w:p>
        </w:tc>
        <w:tc>
          <w:tcPr>
            <w:tcW w:w="104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reported</w:t>
            </w:r>
          </w:p>
        </w:tc>
        <w:tc>
          <w:tcPr>
            <w:tcW w:w="200" w:type="dxa"/>
            <w:vAlign w:val="bottom"/>
          </w:tcPr>
          <w:p>
            <w:pPr>
              <w:spacing w:after="0"/>
              <w:rPr>
                <w:sz w:val="16"/>
                <w:szCs w:val="16"/>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Adjustment</w:t>
            </w:r>
          </w:p>
        </w:tc>
        <w:tc>
          <w:tcPr>
            <w:tcW w:w="24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restated</w:t>
            </w:r>
          </w:p>
        </w:tc>
      </w:tr>
      <w:tr>
        <w:trPr>
          <w:trHeight w:val="163"/>
        </w:trPr>
        <w:tc>
          <w:tcPr>
            <w:tcW w:w="16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21,552.8</w:t>
            </w: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21,537.1</w:t>
            </w:r>
          </w:p>
        </w:tc>
        <w:tc>
          <w:tcPr>
            <w:tcW w:w="20" w:type="dxa"/>
            <w:vAlign w:val="bottom"/>
          </w:tcPr>
          <w:p>
            <w:pPr>
              <w:spacing w:after="0"/>
              <w:rPr>
                <w:sz w:val="14"/>
                <w:szCs w:val="14"/>
                <w:color w:val="auto"/>
              </w:rPr>
            </w:pPr>
          </w:p>
        </w:tc>
      </w:tr>
      <w:tr>
        <w:trPr>
          <w:trHeight w:val="186"/>
        </w:trPr>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17,450.2</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17,450.2</w:t>
            </w:r>
          </w:p>
        </w:tc>
      </w:tr>
      <w:tr>
        <w:trPr>
          <w:trHeight w:val="163"/>
        </w:trPr>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4,102.6</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(15.7)</w:t>
            </w:r>
          </w:p>
        </w:tc>
        <w:tc>
          <w:tcPr>
            <w:tcW w:w="24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4,086.9</w:t>
            </w:r>
          </w:p>
        </w:tc>
      </w:tr>
      <w:tr>
        <w:trPr>
          <w:trHeight w:val="174"/>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3,430.3</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3,430.3</w:t>
            </w:r>
          </w:p>
        </w:tc>
      </w:tr>
      <w:tr>
        <w:trPr>
          <w:trHeight w:val="186"/>
        </w:trPr>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163.1</w:t>
            </w:r>
          </w:p>
        </w:tc>
      </w:tr>
      <w:tr>
        <w:trPr>
          <w:trHeight w:val="163"/>
        </w:trPr>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3,593.4</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3,593.4</w:t>
            </w:r>
          </w:p>
        </w:tc>
      </w:tr>
      <w:tr>
        <w:trPr>
          <w:trHeight w:val="174"/>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509.2</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(15.7)</w:t>
            </w:r>
          </w:p>
        </w:tc>
        <w:tc>
          <w:tcPr>
            <w:tcW w:w="2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493.5</w:t>
            </w:r>
          </w:p>
        </w:tc>
      </w:tr>
      <w:tr>
        <w:trPr>
          <w:trHeight w:val="183"/>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50.9</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-4846320</wp:posOffset>
            </wp:positionH>
            <wp:positionV relativeFrom="paragraph">
              <wp:posOffset>-909955</wp:posOffset>
            </wp:positionV>
            <wp:extent cx="7273290" cy="1104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3290" cy="1104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-675005</wp:posOffset>
            </wp:positionV>
            <wp:extent cx="7273290" cy="1104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3290" cy="1104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-219710</wp:posOffset>
            </wp:positionV>
            <wp:extent cx="7273290" cy="1104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3290" cy="1104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-454025</wp:posOffset>
            </wp:positionV>
            <wp:extent cx="7273290" cy="1244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3290" cy="1244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920" w:space="720"/>
            <w:col w:w="3820"/>
          </w:cols>
          <w:pgMar w:left="220" w:top="118" w:right="2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75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Earnings before income taxes</w:t>
            </w:r>
          </w:p>
        </w:tc>
        <w:tc>
          <w:tcPr>
            <w:tcW w:w="1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458.3</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(15.7)</w:t>
            </w:r>
          </w:p>
        </w:tc>
        <w:tc>
          <w:tcPr>
            <w:tcW w:w="3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442.6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Pr>
          <w:p>
            <w:pPr>
              <w:ind w:left="520"/>
              <w:spacing w:after="0"/>
              <w:rPr>
                <w:sz w:val="20"/>
                <w:szCs w:val="20"/>
                <w:color w:val="auto"/>
              </w:rPr>
            </w:pPr>
            <w:r>
              <w:rPr>
                <w:rFonts w:ascii="Arial" w:cs="Arial" w:eastAsia="Arial" w:hAnsi="Arial"/>
                <w:sz w:val="14"/>
                <w:szCs w:val="14"/>
                <w:color w:val="auto"/>
              </w:rPr>
              <w:t>Provision for income taxes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239.4</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3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Net earnings</w:t>
            </w:r>
          </w:p>
        </w:tc>
        <w:tc>
          <w:tcPr>
            <w:tcW w:w="3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218.9</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7500" w:type="dxa"/>
            <w:vAlign w:val="bottom"/>
          </w:tcPr>
          <w:p>
            <w:pPr>
              <w:spacing w:after="0" w:line="157" w:lineRule="exact"/>
              <w:rPr>
                <w:sz w:val="20"/>
                <w:szCs w:val="20"/>
                <w:color w:val="auto"/>
              </w:rPr>
            </w:pPr>
            <w:r>
              <w:rPr>
                <w:rFonts w:ascii="Arial" w:cs="Arial" w:eastAsia="Arial" w:hAnsi="Arial"/>
                <w:sz w:val="14"/>
                <w:szCs w:val="14"/>
                <w:color w:val="auto"/>
              </w:rPr>
              <w:t>Net earnings per share - basic</w:t>
            </w:r>
          </w:p>
        </w:tc>
        <w:tc>
          <w:tcPr>
            <w:tcW w:w="3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line="157" w:lineRule="exact"/>
              <w:rPr>
                <w:sz w:val="20"/>
                <w:szCs w:val="20"/>
                <w:color w:val="auto"/>
              </w:rPr>
            </w:pPr>
            <w:r>
              <w:rPr>
                <w:rFonts w:ascii="Arial" w:cs="Arial" w:eastAsia="Arial" w:hAnsi="Arial"/>
                <w:sz w:val="14"/>
                <w:szCs w:val="14"/>
                <w:color w:val="auto"/>
              </w:rPr>
              <w:t>2.78</w:t>
            </w:r>
          </w:p>
        </w:tc>
        <w:tc>
          <w:tcPr>
            <w:tcW w:w="2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7" w:lineRule="exact"/>
              <w:rPr>
                <w:sz w:val="20"/>
                <w:szCs w:val="20"/>
                <w:color w:val="auto"/>
              </w:rPr>
            </w:pPr>
            <w:r>
              <w:rPr>
                <w:rFonts w:ascii="Arial" w:cs="Arial" w:eastAsia="Arial" w:hAnsi="Arial"/>
                <w:sz w:val="14"/>
                <w:szCs w:val="14"/>
                <w:color w:val="auto"/>
              </w:rPr>
              <w:t>(0.17)</w:t>
            </w:r>
          </w:p>
        </w:tc>
        <w:tc>
          <w:tcPr>
            <w:tcW w:w="36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earnings per share - diluted</w:t>
            </w:r>
          </w:p>
        </w:tc>
        <w:tc>
          <w:tcPr>
            <w:tcW w:w="320" w:type="dxa"/>
            <w:vAlign w:val="bottom"/>
            <w:tcBorders>
              <w:left w:val="single" w:sz="8" w:color="CCEEFF"/>
            </w:tcBorders>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2.75</w:t>
            </w:r>
          </w:p>
        </w:tc>
        <w:tc>
          <w:tcPr>
            <w:tcW w:w="2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(0.17)</w:t>
            </w:r>
          </w:p>
        </w:tc>
        <w:tc>
          <w:tcPr>
            <w:tcW w:w="3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725"/>
        </w:trPr>
        <w:tc>
          <w:tcPr>
            <w:tcW w:w="20" w:type="dxa"/>
            <w:vAlign w:val="bottom"/>
          </w:tcPr>
          <w:p>
            <w:pPr>
              <w:spacing w:after="0"/>
              <w:rPr>
                <w:sz w:val="24"/>
                <w:szCs w:val="24"/>
                <w:color w:val="auto"/>
              </w:rPr>
            </w:pPr>
          </w:p>
        </w:tc>
        <w:tc>
          <w:tcPr>
            <w:tcW w:w="75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 2007</w:t>
            </w:r>
          </w:p>
        </w:tc>
        <w:tc>
          <w:tcPr>
            <w:tcW w:w="8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148"/>
              <w:spacing w:after="0" w:line="159" w:lineRule="exact"/>
              <w:rPr>
                <w:sz w:val="20"/>
                <w:szCs w:val="20"/>
                <w:color w:val="auto"/>
              </w:rPr>
            </w:pPr>
            <w:r>
              <w:rPr>
                <w:rFonts w:ascii="Arial" w:cs="Arial" w:eastAsia="Arial" w:hAnsi="Arial"/>
                <w:sz w:val="14"/>
                <w:szCs w:val="14"/>
                <w:b w:val="1"/>
                <w:bCs w:val="1"/>
                <w:color w:val="auto"/>
                <w:w w:val="89"/>
              </w:rPr>
              <w:t>As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previously</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reported</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1"/>
              </w:rPr>
              <w:t>restated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w:t>
            </w:r>
          </w:p>
        </w:tc>
        <w:tc>
          <w:tcPr>
            <w:tcW w:w="3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20,500.3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20,486.1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Pr>
          <w:p>
            <w:pPr>
              <w:ind w:left="520"/>
              <w:spacing w:after="0"/>
              <w:rPr>
                <w:sz w:val="20"/>
                <w:szCs w:val="20"/>
                <w:color w:val="auto"/>
              </w:rPr>
            </w:pPr>
            <w:r>
              <w:rPr>
                <w:rFonts w:ascii="Arial" w:cs="Arial" w:eastAsia="Arial" w:hAnsi="Arial"/>
                <w:sz w:val="14"/>
                <w:szCs w:val="14"/>
                <w:color w:val="auto"/>
              </w:rPr>
              <w:t>Cost of services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16,651.7</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16,651.7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5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3,848.6</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3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3,834.4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4"/>
                <w:szCs w:val="14"/>
                <w:color w:val="auto"/>
              </w:rPr>
              <w:t>Selling and administrative expenses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3,023.2</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3,023.2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5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825.4</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3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Pr>
          <w:p>
            <w:pPr>
              <w:ind w:left="520"/>
              <w:spacing w:after="0"/>
              <w:rPr>
                <w:sz w:val="20"/>
                <w:szCs w:val="20"/>
                <w:color w:val="auto"/>
              </w:rPr>
            </w:pPr>
            <w:r>
              <w:rPr>
                <w:rFonts w:ascii="Arial" w:cs="Arial" w:eastAsia="Arial" w:hAnsi="Arial"/>
                <w:sz w:val="14"/>
                <w:szCs w:val="14"/>
                <w:color w:val="auto"/>
              </w:rPr>
              <w:t>Interest and other expense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34.2</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5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791.2</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3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Pr>
          <w:p>
            <w:pPr>
              <w:ind w:left="520"/>
              <w:spacing w:after="0"/>
              <w:rPr>
                <w:sz w:val="20"/>
                <w:szCs w:val="20"/>
                <w:color w:val="auto"/>
              </w:rPr>
            </w:pPr>
            <w:r>
              <w:rPr>
                <w:rFonts w:ascii="Arial" w:cs="Arial" w:eastAsia="Arial" w:hAnsi="Arial"/>
                <w:sz w:val="14"/>
                <w:szCs w:val="14"/>
                <w:color w:val="auto"/>
              </w:rPr>
              <w:t>Provision for income taxes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306.5</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w:t>
            </w:r>
          </w:p>
        </w:tc>
        <w:tc>
          <w:tcPr>
            <w:tcW w:w="3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303.3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5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Net earnings</w:t>
            </w:r>
          </w:p>
        </w:tc>
        <w:tc>
          <w:tcPr>
            <w:tcW w:w="3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7500" w:type="dxa"/>
            <w:vAlign w:val="bottom"/>
          </w:tcPr>
          <w:p>
            <w:pPr>
              <w:spacing w:after="0" w:line="157" w:lineRule="exact"/>
              <w:rPr>
                <w:sz w:val="20"/>
                <w:szCs w:val="20"/>
                <w:color w:val="auto"/>
              </w:rPr>
            </w:pPr>
            <w:r>
              <w:rPr>
                <w:rFonts w:ascii="Arial" w:cs="Arial" w:eastAsia="Arial" w:hAnsi="Arial"/>
                <w:sz w:val="14"/>
                <w:szCs w:val="14"/>
                <w:color w:val="auto"/>
              </w:rPr>
              <w:t>Net earnings per share - basic</w:t>
            </w:r>
          </w:p>
        </w:tc>
        <w:tc>
          <w:tcPr>
            <w:tcW w:w="3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5.83</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7" w:lineRule="exact"/>
              <w:rPr>
                <w:sz w:val="20"/>
                <w:szCs w:val="20"/>
                <w:color w:val="auto"/>
              </w:rPr>
            </w:pPr>
            <w:r>
              <w:rPr>
                <w:rFonts w:ascii="Arial" w:cs="Arial" w:eastAsia="Arial" w:hAnsi="Arial"/>
                <w:sz w:val="14"/>
                <w:szCs w:val="14"/>
                <w:color w:val="auto"/>
              </w:rPr>
              <w:t>(0.13)</w:t>
            </w:r>
          </w:p>
        </w:tc>
        <w:tc>
          <w:tcPr>
            <w:tcW w:w="36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earnings per share - diluted</w:t>
            </w:r>
          </w:p>
        </w:tc>
        <w:tc>
          <w:tcPr>
            <w:tcW w:w="320" w:type="dxa"/>
            <w:vAlign w:val="bottom"/>
            <w:tcBorders>
              <w:left w:val="single" w:sz="8" w:color="CCEEFF"/>
            </w:tcBorders>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5.73</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(0.13)</w:t>
            </w:r>
          </w:p>
        </w:tc>
        <w:tc>
          <w:tcPr>
            <w:tcW w:w="36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500" w:type="dxa"/>
            <w:vAlign w:val="bottom"/>
            <w:tcBorders>
              <w:top w:val="single" w:sz="8" w:color="auto"/>
              <w:bottom w:val="single" w:sz="8" w:color="808080"/>
            </w:tcBorders>
          </w:tcPr>
          <w:p>
            <w:pPr>
              <w:spacing w:after="0"/>
              <w:rPr>
                <w:sz w:val="23"/>
                <w:szCs w:val="23"/>
                <w:color w:val="auto"/>
              </w:rPr>
            </w:pPr>
          </w:p>
        </w:tc>
        <w:tc>
          <w:tcPr>
            <w:tcW w:w="160" w:type="dxa"/>
            <w:vAlign w:val="bottom"/>
            <w:tcBorders>
              <w:top w:val="single" w:sz="8" w:color="CCEEFF"/>
              <w:bottom w:val="single" w:sz="8" w:color="808080"/>
            </w:tcBorders>
          </w:tcPr>
          <w:p>
            <w:pPr>
              <w:spacing w:after="0"/>
              <w:rPr>
                <w:sz w:val="23"/>
                <w:szCs w:val="23"/>
                <w:color w:val="auto"/>
              </w:rPr>
            </w:pPr>
          </w:p>
        </w:tc>
        <w:tc>
          <w:tcPr>
            <w:tcW w:w="160" w:type="dxa"/>
            <w:vAlign w:val="bottom"/>
            <w:tcBorders>
              <w:top w:val="single" w:sz="8" w:color="auto"/>
              <w:bottom w:val="single" w:sz="8" w:color="808080"/>
            </w:tcBorders>
          </w:tcPr>
          <w:p>
            <w:pPr>
              <w:spacing w:after="0"/>
              <w:rPr>
                <w:sz w:val="23"/>
                <w:szCs w:val="23"/>
                <w:color w:val="auto"/>
              </w:rPr>
            </w:pPr>
          </w:p>
        </w:tc>
        <w:tc>
          <w:tcPr>
            <w:tcW w:w="1020" w:type="dxa"/>
            <w:vAlign w:val="bottom"/>
            <w:tcBorders>
              <w:top w:val="single" w:sz="8" w:color="auto"/>
              <w:bottom w:val="single" w:sz="8" w:color="808080"/>
            </w:tcBorders>
          </w:tcPr>
          <w:p>
            <w:pPr>
              <w:spacing w:after="0"/>
              <w:rPr>
                <w:sz w:val="23"/>
                <w:szCs w:val="23"/>
                <w:color w:val="auto"/>
              </w:rPr>
            </w:pPr>
          </w:p>
        </w:tc>
        <w:tc>
          <w:tcPr>
            <w:tcW w:w="200" w:type="dxa"/>
            <w:vAlign w:val="bottom"/>
            <w:tcBorders>
              <w:top w:val="single" w:sz="8" w:color="auto"/>
              <w:bottom w:val="single" w:sz="8" w:color="808080"/>
            </w:tcBorders>
          </w:tcPr>
          <w:p>
            <w:pPr>
              <w:spacing w:after="0"/>
              <w:rPr>
                <w:sz w:val="23"/>
                <w:szCs w:val="23"/>
                <w:color w:val="auto"/>
              </w:rPr>
            </w:pPr>
          </w:p>
        </w:tc>
        <w:tc>
          <w:tcPr>
            <w:tcW w:w="1080" w:type="dxa"/>
            <w:vAlign w:val="bottom"/>
            <w:tcBorders>
              <w:top w:val="single" w:sz="8" w:color="auto"/>
              <w:bottom w:val="single" w:sz="8" w:color="808080"/>
            </w:tcBorders>
          </w:tcPr>
          <w:p>
            <w:pPr>
              <w:spacing w:after="0"/>
              <w:rPr>
                <w:sz w:val="23"/>
                <w:szCs w:val="23"/>
                <w:color w:val="auto"/>
              </w:rPr>
            </w:pPr>
          </w:p>
        </w:tc>
        <w:tc>
          <w:tcPr>
            <w:tcW w:w="360" w:type="dxa"/>
            <w:vAlign w:val="bottom"/>
            <w:tcBorders>
              <w:top w:val="single" w:sz="8" w:color="auto"/>
              <w:bottom w:val="single" w:sz="8" w:color="808080"/>
            </w:tcBorders>
          </w:tcPr>
          <w:p>
            <w:pPr>
              <w:spacing w:after="0"/>
              <w:rPr>
                <w:sz w:val="23"/>
                <w:szCs w:val="23"/>
                <w:color w:val="auto"/>
              </w:rPr>
            </w:pPr>
          </w:p>
        </w:tc>
        <w:tc>
          <w:tcPr>
            <w:tcW w:w="840" w:type="dxa"/>
            <w:vAlign w:val="bottom"/>
            <w:tcBorders>
              <w:top w:val="single" w:sz="8" w:color="auto"/>
              <w:bottom w:val="single" w:sz="8" w:color="808080"/>
            </w:tcBorders>
          </w:tcPr>
          <w:p>
            <w:pPr>
              <w:spacing w:after="0"/>
              <w:rPr>
                <w:sz w:val="23"/>
                <w:szCs w:val="23"/>
                <w:color w:val="auto"/>
              </w:rPr>
            </w:pPr>
          </w:p>
        </w:tc>
        <w:tc>
          <w:tcPr>
            <w:tcW w:w="120" w:type="dxa"/>
            <w:vAlign w:val="bottom"/>
            <w:tcBorders>
              <w:top w:val="single" w:sz="8" w:color="CCEEFF"/>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Manpower Inc.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Restated Results - Quarterly Earnings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2009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2009</w:t>
            </w: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6"/>
          </w:tcPr>
          <w:p>
            <w:pPr>
              <w:jc w:val="right"/>
              <w:ind w:right="180"/>
              <w:spacing w:after="0" w:line="159" w:lineRule="exact"/>
              <w:rPr>
                <w:sz w:val="20"/>
                <w:szCs w:val="20"/>
                <w:color w:val="auto"/>
              </w:rPr>
            </w:pPr>
            <w:r>
              <w:rPr>
                <w:rFonts w:ascii="Arial" w:cs="Arial" w:eastAsia="Arial" w:hAnsi="Arial"/>
                <w:sz w:val="14"/>
                <w:szCs w:val="14"/>
                <w:b w:val="1"/>
                <w:bCs w:val="1"/>
                <w:color w:val="auto"/>
                <w:w w:val="96"/>
              </w:rPr>
              <w:t>Three Months Ended March 31</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7"/>
          </w:tcPr>
          <w:p>
            <w:pPr>
              <w:ind w:left="60"/>
              <w:spacing w:after="0" w:line="159" w:lineRule="exact"/>
              <w:rPr>
                <w:sz w:val="20"/>
                <w:szCs w:val="20"/>
                <w:color w:val="auto"/>
              </w:rPr>
            </w:pPr>
            <w:r>
              <w:rPr>
                <w:rFonts w:ascii="Arial" w:cs="Arial" w:eastAsia="Arial" w:hAnsi="Arial"/>
                <w:sz w:val="14"/>
                <w:szCs w:val="14"/>
                <w:b w:val="1"/>
                <w:bCs w:val="1"/>
                <w:color w:val="auto"/>
                <w:w w:val="99"/>
              </w:rPr>
              <w:t>Three Months Ended September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328"/>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Three Months Ended June 30</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348"/>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right"/>
              <w:ind w:right="68"/>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28"/>
              <w:spacing w:after="0" w:line="159" w:lineRule="exact"/>
              <w:rPr>
                <w:sz w:val="20"/>
                <w:szCs w:val="20"/>
                <w:color w:val="auto"/>
              </w:rPr>
            </w:pPr>
            <w:r>
              <w:rPr>
                <w:rFonts w:ascii="Arial" w:cs="Arial" w:eastAsia="Arial" w:hAnsi="Arial"/>
                <w:sz w:val="14"/>
                <w:szCs w:val="14"/>
                <w:b w:val="1"/>
                <w:bCs w:val="1"/>
                <w:color w:val="auto"/>
              </w:rPr>
              <w:t>As</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48"/>
              <w:spacing w:after="0" w:line="159" w:lineRule="exact"/>
              <w:rPr>
                <w:sz w:val="20"/>
                <w:szCs w:val="20"/>
                <w:color w:val="auto"/>
              </w:rPr>
            </w:pPr>
            <w:r>
              <w:rPr>
                <w:rFonts w:ascii="Arial" w:cs="Arial" w:eastAsia="Arial" w:hAnsi="Arial"/>
                <w:sz w:val="14"/>
                <w:szCs w:val="14"/>
                <w:b w:val="1"/>
                <w:bCs w:val="1"/>
                <w:color w:val="auto"/>
              </w:rPr>
              <w:t>As</w:t>
            </w:r>
          </w:p>
        </w:tc>
        <w:tc>
          <w:tcPr>
            <w:tcW w:w="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48"/>
              <w:spacing w:after="0" w:line="159" w:lineRule="exact"/>
              <w:rPr>
                <w:sz w:val="20"/>
                <w:szCs w:val="20"/>
                <w:color w:val="auto"/>
              </w:rPr>
            </w:pPr>
            <w:r>
              <w:rPr>
                <w:rFonts w:ascii="Arial" w:cs="Arial" w:eastAsia="Arial" w:hAnsi="Arial"/>
                <w:sz w:val="14"/>
                <w:szCs w:val="14"/>
                <w:b w:val="1"/>
                <w:bCs w:val="1"/>
                <w:color w:val="auto"/>
              </w:rPr>
              <w:t>As</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48"/>
              <w:spacing w:after="0" w:line="159" w:lineRule="exact"/>
              <w:rPr>
                <w:sz w:val="20"/>
                <w:szCs w:val="20"/>
                <w:color w:val="auto"/>
              </w:rPr>
            </w:pPr>
            <w:r>
              <w:rPr>
                <w:rFonts w:ascii="Arial" w:cs="Arial" w:eastAsia="Arial" w:hAnsi="Arial"/>
                <w:sz w:val="14"/>
                <w:szCs w:val="14"/>
                <w:b w:val="1"/>
                <w:bCs w:val="1"/>
                <w:color w:val="auto"/>
              </w:rPr>
              <w:t>As</w:t>
            </w:r>
          </w:p>
        </w:tc>
        <w:tc>
          <w:tcPr>
            <w:tcW w:w="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9"/>
              </w:rPr>
              <w:t>previously</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previously</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previously</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previously</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48"/>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88"/>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6"/>
                <w:szCs w:val="16"/>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reported</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9"/>
              </w:rPr>
              <w:t>restated</w:t>
            </w:r>
          </w:p>
        </w:tc>
        <w:tc>
          <w:tcPr>
            <w:tcW w:w="7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reported</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9"/>
              </w:rPr>
              <w:t>restated</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reported</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9"/>
              </w:rPr>
              <w:t>restated</w:t>
            </w:r>
          </w:p>
        </w:tc>
        <w:tc>
          <w:tcPr>
            <w:tcW w:w="7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reported</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7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3,647.1</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3,643.0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3,796.6</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3,793.5</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4"/>
              </w:rPr>
              <w:t>4,192.1</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4,189.6</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5"/>
              </w:rPr>
              <w:t>11,635.8</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1"/>
              </w:rPr>
              <w:t>11,626.1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tcPr>
          <w:p>
            <w:pPr>
              <w:ind w:left="100"/>
              <w:spacing w:after="0"/>
              <w:rPr>
                <w:sz w:val="20"/>
                <w:szCs w:val="20"/>
                <w:color w:val="auto"/>
              </w:rPr>
            </w:pPr>
            <w:r>
              <w:rPr>
                <w:rFonts w:ascii="Arial" w:cs="Arial" w:eastAsia="Arial" w:hAnsi="Arial"/>
                <w:sz w:val="14"/>
                <w:szCs w:val="14"/>
                <w:color w:val="auto"/>
              </w:rPr>
              <w:t>Cost of services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2,977.3</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2,977.3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3,101.2</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3,101.2</w:t>
            </w:r>
          </w:p>
        </w:tc>
        <w:tc>
          <w:tcPr>
            <w:tcW w:w="20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w w:val="94"/>
              </w:rPr>
              <w:t>3,485.5</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3,485.5</w:t>
            </w:r>
          </w:p>
        </w:tc>
        <w:tc>
          <w:tcPr>
            <w:tcW w:w="1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9,564.0</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9,564.0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669.8</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695.4</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692.3</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706.6</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704.1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2,071.8</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gridSpan w:val="2"/>
          </w:tcPr>
          <w:p>
            <w:pPr>
              <w:ind w:left="100"/>
              <w:spacing w:after="0"/>
              <w:rPr>
                <w:sz w:val="20"/>
                <w:szCs w:val="20"/>
                <w:color w:val="auto"/>
              </w:rPr>
            </w:pPr>
            <w:r>
              <w:rPr>
                <w:rFonts w:ascii="Arial" w:cs="Arial" w:eastAsia="Arial" w:hAnsi="Arial"/>
                <w:sz w:val="14"/>
                <w:szCs w:val="14"/>
                <w:color w:val="auto"/>
              </w:rPr>
              <w:t>Selling and administrative expenses</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664.3</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673.3</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673.3</w:t>
            </w:r>
          </w:p>
        </w:tc>
        <w:tc>
          <w:tcPr>
            <w:tcW w:w="20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664.6</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664.6</w:t>
            </w:r>
          </w:p>
        </w:tc>
        <w:tc>
          <w:tcPr>
            <w:tcW w:w="1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2,002.2</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2,002.2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Goodwill and intangible asset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impairment charge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61.0</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61.0</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Selling and administrative expenses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664.3</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673.3</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673.3</w:t>
            </w:r>
          </w:p>
        </w:tc>
        <w:tc>
          <w:tcPr>
            <w:tcW w:w="20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725.6</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725.6</w:t>
            </w:r>
          </w:p>
        </w:tc>
        <w:tc>
          <w:tcPr>
            <w:tcW w:w="1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2,063.2</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2,063.2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tcPr>
          <w:p>
            <w:pPr>
              <w:ind w:left="100"/>
              <w:spacing w:after="0"/>
              <w:rPr>
                <w:sz w:val="20"/>
                <w:szCs w:val="20"/>
                <w:color w:val="auto"/>
              </w:rPr>
            </w:pPr>
            <w:r>
              <w:rPr>
                <w:rFonts w:ascii="Arial" w:cs="Arial" w:eastAsia="Arial" w:hAnsi="Arial"/>
                <w:sz w:val="14"/>
                <w:szCs w:val="14"/>
                <w:color w:val="auto"/>
              </w:rPr>
              <w:t>Interest and other expense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11.9</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29.3</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52.0</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(Loss) earnings before income taxes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tcPr>
          <w:p>
            <w:pPr>
              <w:ind w:left="100"/>
              <w:spacing w:after="0"/>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w:t>
            </w:r>
          </w:p>
        </w:tc>
        <w:tc>
          <w:tcPr>
            <w:tcW w:w="18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(8.1)</w:t>
            </w:r>
          </w:p>
        </w:tc>
        <w:tc>
          <w:tcPr>
            <w:tcW w:w="20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(14.6)</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Net earnings (loss)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2320" w:type="dxa"/>
            <w:vAlign w:val="bottom"/>
          </w:tcPr>
          <w:p>
            <w:pPr>
              <w:spacing w:after="0" w:line="157" w:lineRule="exact"/>
              <w:rPr>
                <w:sz w:val="20"/>
                <w:szCs w:val="20"/>
                <w:color w:val="auto"/>
              </w:rPr>
            </w:pPr>
            <w:r>
              <w:rPr>
                <w:rFonts w:ascii="Arial" w:cs="Arial" w:eastAsia="Arial" w:hAnsi="Arial"/>
                <w:sz w:val="14"/>
                <w:szCs w:val="14"/>
                <w:color w:val="auto"/>
              </w:rPr>
              <w:t>Net earnings per share - basic</w:t>
            </w:r>
          </w:p>
        </w:tc>
        <w:tc>
          <w:tcPr>
            <w:tcW w:w="100" w:type="dxa"/>
            <w:vAlign w:val="bottom"/>
          </w:tcPr>
          <w:p>
            <w:pPr>
              <w:spacing w:after="0"/>
              <w:rPr>
                <w:sz w:val="13"/>
                <w:szCs w:val="13"/>
                <w:color w:val="auto"/>
              </w:rPr>
            </w:pPr>
          </w:p>
        </w:tc>
        <w:tc>
          <w:tcPr>
            <w:tcW w:w="80" w:type="dxa"/>
            <w:vAlign w:val="bottom"/>
          </w:tcPr>
          <w:p>
            <w:pPr>
              <w:spacing w:after="0" w:line="157"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0.03</w:t>
            </w:r>
          </w:p>
        </w:tc>
        <w:tc>
          <w:tcPr>
            <w:tcW w:w="18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(0.05)</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(0.02)</w:t>
            </w:r>
          </w:p>
        </w:tc>
        <w:tc>
          <w:tcPr>
            <w:tcW w:w="1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0.25</w:t>
            </w:r>
          </w:p>
        </w:tc>
        <w:tc>
          <w:tcPr>
            <w:tcW w:w="260" w:type="dxa"/>
            <w:vAlign w:val="bottom"/>
          </w:tcPr>
          <w:p>
            <w:pPr>
              <w:ind w:left="2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(0.04)</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0.21</w:t>
            </w:r>
          </w:p>
        </w:tc>
        <w:tc>
          <w:tcPr>
            <w:tcW w:w="2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(0.64)</w:t>
            </w:r>
          </w:p>
        </w:tc>
        <w:tc>
          <w:tcPr>
            <w:tcW w:w="180" w:type="dxa"/>
            <w:vAlign w:val="bottom"/>
          </w:tcPr>
          <w:p>
            <w:pPr>
              <w:ind w:left="20"/>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(0.03)</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(0.67)</w:t>
            </w:r>
          </w:p>
        </w:tc>
        <w:tc>
          <w:tcPr>
            <w:tcW w:w="1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(0.37)</w:t>
            </w:r>
          </w:p>
        </w:tc>
        <w:tc>
          <w:tcPr>
            <w:tcW w:w="260" w:type="dxa"/>
            <w:vAlign w:val="bottom"/>
          </w:tcPr>
          <w:p>
            <w:pPr>
              <w:ind w:left="2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(0.12)</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3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earnings per share - diluted</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0.03</w:t>
            </w:r>
          </w:p>
        </w:tc>
        <w:tc>
          <w:tcPr>
            <w:tcW w:w="1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0.25</w:t>
            </w:r>
          </w:p>
        </w:tc>
        <w:tc>
          <w:tcPr>
            <w:tcW w:w="2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0.21</w:t>
            </w:r>
          </w:p>
        </w:tc>
        <w:tc>
          <w:tcPr>
            <w:tcW w:w="2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(0.64)</w:t>
            </w:r>
          </w:p>
        </w:tc>
        <w:tc>
          <w:tcPr>
            <w:tcW w:w="1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(0.67)</w:t>
            </w:r>
          </w:p>
        </w:tc>
        <w:tc>
          <w:tcPr>
            <w:tcW w:w="1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(0.37)</w:t>
            </w:r>
          </w:p>
        </w:tc>
        <w:tc>
          <w:tcPr>
            <w:tcW w:w="2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(0.12)</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20" w:firstLine="7"/>
        <w:spacing w:after="0" w:line="279" w:lineRule="auto"/>
        <w:tabs>
          <w:tab w:leader="none" w:pos="237"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the three months ended March 31, 2009, our net earnings of $2.3 million as previously reported changed to a net loss of $1.8 million as restated. Therefore, the weighted average shares - diluted for the three months ended 2009 changed from 78.3 million to 78.1 million due to the net loss as the assumed exercise price of stock-based awards had an anitdilutive effect and were excluded from the calculation of weighted average shares - diluted.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2008</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7"/>
          </w:tcPr>
          <w:p>
            <w:pPr>
              <w:ind w:left="60"/>
              <w:spacing w:after="0" w:line="159" w:lineRule="exact"/>
              <w:rPr>
                <w:sz w:val="20"/>
                <w:szCs w:val="20"/>
                <w:color w:val="auto"/>
              </w:rPr>
            </w:pPr>
            <w:r>
              <w:rPr>
                <w:rFonts w:ascii="Arial" w:cs="Arial" w:eastAsia="Arial" w:hAnsi="Arial"/>
                <w:sz w:val="14"/>
                <w:szCs w:val="14"/>
                <w:b w:val="1"/>
                <w:bCs w:val="1"/>
                <w:color w:val="auto"/>
                <w:w w:val="99"/>
              </w:rPr>
              <w:t>Three Months Ended September</w:t>
            </w:r>
          </w:p>
        </w:tc>
        <w:tc>
          <w:tcPr>
            <w:tcW w:w="80" w:type="dxa"/>
            <w:vAlign w:val="bottom"/>
          </w:tcPr>
          <w:p>
            <w:pPr>
              <w:spacing w:after="0"/>
              <w:rPr>
                <w:sz w:val="13"/>
                <w:szCs w:val="13"/>
                <w:color w:val="auto"/>
              </w:rPr>
            </w:pPr>
          </w:p>
        </w:tc>
        <w:tc>
          <w:tcPr>
            <w:tcW w:w="2160" w:type="dxa"/>
            <w:vAlign w:val="bottom"/>
            <w:gridSpan w:val="5"/>
          </w:tcPr>
          <w:p>
            <w:pPr>
              <w:jc w:val="right"/>
              <w:ind w:right="108"/>
              <w:spacing w:after="0" w:line="159" w:lineRule="exact"/>
              <w:rPr>
                <w:sz w:val="20"/>
                <w:szCs w:val="20"/>
                <w:color w:val="auto"/>
              </w:rPr>
            </w:pPr>
            <w:r>
              <w:rPr>
                <w:rFonts w:ascii="Arial" w:cs="Arial" w:eastAsia="Arial" w:hAnsi="Arial"/>
                <w:sz w:val="14"/>
                <w:szCs w:val="14"/>
                <w:b w:val="1"/>
                <w:bCs w:val="1"/>
                <w:color w:val="auto"/>
                <w:w w:val="93"/>
              </w:rPr>
              <w:t>Three Months Ended December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Three Months Ended March 31</w:t>
            </w:r>
          </w:p>
        </w:tc>
        <w:tc>
          <w:tcPr>
            <w:tcW w:w="120" w:type="dxa"/>
            <w:vAlign w:val="bottom"/>
          </w:tcPr>
          <w:p>
            <w:pPr>
              <w:spacing w:after="0"/>
              <w:rPr>
                <w:sz w:val="16"/>
                <w:szCs w:val="16"/>
                <w:color w:val="auto"/>
              </w:rPr>
            </w:pPr>
          </w:p>
        </w:tc>
        <w:tc>
          <w:tcPr>
            <w:tcW w:w="202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348"/>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ind w:right="34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28"/>
              <w:spacing w:after="0" w:line="159" w:lineRule="exact"/>
              <w:rPr>
                <w:sz w:val="20"/>
                <w:szCs w:val="20"/>
                <w:color w:val="auto"/>
              </w:rPr>
            </w:pPr>
            <w:r>
              <w:rPr>
                <w:rFonts w:ascii="Arial" w:cs="Arial" w:eastAsia="Arial" w:hAnsi="Arial"/>
                <w:sz w:val="14"/>
                <w:szCs w:val="14"/>
                <w:b w:val="1"/>
                <w:bCs w:val="1"/>
                <w:color w:val="auto"/>
              </w:rPr>
              <w:t>As</w:t>
            </w:r>
          </w:p>
        </w:tc>
        <w:tc>
          <w:tcPr>
            <w:tcW w:w="3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28"/>
              <w:spacing w:after="0" w:line="159" w:lineRule="exact"/>
              <w:rPr>
                <w:sz w:val="20"/>
                <w:szCs w:val="20"/>
                <w:color w:val="auto"/>
              </w:rPr>
            </w:pPr>
            <w:r>
              <w:rPr>
                <w:rFonts w:ascii="Arial" w:cs="Arial" w:eastAsia="Arial" w:hAnsi="Arial"/>
                <w:sz w:val="14"/>
                <w:szCs w:val="14"/>
                <w:b w:val="1"/>
                <w:bCs w:val="1"/>
                <w:color w:val="auto"/>
              </w:rPr>
              <w:t>As</w:t>
            </w:r>
          </w:p>
        </w:tc>
        <w:tc>
          <w:tcPr>
            <w:tcW w:w="3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48"/>
              <w:spacing w:after="0" w:line="159" w:lineRule="exact"/>
              <w:rPr>
                <w:sz w:val="20"/>
                <w:szCs w:val="20"/>
                <w:color w:val="auto"/>
              </w:rPr>
            </w:pPr>
            <w:r>
              <w:rPr>
                <w:rFonts w:ascii="Arial" w:cs="Arial" w:eastAsia="Arial" w:hAnsi="Arial"/>
                <w:sz w:val="14"/>
                <w:szCs w:val="14"/>
                <w:b w:val="1"/>
                <w:bCs w:val="1"/>
                <w:color w:val="auto"/>
              </w:rPr>
              <w:t>As</w:t>
            </w: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28"/>
              <w:spacing w:after="0" w:line="159" w:lineRule="exact"/>
              <w:rPr>
                <w:sz w:val="20"/>
                <w:szCs w:val="20"/>
                <w:color w:val="auto"/>
              </w:rPr>
            </w:pPr>
            <w:r>
              <w:rPr>
                <w:rFonts w:ascii="Arial" w:cs="Arial" w:eastAsia="Arial" w:hAnsi="Arial"/>
                <w:sz w:val="14"/>
                <w:szCs w:val="14"/>
                <w:b w:val="1"/>
                <w:bCs w:val="1"/>
                <w:color w:val="auto"/>
              </w:rPr>
              <w:t>As</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7"/>
              </w:rPr>
              <w:t>previously</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7"/>
              </w:rPr>
              <w:t>previously</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center"/>
              <w:ind w:right="27"/>
              <w:spacing w:after="0"/>
              <w:rPr>
                <w:sz w:val="20"/>
                <w:szCs w:val="20"/>
                <w:color w:val="auto"/>
              </w:rPr>
            </w:pPr>
            <w:r>
              <w:rPr>
                <w:rFonts w:ascii="Arial" w:cs="Arial" w:eastAsia="Arial" w:hAnsi="Arial"/>
                <w:sz w:val="14"/>
                <w:szCs w:val="14"/>
                <w:b w:val="1"/>
                <w:bCs w:val="1"/>
                <w:color w:val="auto"/>
                <w:w w:val="89"/>
              </w:rPr>
              <w:t>As</w:t>
            </w: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9"/>
              </w:rPr>
              <w:t>previously</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7"/>
              </w:rPr>
              <w:t>previously</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228"/>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88"/>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reported</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restated</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reported</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restated</w:t>
            </w:r>
          </w:p>
        </w:tc>
        <w:tc>
          <w:tcPr>
            <w:tcW w:w="10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reported</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restated</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reported</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w:t>
            </w:r>
          </w:p>
        </w:tc>
        <w:tc>
          <w:tcPr>
            <w:tcW w:w="6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5"/>
              </w:rPr>
              <w:t>restated</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5,386.6</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5,381.6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5,904.9</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5,900.7</w:t>
            </w:r>
          </w:p>
        </w:tc>
        <w:tc>
          <w:tcPr>
            <w:tcW w:w="28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5,668.4</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5,665.2</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4,592.9</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4,589.6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ind w:left="100"/>
              <w:spacing w:after="0"/>
              <w:rPr>
                <w:sz w:val="20"/>
                <w:szCs w:val="20"/>
                <w:color w:val="auto"/>
              </w:rPr>
            </w:pPr>
            <w:r>
              <w:rPr>
                <w:rFonts w:ascii="Arial" w:cs="Arial" w:eastAsia="Arial" w:hAnsi="Arial"/>
                <w:sz w:val="14"/>
                <w:szCs w:val="14"/>
                <w:color w:val="auto"/>
              </w:rPr>
              <w:t>Cost of services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4,418.9</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4,418.9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4,751.3</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4,751.3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4,640.8</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4,640.8</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3,639.2</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w w:val="94"/>
              </w:rPr>
              <w:t>3,639.2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967.7</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1,153.6</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1,149.4</w:t>
            </w:r>
          </w:p>
        </w:tc>
        <w:tc>
          <w:tcPr>
            <w:tcW w:w="100" w:type="dxa"/>
            <w:vAlign w:val="bottom"/>
            <w:tcBorders>
              <w:lef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1,027.6</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1,024.4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953.7</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gridSpan w:val="2"/>
          </w:tcPr>
          <w:p>
            <w:pPr>
              <w:ind w:left="100"/>
              <w:spacing w:after="0"/>
              <w:rPr>
                <w:sz w:val="20"/>
                <w:szCs w:val="20"/>
                <w:color w:val="auto"/>
              </w:rPr>
            </w:pPr>
            <w:r>
              <w:rPr>
                <w:rFonts w:ascii="Arial" w:cs="Arial" w:eastAsia="Arial" w:hAnsi="Arial"/>
                <w:sz w:val="14"/>
                <w:szCs w:val="14"/>
                <w:color w:val="auto"/>
              </w:rPr>
              <w:t>Selling and administrative expenses</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835.7</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835.7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946.3</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946.3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843.5</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843.5</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804.8</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804.8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Goodwill and intangible asset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impairment charge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Selling and administrative expenses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835.7</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835.7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946.3</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946.3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1,006.6</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1,006.6</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804.8</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804.8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207.3</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100" w:type="dxa"/>
            <w:vAlign w:val="bottom"/>
            <w:tcBorders>
              <w:lef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ind w:left="100"/>
              <w:spacing w:after="0"/>
              <w:rPr>
                <w:sz w:val="20"/>
                <w:szCs w:val="20"/>
                <w:color w:val="auto"/>
              </w:rPr>
            </w:pPr>
            <w:r>
              <w:rPr>
                <w:rFonts w:ascii="Arial" w:cs="Arial" w:eastAsia="Arial" w:hAnsi="Arial"/>
                <w:sz w:val="14"/>
                <w:szCs w:val="14"/>
                <w:color w:val="auto"/>
              </w:rPr>
              <w:t>Interest and other expense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11.3</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13.9</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193.4</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100" w:type="dxa"/>
            <w:vAlign w:val="bottom"/>
            <w:tcBorders>
              <w:lef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ind w:left="100"/>
              <w:spacing w:after="0"/>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45.2</w:t>
            </w: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86.0</w:t>
            </w: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50.8</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50.5</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Net earnings (loss)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71.6</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28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(46.1)</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2380" w:type="dxa"/>
            <w:vAlign w:val="bottom"/>
          </w:tcPr>
          <w:p>
            <w:pPr>
              <w:spacing w:after="0" w:line="157" w:lineRule="exact"/>
              <w:rPr>
                <w:sz w:val="20"/>
                <w:szCs w:val="20"/>
                <w:color w:val="auto"/>
              </w:rPr>
            </w:pPr>
            <w:r>
              <w:rPr>
                <w:rFonts w:ascii="Arial" w:cs="Arial" w:eastAsia="Arial" w:hAnsi="Arial"/>
                <w:sz w:val="14"/>
                <w:szCs w:val="14"/>
                <w:color w:val="auto"/>
              </w:rPr>
              <w:t>Net earnings per share - basic</w:t>
            </w:r>
          </w:p>
        </w:tc>
        <w:tc>
          <w:tcPr>
            <w:tcW w:w="100" w:type="dxa"/>
            <w:vAlign w:val="bottom"/>
          </w:tcPr>
          <w:p>
            <w:pPr>
              <w:spacing w:after="0"/>
              <w:rPr>
                <w:sz w:val="13"/>
                <w:szCs w:val="13"/>
                <w:color w:val="auto"/>
              </w:rPr>
            </w:pPr>
          </w:p>
        </w:tc>
        <w:tc>
          <w:tcPr>
            <w:tcW w:w="80" w:type="dxa"/>
            <w:vAlign w:val="bottom"/>
          </w:tcPr>
          <w:p>
            <w:pPr>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0.95</w:t>
            </w:r>
          </w:p>
        </w:tc>
        <w:tc>
          <w:tcPr>
            <w:tcW w:w="30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(0.05)</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0.90</w:t>
            </w:r>
          </w:p>
        </w:tc>
        <w:tc>
          <w:tcPr>
            <w:tcW w:w="1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1.36</w:t>
            </w:r>
          </w:p>
        </w:tc>
        <w:tc>
          <w:tcPr>
            <w:tcW w:w="30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(0.05)</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7" w:lineRule="exact"/>
              <w:rPr>
                <w:sz w:val="20"/>
                <w:szCs w:val="20"/>
                <w:color w:val="auto"/>
              </w:rPr>
            </w:pPr>
            <w:r>
              <w:rPr>
                <w:rFonts w:ascii="Arial" w:cs="Arial" w:eastAsia="Arial" w:hAnsi="Arial"/>
                <w:sz w:val="14"/>
                <w:szCs w:val="14"/>
                <w:color w:val="auto"/>
              </w:rPr>
              <w:t>1.31</w:t>
            </w:r>
          </w:p>
        </w:tc>
        <w:tc>
          <w:tcPr>
            <w:tcW w:w="2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(0.55)</w:t>
            </w:r>
          </w:p>
        </w:tc>
        <w:tc>
          <w:tcPr>
            <w:tcW w:w="20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(0.04)</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(0.59)</w:t>
            </w:r>
          </w:p>
        </w:tc>
        <w:tc>
          <w:tcPr>
            <w:tcW w:w="80" w:type="dxa"/>
            <w:vAlign w:val="bottom"/>
          </w:tcPr>
          <w:p>
            <w:pPr>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1.02</w:t>
            </w:r>
          </w:p>
        </w:tc>
        <w:tc>
          <w:tcPr>
            <w:tcW w:w="22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(0.04)</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3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earnings per share - diluted</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0.94</w:t>
            </w:r>
          </w:p>
        </w:tc>
        <w:tc>
          <w:tcPr>
            <w:tcW w:w="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0.89</w:t>
            </w:r>
          </w:p>
        </w:tc>
        <w:tc>
          <w:tcPr>
            <w:tcW w:w="1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1.34</w:t>
            </w:r>
          </w:p>
        </w:tc>
        <w:tc>
          <w:tcPr>
            <w:tcW w:w="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1.30</w:t>
            </w:r>
          </w:p>
        </w:tc>
        <w:tc>
          <w:tcPr>
            <w:tcW w:w="280" w:type="dxa"/>
            <w:vAlign w:val="bottom"/>
            <w:tcBorders>
              <w:left w:val="single" w:sz="8" w:color="CCEEFF"/>
            </w:tcBorders>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(0.55)</w:t>
            </w:r>
          </w:p>
        </w:tc>
        <w:tc>
          <w:tcPr>
            <w:tcW w:w="2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tcBorders>
              <w:right w:val="single" w:sz="8" w:color="CCEEFF"/>
            </w:tcBorders>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(0.59)</w:t>
            </w:r>
          </w:p>
        </w:tc>
        <w:tc>
          <w:tcPr>
            <w:tcW w:w="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2007</w:t>
            </w: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6"/>
          </w:tcPr>
          <w:p>
            <w:pPr>
              <w:ind w:left="60"/>
              <w:spacing w:after="0" w:line="159" w:lineRule="exact"/>
              <w:rPr>
                <w:sz w:val="20"/>
                <w:szCs w:val="20"/>
                <w:color w:val="auto"/>
              </w:rPr>
            </w:pPr>
            <w:r>
              <w:rPr>
                <w:rFonts w:ascii="Arial" w:cs="Arial" w:eastAsia="Arial" w:hAnsi="Arial"/>
                <w:sz w:val="14"/>
                <w:szCs w:val="14"/>
                <w:b w:val="1"/>
                <w:bCs w:val="1"/>
                <w:color w:val="auto"/>
                <w:w w:val="94"/>
              </w:rPr>
              <w:t>Three Months Ended September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5"/>
          </w:tcPr>
          <w:p>
            <w:pPr>
              <w:jc w:val="right"/>
              <w:ind w:right="108"/>
              <w:spacing w:after="0" w:line="159" w:lineRule="exact"/>
              <w:rPr>
                <w:sz w:val="20"/>
                <w:szCs w:val="20"/>
                <w:color w:val="auto"/>
              </w:rPr>
            </w:pPr>
            <w:r>
              <w:rPr>
                <w:rFonts w:ascii="Arial" w:cs="Arial" w:eastAsia="Arial" w:hAnsi="Arial"/>
                <w:sz w:val="14"/>
                <w:szCs w:val="14"/>
                <w:b w:val="1"/>
                <w:bCs w:val="1"/>
                <w:color w:val="auto"/>
                <w:w w:val="93"/>
              </w:rPr>
              <w:t>Three Months Ended December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Three Months Ended March 31</w:t>
            </w:r>
          </w:p>
        </w:tc>
        <w:tc>
          <w:tcPr>
            <w:tcW w:w="120" w:type="dxa"/>
            <w:vAlign w:val="bottom"/>
          </w:tcPr>
          <w:p>
            <w:pPr>
              <w:spacing w:after="0"/>
              <w:rPr>
                <w:sz w:val="16"/>
                <w:szCs w:val="16"/>
                <w:color w:val="auto"/>
              </w:rPr>
            </w:pPr>
          </w:p>
        </w:tc>
        <w:tc>
          <w:tcPr>
            <w:tcW w:w="202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ind w:right="348"/>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ind w:right="34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28"/>
              <w:spacing w:after="0" w:line="159" w:lineRule="exact"/>
              <w:rPr>
                <w:sz w:val="20"/>
                <w:szCs w:val="20"/>
                <w:color w:val="auto"/>
              </w:rPr>
            </w:pPr>
            <w:r>
              <w:rPr>
                <w:rFonts w:ascii="Arial" w:cs="Arial" w:eastAsia="Arial" w:hAnsi="Arial"/>
                <w:sz w:val="14"/>
                <w:szCs w:val="14"/>
                <w:b w:val="1"/>
                <w:bCs w:val="1"/>
                <w:color w:val="auto"/>
              </w:rPr>
              <w:t>As</w:t>
            </w:r>
          </w:p>
        </w:tc>
        <w:tc>
          <w:tcPr>
            <w:tcW w:w="3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28"/>
              <w:spacing w:after="0" w:line="159" w:lineRule="exact"/>
              <w:rPr>
                <w:sz w:val="20"/>
                <w:szCs w:val="20"/>
                <w:color w:val="auto"/>
              </w:rPr>
            </w:pPr>
            <w:r>
              <w:rPr>
                <w:rFonts w:ascii="Arial" w:cs="Arial" w:eastAsia="Arial" w:hAnsi="Arial"/>
                <w:sz w:val="14"/>
                <w:szCs w:val="14"/>
                <w:b w:val="1"/>
                <w:bCs w:val="1"/>
                <w:color w:val="auto"/>
              </w:rPr>
              <w:t>As</w:t>
            </w:r>
          </w:p>
        </w:tc>
        <w:tc>
          <w:tcPr>
            <w:tcW w:w="3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228"/>
              <w:spacing w:after="0" w:line="159" w:lineRule="exact"/>
              <w:rPr>
                <w:sz w:val="20"/>
                <w:szCs w:val="20"/>
                <w:color w:val="auto"/>
              </w:rPr>
            </w:pPr>
            <w:r>
              <w:rPr>
                <w:rFonts w:ascii="Arial" w:cs="Arial" w:eastAsia="Arial" w:hAnsi="Arial"/>
                <w:sz w:val="14"/>
                <w:szCs w:val="14"/>
                <w:b w:val="1"/>
                <w:bCs w:val="1"/>
                <w:color w:val="auto"/>
              </w:rPr>
              <w:t>As</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28"/>
              <w:spacing w:after="0" w:line="159" w:lineRule="exact"/>
              <w:rPr>
                <w:sz w:val="20"/>
                <w:szCs w:val="20"/>
                <w:color w:val="auto"/>
              </w:rPr>
            </w:pPr>
            <w:r>
              <w:rPr>
                <w:rFonts w:ascii="Arial" w:cs="Arial" w:eastAsia="Arial" w:hAnsi="Arial"/>
                <w:sz w:val="14"/>
                <w:szCs w:val="14"/>
                <w:b w:val="1"/>
                <w:bCs w:val="1"/>
                <w:color w:val="auto"/>
              </w:rPr>
              <w:t>As</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7"/>
              </w:rPr>
              <w:t>previously</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7"/>
              </w:rPr>
              <w:t>previously</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As</w:t>
            </w: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7"/>
              </w:rPr>
              <w:t>previously</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As</w:t>
            </w: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7"/>
              </w:rPr>
              <w:t>previously</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228"/>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88"/>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6"/>
                <w:szCs w:val="16"/>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reported</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restated</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reported</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restated</w:t>
            </w:r>
          </w:p>
        </w:tc>
        <w:tc>
          <w:tcPr>
            <w:tcW w:w="10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reported</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restated</w:t>
            </w:r>
          </w:p>
        </w:tc>
        <w:tc>
          <w:tcPr>
            <w:tcW w:w="100" w:type="dxa"/>
            <w:vAlign w:val="bottom"/>
          </w:tcPr>
          <w:p>
            <w:pPr>
              <w:spacing w:after="0"/>
              <w:rPr>
                <w:sz w:val="16"/>
                <w:szCs w:val="16"/>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reported</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w:t>
            </w:r>
          </w:p>
        </w:tc>
        <w:tc>
          <w:tcPr>
            <w:tcW w:w="6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5"/>
              </w:rPr>
              <w:t>restated</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4,535.6</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4,532.7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5,034.4</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5,030.6</w:t>
            </w:r>
          </w:p>
        </w:tc>
        <w:tc>
          <w:tcPr>
            <w:tcW w:w="28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5,295.4</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5,291.8</w:t>
            </w:r>
          </w:p>
        </w:tc>
        <w:tc>
          <w:tcPr>
            <w:tcW w:w="18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5,634.9</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5,631.0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ind w:left="100"/>
              <w:spacing w:after="0"/>
              <w:rPr>
                <w:sz w:val="20"/>
                <w:szCs w:val="20"/>
                <w:color w:val="auto"/>
              </w:rPr>
            </w:pPr>
            <w:r>
              <w:rPr>
                <w:rFonts w:ascii="Arial" w:cs="Arial" w:eastAsia="Arial" w:hAnsi="Arial"/>
                <w:sz w:val="14"/>
                <w:szCs w:val="14"/>
                <w:color w:val="auto"/>
              </w:rPr>
              <w:t>Cost of services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3,735.6</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3,735.6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4,010.3</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4,010.3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4,321.0</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4,321.0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4,584.8</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w w:val="94"/>
              </w:rPr>
              <w:t>4,584.8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1,024.1</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1,020.3</w:t>
            </w:r>
          </w:p>
        </w:tc>
        <w:tc>
          <w:tcPr>
            <w:tcW w:w="100" w:type="dxa"/>
            <w:vAlign w:val="bottom"/>
            <w:tcBorders>
              <w:lef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974.4</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970.8</w:t>
            </w: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1,050.1</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1,046.2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Selling and administrative expenses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696.7</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696.7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747.1</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747.1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752.5</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752.5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826.9</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826.9</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273.2</w:t>
            </w:r>
          </w:p>
        </w:tc>
        <w:tc>
          <w:tcPr>
            <w:tcW w:w="100" w:type="dxa"/>
            <w:vAlign w:val="bottom"/>
            <w:tcBorders>
              <w:lef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w:t>
            </w: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ind w:left="100"/>
              <w:spacing w:after="0"/>
              <w:rPr>
                <w:sz w:val="20"/>
                <w:szCs w:val="20"/>
                <w:color w:val="auto"/>
              </w:rPr>
            </w:pPr>
            <w:r>
              <w:rPr>
                <w:rFonts w:ascii="Arial" w:cs="Arial" w:eastAsia="Arial" w:hAnsi="Arial"/>
                <w:sz w:val="14"/>
                <w:szCs w:val="14"/>
                <w:color w:val="auto"/>
              </w:rPr>
              <w:t>Interest and other expense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9.1</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90.8</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w:t>
            </w:r>
          </w:p>
        </w:tc>
        <w:tc>
          <w:tcPr>
            <w:tcW w:w="100" w:type="dxa"/>
            <w:vAlign w:val="bottom"/>
            <w:tcBorders>
              <w:lef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ind w:left="100"/>
              <w:spacing w:after="0"/>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34.2</w:t>
            </w: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108.9</w:t>
            </w: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81.1</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82.3</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57.3</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w:t>
            </w:r>
          </w:p>
        </w:tc>
        <w:tc>
          <w:tcPr>
            <w:tcW w:w="28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18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2380" w:type="dxa"/>
            <w:vAlign w:val="bottom"/>
          </w:tcPr>
          <w:p>
            <w:pPr>
              <w:spacing w:after="0" w:line="157" w:lineRule="exact"/>
              <w:rPr>
                <w:sz w:val="20"/>
                <w:szCs w:val="20"/>
                <w:color w:val="auto"/>
              </w:rPr>
            </w:pPr>
            <w:r>
              <w:rPr>
                <w:rFonts w:ascii="Arial" w:cs="Arial" w:eastAsia="Arial" w:hAnsi="Arial"/>
                <w:sz w:val="14"/>
                <w:szCs w:val="14"/>
                <w:color w:val="auto"/>
              </w:rPr>
              <w:t>Net earnings per share - basic</w:t>
            </w:r>
          </w:p>
        </w:tc>
        <w:tc>
          <w:tcPr>
            <w:tcW w:w="100" w:type="dxa"/>
            <w:vAlign w:val="bottom"/>
          </w:tcPr>
          <w:p>
            <w:pPr>
              <w:spacing w:after="0"/>
              <w:rPr>
                <w:sz w:val="13"/>
                <w:szCs w:val="13"/>
                <w:color w:val="auto"/>
              </w:rPr>
            </w:pPr>
          </w:p>
        </w:tc>
        <w:tc>
          <w:tcPr>
            <w:tcW w:w="80" w:type="dxa"/>
            <w:vAlign w:val="bottom"/>
          </w:tcPr>
          <w:p>
            <w:pPr>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0.70</w:t>
            </w:r>
          </w:p>
        </w:tc>
        <w:tc>
          <w:tcPr>
            <w:tcW w:w="30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(0.03)</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0.67</w:t>
            </w:r>
          </w:p>
        </w:tc>
        <w:tc>
          <w:tcPr>
            <w:tcW w:w="1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1.90</w:t>
            </w:r>
          </w:p>
        </w:tc>
        <w:tc>
          <w:tcPr>
            <w:tcW w:w="30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(0.03)</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7" w:lineRule="exact"/>
              <w:rPr>
                <w:sz w:val="20"/>
                <w:szCs w:val="20"/>
                <w:color w:val="auto"/>
              </w:rPr>
            </w:pPr>
            <w:r>
              <w:rPr>
                <w:rFonts w:ascii="Arial" w:cs="Arial" w:eastAsia="Arial" w:hAnsi="Arial"/>
                <w:sz w:val="14"/>
                <w:szCs w:val="14"/>
                <w:color w:val="auto"/>
              </w:rPr>
              <w:t>1.87</w:t>
            </w:r>
          </w:p>
        </w:tc>
        <w:tc>
          <w:tcPr>
            <w:tcW w:w="2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1.59</w:t>
            </w:r>
          </w:p>
        </w:tc>
        <w:tc>
          <w:tcPr>
            <w:tcW w:w="22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(0.03)</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7" w:lineRule="exact"/>
              <w:rPr>
                <w:sz w:val="20"/>
                <w:szCs w:val="20"/>
                <w:color w:val="auto"/>
              </w:rPr>
            </w:pPr>
            <w:r>
              <w:rPr>
                <w:rFonts w:ascii="Arial" w:cs="Arial" w:eastAsia="Arial" w:hAnsi="Arial"/>
                <w:sz w:val="14"/>
                <w:szCs w:val="14"/>
                <w:color w:val="auto"/>
              </w:rPr>
              <w:t>1.56</w:t>
            </w:r>
          </w:p>
        </w:tc>
        <w:tc>
          <w:tcPr>
            <w:tcW w:w="180" w:type="dxa"/>
            <w:vAlign w:val="bottom"/>
            <w:gridSpan w:val="2"/>
          </w:tcPr>
          <w:p>
            <w:pPr>
              <w:ind w:left="100"/>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1.65</w:t>
            </w:r>
          </w:p>
        </w:tc>
        <w:tc>
          <w:tcPr>
            <w:tcW w:w="22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(0.04)</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Net earnings per share - diluted</w:t>
            </w:r>
          </w:p>
        </w:tc>
        <w:tc>
          <w:tcPr>
            <w:tcW w:w="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0.69</w:t>
            </w:r>
          </w:p>
        </w:tc>
        <w:tc>
          <w:tcPr>
            <w:tcW w:w="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1.86</w:t>
            </w:r>
          </w:p>
        </w:tc>
        <w:tc>
          <w:tcPr>
            <w:tcW w:w="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1.83</w:t>
            </w:r>
          </w:p>
        </w:tc>
        <w:tc>
          <w:tcPr>
            <w:tcW w:w="280" w:type="dxa"/>
            <w:vAlign w:val="bottom"/>
            <w:tcBorders>
              <w:left w:val="single" w:sz="8" w:color="CCEEFF"/>
            </w:tcBorders>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1.57</w:t>
            </w:r>
          </w:p>
        </w:tc>
        <w:tc>
          <w:tcPr>
            <w:tcW w:w="22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1.53</w:t>
            </w:r>
          </w:p>
        </w:tc>
        <w:tc>
          <w:tcPr>
            <w:tcW w:w="180" w:type="dxa"/>
            <w:vAlign w:val="bottom"/>
            <w:tcBorders>
              <w:left w:val="single" w:sz="8" w:color="CCEEFF"/>
            </w:tcBorders>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1.63</w:t>
            </w:r>
          </w:p>
        </w:tc>
        <w:tc>
          <w:tcPr>
            <w:tcW w:w="22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23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620" w:type="dxa"/>
            <w:vAlign w:val="bottom"/>
            <w:tcBorders>
              <w:top w:val="single" w:sz="8" w:color="auto"/>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56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580" w:type="dxa"/>
            <w:vAlign w:val="bottom"/>
            <w:tcBorders>
              <w:top w:val="single" w:sz="8" w:color="auto"/>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56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5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64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6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64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560" w:type="dxa"/>
            <w:vAlign w:val="bottom"/>
            <w:tcBorders>
              <w:top w:val="single" w:sz="8" w:color="auto"/>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Manpower Inc.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Restated Results -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2009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88"/>
              <w:spacing w:after="0" w:line="159" w:lineRule="exact"/>
              <w:rPr>
                <w:sz w:val="20"/>
                <w:szCs w:val="20"/>
                <w:color w:val="auto"/>
              </w:rPr>
            </w:pPr>
            <w:r>
              <w:rPr>
                <w:rFonts w:ascii="Arial" w:cs="Arial" w:eastAsia="Arial" w:hAnsi="Arial"/>
                <w:sz w:val="14"/>
                <w:szCs w:val="14"/>
                <w:b w:val="1"/>
                <w:bCs w:val="1"/>
                <w:color w:val="auto"/>
                <w:w w:val="89"/>
              </w:rPr>
              <w:t>As</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68"/>
              <w:spacing w:after="0" w:line="159" w:lineRule="exact"/>
              <w:rPr>
                <w:sz w:val="20"/>
                <w:szCs w:val="20"/>
                <w:color w:val="auto"/>
              </w:rPr>
            </w:pPr>
            <w:r>
              <w:rPr>
                <w:rFonts w:ascii="Arial" w:cs="Arial" w:eastAsia="Arial" w:hAnsi="Arial"/>
                <w:sz w:val="14"/>
                <w:szCs w:val="14"/>
                <w:b w:val="1"/>
                <w:bCs w:val="1"/>
                <w:color w:val="auto"/>
                <w:w w:val="89"/>
              </w:rPr>
              <w:t>As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88"/>
              <w:spacing w:after="0"/>
              <w:rPr>
                <w:sz w:val="20"/>
                <w:szCs w:val="20"/>
                <w:color w:val="auto"/>
              </w:rPr>
            </w:pPr>
            <w:r>
              <w:rPr>
                <w:rFonts w:ascii="Arial" w:cs="Arial" w:eastAsia="Arial" w:hAnsi="Arial"/>
                <w:sz w:val="14"/>
                <w:szCs w:val="14"/>
                <w:b w:val="1"/>
                <w:bCs w:val="1"/>
                <w:color w:val="auto"/>
                <w:w w:val="91"/>
              </w:rPr>
              <w:t>previously</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w:t>
            </w:r>
          </w:p>
        </w:tc>
        <w:tc>
          <w:tcPr>
            <w:tcW w:w="180" w:type="dxa"/>
            <w:vAlign w:val="bottom"/>
          </w:tcPr>
          <w:p>
            <w:pPr>
              <w:spacing w:after="0"/>
              <w:rPr>
                <w:sz w:val="15"/>
                <w:szCs w:val="15"/>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1"/>
              </w:rPr>
              <w:t>previously</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w:t>
            </w:r>
          </w:p>
        </w:tc>
      </w:tr>
      <w:tr>
        <w:trPr>
          <w:trHeight w:val="190"/>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88"/>
              <w:spacing w:after="0"/>
              <w:rPr>
                <w:sz w:val="20"/>
                <w:szCs w:val="20"/>
                <w:color w:val="auto"/>
              </w:rPr>
            </w:pPr>
            <w:r>
              <w:rPr>
                <w:rFonts w:ascii="Arial" w:cs="Arial" w:eastAsia="Arial" w:hAnsi="Arial"/>
                <w:sz w:val="14"/>
                <w:szCs w:val="14"/>
                <w:b w:val="1"/>
                <w:bCs w:val="1"/>
                <w:color w:val="auto"/>
                <w:w w:val="91"/>
              </w:rPr>
              <w:t>reported</w:t>
            </w:r>
          </w:p>
        </w:tc>
        <w:tc>
          <w:tcPr>
            <w:tcW w:w="180" w:type="dxa"/>
            <w:vAlign w:val="bottom"/>
          </w:tcPr>
          <w:p>
            <w:pPr>
              <w:spacing w:after="0"/>
              <w:rPr>
                <w:sz w:val="16"/>
                <w:szCs w:val="16"/>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auto"/>
              </w:rPr>
              <w:t>Adjustment</w:t>
            </w:r>
          </w:p>
        </w:tc>
        <w:tc>
          <w:tcPr>
            <w:tcW w:w="240" w:type="dxa"/>
            <w:vAlign w:val="bottom"/>
          </w:tcPr>
          <w:p>
            <w:pPr>
              <w:spacing w:after="0"/>
              <w:rPr>
                <w:sz w:val="16"/>
                <w:szCs w:val="16"/>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restated</w:t>
            </w:r>
          </w:p>
        </w:tc>
        <w:tc>
          <w:tcPr>
            <w:tcW w:w="180" w:type="dxa"/>
            <w:vAlign w:val="bottom"/>
          </w:tcPr>
          <w:p>
            <w:pPr>
              <w:spacing w:after="0"/>
              <w:rPr>
                <w:sz w:val="16"/>
                <w:szCs w:val="16"/>
                <w:color w:val="auto"/>
              </w:rPr>
            </w:pPr>
          </w:p>
        </w:tc>
        <w:tc>
          <w:tcPr>
            <w:tcW w:w="112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reported</w:t>
            </w:r>
          </w:p>
        </w:tc>
        <w:tc>
          <w:tcPr>
            <w:tcW w:w="180" w:type="dxa"/>
            <w:vAlign w:val="bottom"/>
          </w:tcPr>
          <w:p>
            <w:pPr>
              <w:spacing w:after="0"/>
              <w:rPr>
                <w:sz w:val="16"/>
                <w:szCs w:val="16"/>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Pr>
          <w:p>
            <w:pPr>
              <w:spacing w:after="0"/>
              <w:rPr>
                <w:sz w:val="16"/>
                <w:szCs w:val="16"/>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restated</w:t>
            </w:r>
          </w:p>
        </w:tc>
      </w:tr>
      <w:tr>
        <w:trPr>
          <w:trHeight w:val="174"/>
        </w:trPr>
        <w:tc>
          <w:tcPr>
            <w:tcW w:w="20" w:type="dxa"/>
            <w:vAlign w:val="bottom"/>
          </w:tcPr>
          <w:p>
            <w:pPr>
              <w:spacing w:after="0"/>
              <w:rPr>
                <w:sz w:val="15"/>
                <w:szCs w:val="15"/>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874.0</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537.5</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537.5</w:t>
            </w:r>
          </w:p>
        </w:tc>
      </w:tr>
      <w:tr>
        <w:trPr>
          <w:trHeight w:val="163"/>
        </w:trPr>
        <w:tc>
          <w:tcPr>
            <w:tcW w:w="20" w:type="dxa"/>
            <w:vAlign w:val="bottom"/>
          </w:tcPr>
          <w:p>
            <w:pPr>
              <w:spacing w:after="0"/>
              <w:rPr>
                <w:sz w:val="14"/>
                <w:szCs w:val="14"/>
                <w:color w:val="auto"/>
              </w:rPr>
            </w:pPr>
          </w:p>
        </w:tc>
        <w:tc>
          <w:tcPr>
            <w:tcW w:w="3400" w:type="dxa"/>
            <w:vAlign w:val="bottom"/>
          </w:tcPr>
          <w:p>
            <w:pPr>
              <w:ind w:left="520"/>
              <w:spacing w:after="0"/>
              <w:rPr>
                <w:sz w:val="20"/>
                <w:szCs w:val="20"/>
                <w:color w:val="auto"/>
              </w:rPr>
            </w:pPr>
            <w:r>
              <w:rPr>
                <w:rFonts w:ascii="Arial" w:cs="Arial" w:eastAsia="Arial" w:hAnsi="Arial"/>
                <w:sz w:val="14"/>
                <w:szCs w:val="14"/>
                <w:color w:val="auto"/>
                <w:w w:val="95"/>
              </w:rPr>
              <w:t>Accounts receivable, less allowance for doubtful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4"/>
        </w:trPr>
        <w:tc>
          <w:tcPr>
            <w:tcW w:w="3420" w:type="dxa"/>
            <w:vAlign w:val="bottom"/>
            <w:gridSpan w:val="2"/>
          </w:tcPr>
          <w:p>
            <w:pPr>
              <w:spacing w:after="0"/>
              <w:rPr>
                <w:sz w:val="20"/>
                <w:szCs w:val="20"/>
                <w:color w:val="auto"/>
              </w:rPr>
            </w:pPr>
            <w:r>
              <w:rPr>
                <w:rFonts w:ascii="Arial" w:cs="Arial" w:eastAsia="Arial" w:hAnsi="Arial"/>
                <w:sz w:val="14"/>
                <w:szCs w:val="14"/>
                <w:color w:val="auto"/>
              </w:rPr>
              <w:t>accounts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3,629.7</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3,629.7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4,478.8</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4,478.8</w:t>
            </w:r>
          </w:p>
        </w:tc>
      </w:tr>
      <w:tr>
        <w:trPr>
          <w:trHeight w:val="175"/>
        </w:trPr>
        <w:tc>
          <w:tcPr>
            <w:tcW w:w="20" w:type="dxa"/>
            <w:vAlign w:val="bottom"/>
          </w:tcPr>
          <w:p>
            <w:pPr>
              <w:spacing w:after="0"/>
              <w:rPr>
                <w:sz w:val="15"/>
                <w:szCs w:val="15"/>
                <w:color w:val="auto"/>
              </w:rPr>
            </w:pPr>
          </w:p>
        </w:tc>
        <w:tc>
          <w:tcPr>
            <w:tcW w:w="3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119.9</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119.9</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122.2</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122.2</w:t>
            </w:r>
          </w:p>
        </w:tc>
      </w:tr>
      <w:tr>
        <w:trPr>
          <w:trHeight w:val="174"/>
        </w:trPr>
        <w:tc>
          <w:tcPr>
            <w:tcW w:w="20" w:type="dxa"/>
            <w:vAlign w:val="bottom"/>
          </w:tcPr>
          <w:p>
            <w:pPr>
              <w:spacing w:after="0"/>
              <w:rPr>
                <w:sz w:val="15"/>
                <w:szCs w:val="15"/>
                <w:color w:val="auto"/>
              </w:rPr>
            </w:pPr>
          </w:p>
        </w:tc>
        <w:tc>
          <w:tcPr>
            <w:tcW w:w="3400" w:type="dxa"/>
            <w:vAlign w:val="bottom"/>
          </w:tcPr>
          <w:p>
            <w:pPr>
              <w:ind w:left="520"/>
              <w:spacing w:after="0"/>
              <w:rPr>
                <w:sz w:val="20"/>
                <w:szCs w:val="20"/>
                <w:color w:val="auto"/>
              </w:rPr>
            </w:pPr>
            <w:r>
              <w:rPr>
                <w:rFonts w:ascii="Arial" w:cs="Arial" w:eastAsia="Arial" w:hAnsi="Arial"/>
                <w:sz w:val="14"/>
                <w:szCs w:val="14"/>
                <w:color w:val="auto"/>
              </w:rPr>
              <w:t>Future income tax benefits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66.5</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66.5</w:t>
            </w: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76.3</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76.3</w:t>
            </w: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4,690.1</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5,214.8</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5,214.8</w:t>
            </w: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4"/>
                <w:szCs w:val="14"/>
                <w:b w:val="1"/>
                <w:bCs w:val="1"/>
                <w:color w:val="auto"/>
              </w:rPr>
              <w:t>Other Assets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972.9</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1,045.9</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1,045.9</w:t>
            </w:r>
          </w:p>
        </w:tc>
      </w:tr>
      <w:tr>
        <w:trPr>
          <w:trHeight w:val="174"/>
        </w:trPr>
        <w:tc>
          <w:tcPr>
            <w:tcW w:w="20" w:type="dxa"/>
            <w:vAlign w:val="bottom"/>
          </w:tcPr>
          <w:p>
            <w:pPr>
              <w:spacing w:after="0"/>
              <w:rPr>
                <w:sz w:val="15"/>
                <w:szCs w:val="15"/>
                <w:color w:val="auto"/>
              </w:rPr>
            </w:pPr>
          </w:p>
        </w:tc>
        <w:tc>
          <w:tcPr>
            <w:tcW w:w="3400" w:type="dxa"/>
            <w:vAlign w:val="bottom"/>
          </w:tcPr>
          <w:p>
            <w:pPr>
              <w:ind w:left="520"/>
              <w:spacing w:after="0"/>
              <w:rPr>
                <w:sz w:val="20"/>
                <w:szCs w:val="20"/>
                <w:color w:val="auto"/>
              </w:rPr>
            </w:pPr>
            <w:r>
              <w:rPr>
                <w:rFonts w:ascii="Arial" w:cs="Arial" w:eastAsia="Arial" w:hAnsi="Arial"/>
                <w:sz w:val="14"/>
                <w:szCs w:val="14"/>
                <w:color w:val="auto"/>
                <w:w w:val="94"/>
              </w:rPr>
              <w:t>Intangible assets, less accumulated amortization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415.2</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364.8</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364.8</w:t>
            </w: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326.6</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377.7</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380.2</w:t>
            </w:r>
          </w:p>
        </w:tc>
      </w:tr>
      <w:tr>
        <w:trPr>
          <w:trHeight w:val="22"/>
        </w:trPr>
        <w:tc>
          <w:tcPr>
            <w:tcW w:w="2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ind w:left="700"/>
              <w:spacing w:after="0"/>
              <w:rPr>
                <w:sz w:val="20"/>
                <w:szCs w:val="20"/>
                <w:color w:val="auto"/>
              </w:rPr>
            </w:pPr>
            <w:r>
              <w:rPr>
                <w:rFonts w:ascii="Arial" w:cs="Arial" w:eastAsia="Arial" w:hAnsi="Arial"/>
                <w:sz w:val="14"/>
                <w:szCs w:val="14"/>
                <w:color w:val="auto"/>
              </w:rPr>
              <w:t>Total other assets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1,714.7</w:t>
            </w: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1,788.4</w:t>
            </w:r>
          </w:p>
        </w:tc>
        <w:tc>
          <w:tcPr>
            <w:tcW w:w="1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1,790.9</w:t>
            </w: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Property and Equipment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3400" w:type="dxa"/>
            <w:vAlign w:val="bottom"/>
          </w:tcPr>
          <w:p>
            <w:pPr>
              <w:ind w:left="520"/>
              <w:spacing w:after="0"/>
              <w:rPr>
                <w:sz w:val="20"/>
                <w:szCs w:val="20"/>
                <w:color w:val="auto"/>
              </w:rPr>
            </w:pPr>
            <w:r>
              <w:rPr>
                <w:rFonts w:ascii="Arial" w:cs="Arial" w:eastAsia="Arial" w:hAnsi="Arial"/>
                <w:sz w:val="14"/>
                <w:szCs w:val="14"/>
                <w:color w:val="auto"/>
              </w:rPr>
              <w:t>Land, buildings, leasehold improvements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4"/>
        </w:trPr>
        <w:tc>
          <w:tcPr>
            <w:tcW w:w="3420" w:type="dxa"/>
            <w:vAlign w:val="bottom"/>
            <w:gridSpan w:val="2"/>
          </w:tcPr>
          <w:p>
            <w:pPr>
              <w:spacing w:after="0"/>
              <w:rPr>
                <w:sz w:val="20"/>
                <w:szCs w:val="20"/>
                <w:color w:val="auto"/>
              </w:rPr>
            </w:pPr>
            <w:r>
              <w:rPr>
                <w:rFonts w:ascii="Arial" w:cs="Arial" w:eastAsia="Arial" w:hAnsi="Arial"/>
                <w:sz w:val="14"/>
                <w:szCs w:val="14"/>
                <w:color w:val="auto"/>
              </w:rPr>
              <w:t>equipment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744.0</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760.8</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760.8</w:t>
            </w:r>
          </w:p>
        </w:tc>
      </w:tr>
      <w:tr>
        <w:trPr>
          <w:trHeight w:val="175"/>
        </w:trPr>
        <w:tc>
          <w:tcPr>
            <w:tcW w:w="20" w:type="dxa"/>
            <w:vAlign w:val="bottom"/>
          </w:tcPr>
          <w:p>
            <w:pPr>
              <w:spacing w:after="0"/>
              <w:rPr>
                <w:sz w:val="15"/>
                <w:szCs w:val="15"/>
                <w:color w:val="auto"/>
              </w:rPr>
            </w:pPr>
          </w:p>
        </w:tc>
        <w:tc>
          <w:tcPr>
            <w:tcW w:w="3400" w:type="dxa"/>
            <w:vAlign w:val="bottom"/>
            <w:shd w:val="clear" w:color="auto" w:fill="CCEEFF"/>
          </w:tcPr>
          <w:p>
            <w:pPr>
              <w:ind w:left="520"/>
              <w:spacing w:after="0"/>
              <w:rPr>
                <w:sz w:val="20"/>
                <w:szCs w:val="20"/>
                <w:color w:val="auto"/>
              </w:rPr>
            </w:pPr>
            <w:r>
              <w:rPr>
                <w:rFonts w:ascii="Arial" w:cs="Arial" w:eastAsia="Arial" w:hAnsi="Arial"/>
                <w:sz w:val="14"/>
                <w:szCs w:val="14"/>
                <w:color w:val="auto"/>
                <w:w w:val="93"/>
              </w:rPr>
              <w:t>Less: accumulated depreciation and amortization</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530.6</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539.6</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539.6</w:t>
            </w:r>
          </w:p>
        </w:tc>
      </w:tr>
      <w:tr>
        <w:trPr>
          <w:trHeight w:val="22"/>
        </w:trPr>
        <w:tc>
          <w:tcPr>
            <w:tcW w:w="2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ind w:left="740"/>
              <w:spacing w:after="0"/>
              <w:rPr>
                <w:sz w:val="20"/>
                <w:szCs w:val="20"/>
                <w:color w:val="auto"/>
              </w:rPr>
            </w:pPr>
            <w:r>
              <w:rPr>
                <w:rFonts w:ascii="Arial" w:cs="Arial" w:eastAsia="Arial" w:hAnsi="Arial"/>
                <w:sz w:val="14"/>
                <w:szCs w:val="14"/>
                <w:color w:val="auto"/>
              </w:rPr>
              <w:t>Net property and equipment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213.4</w:t>
            </w: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221.2</w:t>
            </w:r>
          </w:p>
        </w:tc>
        <w:tc>
          <w:tcPr>
            <w:tcW w:w="1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221.2</w:t>
            </w:r>
          </w:p>
        </w:tc>
      </w:tr>
      <w:tr>
        <w:trPr>
          <w:trHeight w:val="22"/>
        </w:trPr>
        <w:tc>
          <w:tcPr>
            <w:tcW w:w="2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4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6,618.2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7,224.4</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7,226.9</w:t>
            </w:r>
          </w:p>
        </w:tc>
      </w:tr>
      <w:tr>
        <w:trPr>
          <w:trHeight w:val="158"/>
        </w:trPr>
        <w:tc>
          <w:tcPr>
            <w:tcW w:w="20" w:type="dxa"/>
            <w:vAlign w:val="bottom"/>
          </w:tcPr>
          <w:p>
            <w:pPr>
              <w:spacing w:after="0"/>
              <w:rPr>
                <w:sz w:val="13"/>
                <w:szCs w:val="13"/>
                <w:color w:val="auto"/>
              </w:rPr>
            </w:pPr>
          </w:p>
        </w:tc>
        <w:tc>
          <w:tcPr>
            <w:tcW w:w="3400" w:type="dxa"/>
            <w:vAlign w:val="bottom"/>
            <w:tcBorders>
              <w:top w:val="single" w:sz="8" w:color="auto"/>
            </w:tcBorders>
          </w:tcPr>
          <w:p>
            <w:pPr>
              <w:spacing w:after="0" w:line="157" w:lineRule="exact"/>
              <w:rPr>
                <w:sz w:val="20"/>
                <w:szCs w:val="20"/>
                <w:color w:val="auto"/>
              </w:rPr>
            </w:pPr>
            <w:r>
              <w:rPr>
                <w:rFonts w:ascii="Arial" w:cs="Arial" w:eastAsia="Arial" w:hAnsi="Arial"/>
                <w:sz w:val="14"/>
                <w:szCs w:val="14"/>
                <w:b w:val="1"/>
                <w:bCs w:val="1"/>
                <w:color w:val="auto"/>
              </w:rPr>
              <w:t>LIABILITIES AND SHAREHOLDERS' EQUITY</w:t>
            </w: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00" w:type="dxa"/>
            <w:vAlign w:val="bottom"/>
          </w:tcPr>
          <w:p>
            <w:pPr>
              <w:ind w:left="520"/>
              <w:spacing w:after="0"/>
              <w:rPr>
                <w:sz w:val="20"/>
                <w:szCs w:val="20"/>
                <w:color w:val="auto"/>
              </w:rPr>
            </w:pPr>
            <w:r>
              <w:rPr>
                <w:rFonts w:ascii="Arial" w:cs="Arial" w:eastAsia="Arial" w:hAnsi="Arial"/>
                <w:sz w:val="14"/>
                <w:szCs w:val="14"/>
                <w:color w:val="auto"/>
              </w:rPr>
              <w:t>Accounts payable</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903.2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(6.9)</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896.3</w:t>
            </w:r>
          </w:p>
        </w:tc>
        <w:tc>
          <w:tcPr>
            <w:tcW w:w="1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1,014.4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1,011.0</w:t>
            </w: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Employee compensation payable</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213.2</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213.6</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213.6</w:t>
            </w:r>
          </w:p>
        </w:tc>
      </w:tr>
      <w:tr>
        <w:trPr>
          <w:trHeight w:val="174"/>
        </w:trPr>
        <w:tc>
          <w:tcPr>
            <w:tcW w:w="20" w:type="dxa"/>
            <w:vAlign w:val="bottom"/>
          </w:tcPr>
          <w:p>
            <w:pPr>
              <w:spacing w:after="0"/>
              <w:rPr>
                <w:sz w:val="15"/>
                <w:szCs w:val="15"/>
                <w:color w:val="auto"/>
              </w:rPr>
            </w:pPr>
          </w:p>
        </w:tc>
        <w:tc>
          <w:tcPr>
            <w:tcW w:w="3400" w:type="dxa"/>
            <w:vAlign w:val="bottom"/>
          </w:tcPr>
          <w:p>
            <w:pPr>
              <w:ind w:left="520"/>
              <w:spacing w:after="0"/>
              <w:rPr>
                <w:sz w:val="20"/>
                <w:szCs w:val="20"/>
                <w:color w:val="auto"/>
              </w:rPr>
            </w:pPr>
            <w:r>
              <w:rPr>
                <w:rFonts w:ascii="Arial" w:cs="Arial" w:eastAsia="Arial" w:hAnsi="Arial"/>
                <w:sz w:val="14"/>
                <w:szCs w:val="14"/>
                <w:color w:val="auto"/>
              </w:rPr>
              <w:t>Accrued liabilities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577.9</w:t>
            </w: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679.4</w:t>
            </w:r>
          </w:p>
        </w:tc>
        <w:tc>
          <w:tcPr>
            <w:tcW w:w="1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685.9</w:t>
            </w: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Accrued payroll taxes and insurance</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617.5</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724.7</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724.7</w:t>
            </w:r>
          </w:p>
        </w:tc>
      </w:tr>
      <w:tr>
        <w:trPr>
          <w:trHeight w:val="174"/>
        </w:trPr>
        <w:tc>
          <w:tcPr>
            <w:tcW w:w="20" w:type="dxa"/>
            <w:vAlign w:val="bottom"/>
          </w:tcPr>
          <w:p>
            <w:pPr>
              <w:spacing w:after="0"/>
              <w:rPr>
                <w:sz w:val="15"/>
                <w:szCs w:val="15"/>
                <w:color w:val="auto"/>
              </w:rPr>
            </w:pPr>
          </w:p>
        </w:tc>
        <w:tc>
          <w:tcPr>
            <w:tcW w:w="3400" w:type="dxa"/>
            <w:vAlign w:val="bottom"/>
          </w:tcPr>
          <w:p>
            <w:pPr>
              <w:ind w:left="520"/>
              <w:spacing w:after="0"/>
              <w:rPr>
                <w:sz w:val="20"/>
                <w:szCs w:val="20"/>
                <w:color w:val="auto"/>
              </w:rPr>
            </w:pPr>
            <w:r>
              <w:rPr>
                <w:rFonts w:ascii="Arial" w:cs="Arial" w:eastAsia="Arial" w:hAnsi="Arial"/>
                <w:sz w:val="14"/>
                <w:szCs w:val="14"/>
                <w:color w:val="auto"/>
              </w:rPr>
              <w:t>Value added taxes payable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479.2</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583.7</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583.7</w:t>
            </w:r>
          </w:p>
        </w:tc>
      </w:tr>
      <w:tr>
        <w:trPr>
          <w:trHeight w:val="163"/>
        </w:trPr>
        <w:tc>
          <w:tcPr>
            <w:tcW w:w="20" w:type="dxa"/>
            <w:vAlign w:val="bottom"/>
          </w:tcPr>
          <w:p>
            <w:pPr>
              <w:spacing w:after="0"/>
              <w:rPr>
                <w:sz w:val="14"/>
                <w:szCs w:val="14"/>
                <w:color w:val="auto"/>
              </w:rPr>
            </w:pPr>
          </w:p>
        </w:tc>
        <w:tc>
          <w:tcPr>
            <w:tcW w:w="3400" w:type="dxa"/>
            <w:vAlign w:val="bottom"/>
            <w:shd w:val="clear" w:color="auto" w:fill="CCEEFF"/>
          </w:tcPr>
          <w:p>
            <w:pPr>
              <w:ind w:left="520"/>
              <w:spacing w:after="0"/>
              <w:rPr>
                <w:sz w:val="20"/>
                <w:szCs w:val="20"/>
                <w:color w:val="auto"/>
              </w:rPr>
            </w:pPr>
            <w:r>
              <w:rPr>
                <w:rFonts w:ascii="Arial" w:cs="Arial" w:eastAsia="Arial" w:hAnsi="Arial"/>
                <w:sz w:val="14"/>
                <w:szCs w:val="14"/>
                <w:color w:val="auto"/>
                <w:w w:val="97"/>
              </w:rPr>
              <w:t>Short-term borrowings and current maturities of</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20" w:type="dxa"/>
            <w:vAlign w:val="bottom"/>
          </w:tcPr>
          <w:p>
            <w:pPr>
              <w:spacing w:after="0"/>
              <w:rPr>
                <w:sz w:val="15"/>
                <w:szCs w:val="15"/>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115.6</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39.7</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39.7</w:t>
            </w:r>
          </w:p>
        </w:tc>
      </w:tr>
      <w:tr>
        <w:trPr>
          <w:trHeight w:val="23"/>
        </w:trPr>
        <w:tc>
          <w:tcPr>
            <w:tcW w:w="2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ind w:left="700"/>
              <w:spacing w:after="0"/>
              <w:rPr>
                <w:sz w:val="20"/>
                <w:szCs w:val="20"/>
                <w:color w:val="auto"/>
              </w:rPr>
            </w:pPr>
            <w:r>
              <w:rPr>
                <w:rFonts w:ascii="Arial" w:cs="Arial" w:eastAsia="Arial" w:hAnsi="Arial"/>
                <w:sz w:val="14"/>
                <w:szCs w:val="14"/>
                <w:color w:val="auto"/>
              </w:rPr>
              <w:t>Total current liabilities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2,906.6</w:t>
            </w: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2,907.5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3,255.5</w:t>
            </w:r>
          </w:p>
        </w:tc>
        <w:tc>
          <w:tcPr>
            <w:tcW w:w="1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3,258.6</w:t>
            </w: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Liabilities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00" w:type="dxa"/>
            <w:vAlign w:val="bottom"/>
          </w:tcPr>
          <w:p>
            <w:pPr>
              <w:ind w:left="5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837.3</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874.8</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874.8</w:t>
            </w: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long-term liabilities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390.5</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424.8</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435.2</w:t>
            </w:r>
          </w:p>
        </w:tc>
      </w:tr>
      <w:tr>
        <w:trPr>
          <w:trHeight w:val="174"/>
        </w:trPr>
        <w:tc>
          <w:tcPr>
            <w:tcW w:w="20" w:type="dxa"/>
            <w:vAlign w:val="bottom"/>
          </w:tcPr>
          <w:p>
            <w:pPr>
              <w:spacing w:after="0"/>
              <w:rPr>
                <w:sz w:val="15"/>
                <w:szCs w:val="15"/>
                <w:color w:val="auto"/>
              </w:rPr>
            </w:pPr>
          </w:p>
        </w:tc>
        <w:tc>
          <w:tcPr>
            <w:tcW w:w="3400" w:type="dxa"/>
            <w:vAlign w:val="bottom"/>
          </w:tcPr>
          <w:p>
            <w:pPr>
              <w:ind w:left="700"/>
              <w:spacing w:after="0"/>
              <w:rPr>
                <w:sz w:val="20"/>
                <w:szCs w:val="20"/>
                <w:color w:val="auto"/>
              </w:rPr>
            </w:pPr>
            <w:r>
              <w:rPr>
                <w:rFonts w:ascii="Arial" w:cs="Arial" w:eastAsia="Arial" w:hAnsi="Arial"/>
                <w:sz w:val="14"/>
                <w:szCs w:val="14"/>
                <w:color w:val="auto"/>
              </w:rPr>
              <w:t>Total other liabilities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1,227.8</w:t>
            </w: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27.5</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1,299.6</w:t>
            </w:r>
          </w:p>
        </w:tc>
        <w:tc>
          <w:tcPr>
            <w:tcW w:w="1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1,310.0</w:t>
            </w: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Shareholders' Equity</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00" w:type="dxa"/>
            <w:vAlign w:val="bottom"/>
          </w:tcPr>
          <w:p>
            <w:pPr>
              <w:ind w:left="520"/>
              <w:spacing w:after="0"/>
              <w:rPr>
                <w:sz w:val="20"/>
                <w:szCs w:val="20"/>
                <w:color w:val="auto"/>
              </w:rPr>
            </w:pPr>
            <w:r>
              <w:rPr>
                <w:rFonts w:ascii="Arial" w:cs="Arial" w:eastAsia="Arial" w:hAnsi="Arial"/>
                <w:sz w:val="14"/>
                <w:szCs w:val="14"/>
                <w:color w:val="auto"/>
              </w:rPr>
              <w:t>Preferred stock</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w:t>
            </w:r>
          </w:p>
        </w:tc>
      </w:tr>
      <w:tr>
        <w:trPr>
          <w:trHeight w:val="174"/>
        </w:trPr>
        <w:tc>
          <w:tcPr>
            <w:tcW w:w="20" w:type="dxa"/>
            <w:vAlign w:val="bottom"/>
          </w:tcPr>
          <w:p>
            <w:pPr>
              <w:spacing w:after="0"/>
              <w:rPr>
                <w:sz w:val="15"/>
                <w:szCs w:val="15"/>
                <w:color w:val="auto"/>
              </w:rPr>
            </w:pPr>
          </w:p>
        </w:tc>
        <w:tc>
          <w:tcPr>
            <w:tcW w:w="3400" w:type="dxa"/>
            <w:vAlign w:val="bottom"/>
          </w:tcPr>
          <w:p>
            <w:pPr>
              <w:ind w:left="520"/>
              <w:spacing w:after="0"/>
              <w:rPr>
                <w:sz w:val="20"/>
                <w:szCs w:val="20"/>
                <w:color w:val="auto"/>
              </w:rPr>
            </w:pPr>
            <w:r>
              <w:rPr>
                <w:rFonts w:ascii="Arial" w:cs="Arial" w:eastAsia="Arial" w:hAnsi="Arial"/>
                <w:sz w:val="14"/>
                <w:szCs w:val="14"/>
                <w:color w:val="auto"/>
              </w:rPr>
              <w:t>Capital in excess of par value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2,514.8</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2,514.8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2,481.8</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2,481.8</w:t>
            </w: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Retained earnings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1,201.2</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1,040.3</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1,029.3</w:t>
            </w:r>
          </w:p>
        </w:tc>
      </w:tr>
      <w:tr>
        <w:trPr>
          <w:trHeight w:val="174"/>
        </w:trPr>
        <w:tc>
          <w:tcPr>
            <w:tcW w:w="20" w:type="dxa"/>
            <w:vAlign w:val="bottom"/>
          </w:tcPr>
          <w:p>
            <w:pPr>
              <w:spacing w:after="0"/>
              <w:rPr>
                <w:sz w:val="15"/>
                <w:szCs w:val="15"/>
                <w:color w:val="auto"/>
              </w:rPr>
            </w:pPr>
          </w:p>
        </w:tc>
        <w:tc>
          <w:tcPr>
            <w:tcW w:w="3400" w:type="dxa"/>
            <w:vAlign w:val="bottom"/>
          </w:tcPr>
          <w:p>
            <w:pPr>
              <w:ind w:left="520"/>
              <w:spacing w:after="0"/>
              <w:rPr>
                <w:sz w:val="20"/>
                <w:szCs w:val="20"/>
                <w:color w:val="auto"/>
              </w:rPr>
            </w:pPr>
            <w:r>
              <w:rPr>
                <w:rFonts w:ascii="Arial" w:cs="Arial" w:eastAsia="Arial" w:hAnsi="Arial"/>
                <w:sz w:val="14"/>
                <w:szCs w:val="14"/>
                <w:color w:val="auto"/>
                <w:w w:val="94"/>
              </w:rPr>
              <w:t>Accumulated other comprehensive income (loss)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(8.9)</w:t>
            </w: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257.6</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257.6</w:t>
            </w:r>
          </w:p>
        </w:tc>
      </w:tr>
      <w:tr>
        <w:trPr>
          <w:trHeight w:val="174"/>
        </w:trPr>
        <w:tc>
          <w:tcPr>
            <w:tcW w:w="20" w:type="dxa"/>
            <w:vAlign w:val="bottom"/>
          </w:tcPr>
          <w:p>
            <w:pPr>
              <w:spacing w:after="0"/>
              <w:rPr>
                <w:sz w:val="15"/>
                <w:szCs w:val="15"/>
                <w:color w:val="auto"/>
              </w:rPr>
            </w:pPr>
          </w:p>
        </w:tc>
        <w:tc>
          <w:tcPr>
            <w:tcW w:w="3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Treasury stock at cost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(1,224.3)</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(1,224.3)</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(1,111.4)</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(1,111.4)</w:t>
            </w:r>
          </w:p>
        </w:tc>
      </w:tr>
      <w:tr>
        <w:trPr>
          <w:trHeight w:val="22"/>
        </w:trPr>
        <w:tc>
          <w:tcPr>
            <w:tcW w:w="2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700"/>
              <w:spacing w:after="0"/>
              <w:rPr>
                <w:sz w:val="20"/>
                <w:szCs w:val="20"/>
                <w:color w:val="auto"/>
              </w:rPr>
            </w:pPr>
            <w:r>
              <w:rPr>
                <w:rFonts w:ascii="Arial" w:cs="Arial" w:eastAsia="Arial" w:hAnsi="Arial"/>
                <w:sz w:val="14"/>
                <w:szCs w:val="14"/>
                <w:color w:val="auto"/>
              </w:rPr>
              <w:t>Total shareholders' equity</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2,483.8</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(24.4)</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2,459.4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2,669.3</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(11.0)</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2,658.3</w:t>
            </w:r>
          </w:p>
        </w:tc>
      </w:tr>
      <w:tr>
        <w:trPr>
          <w:trHeight w:val="163"/>
        </w:trPr>
        <w:tc>
          <w:tcPr>
            <w:tcW w:w="20" w:type="dxa"/>
            <w:vAlign w:val="bottom"/>
          </w:tcPr>
          <w:p>
            <w:pPr>
              <w:spacing w:after="0"/>
              <w:rPr>
                <w:sz w:val="14"/>
                <w:szCs w:val="14"/>
                <w:color w:val="auto"/>
              </w:rPr>
            </w:pPr>
          </w:p>
        </w:tc>
        <w:tc>
          <w:tcPr>
            <w:tcW w:w="340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rPr>
              <w:t>Total liabilities and shareholders'</w:t>
            </w:r>
          </w:p>
        </w:tc>
        <w:tc>
          <w:tcPr>
            <w:tcW w:w="1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equity</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6,618.2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7,224.4</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7,226.9</w:t>
            </w:r>
          </w:p>
        </w:tc>
      </w:tr>
      <w:tr>
        <w:trPr>
          <w:trHeight w:val="469"/>
        </w:trPr>
        <w:tc>
          <w:tcPr>
            <w:tcW w:w="20" w:type="dxa"/>
            <w:vAlign w:val="bottom"/>
          </w:tcPr>
          <w:p>
            <w:pPr>
              <w:spacing w:after="0"/>
              <w:rPr>
                <w:sz w:val="24"/>
                <w:szCs w:val="24"/>
                <w:color w:val="auto"/>
              </w:rPr>
            </w:pPr>
          </w:p>
        </w:tc>
        <w:tc>
          <w:tcPr>
            <w:tcW w:w="34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1100" w:type="dxa"/>
            <w:vAlign w:val="bottom"/>
            <w:tcBorders>
              <w:top w:val="single" w:sz="8" w:color="auto"/>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112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10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1120" w:type="dxa"/>
            <w:vAlign w:val="bottom"/>
            <w:tcBorders>
              <w:top w:val="single" w:sz="8" w:color="auto"/>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Manpower Inc.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Restated Results -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2009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188"/>
              <w:spacing w:after="0" w:line="159" w:lineRule="exact"/>
              <w:rPr>
                <w:sz w:val="20"/>
                <w:szCs w:val="20"/>
                <w:color w:val="auto"/>
              </w:rPr>
            </w:pPr>
            <w:r>
              <w:rPr>
                <w:rFonts w:ascii="Arial" w:cs="Arial" w:eastAsia="Arial" w:hAnsi="Arial"/>
                <w:sz w:val="14"/>
                <w:szCs w:val="14"/>
                <w:b w:val="1"/>
                <w:bCs w:val="1"/>
                <w:color w:val="auto"/>
                <w:w w:val="89"/>
              </w:rPr>
              <w:t>As</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188"/>
              <w:spacing w:after="0" w:line="159" w:lineRule="exact"/>
              <w:rPr>
                <w:sz w:val="20"/>
                <w:szCs w:val="20"/>
                <w:color w:val="auto"/>
              </w:rPr>
            </w:pPr>
            <w:r>
              <w:rPr>
                <w:rFonts w:ascii="Arial" w:cs="Arial" w:eastAsia="Arial" w:hAnsi="Arial"/>
                <w:sz w:val="14"/>
                <w:szCs w:val="14"/>
                <w:b w:val="1"/>
                <w:bCs w:val="1"/>
                <w:color w:val="auto"/>
                <w:w w:val="89"/>
              </w:rPr>
              <w:t>As</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w w:val="91"/>
              </w:rPr>
              <w:t>previously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w:t>
            </w:r>
          </w:p>
        </w:tc>
        <w:tc>
          <w:tcPr>
            <w:tcW w:w="160" w:type="dxa"/>
            <w:vAlign w:val="bottom"/>
          </w:tcPr>
          <w:p>
            <w:pPr>
              <w:spacing w:after="0"/>
              <w:rPr>
                <w:sz w:val="15"/>
                <w:szCs w:val="15"/>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w w:val="91"/>
              </w:rPr>
              <w:t>previously</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90"/>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reported</w:t>
            </w:r>
          </w:p>
        </w:tc>
        <w:tc>
          <w:tcPr>
            <w:tcW w:w="180" w:type="dxa"/>
            <w:vAlign w:val="bottom"/>
          </w:tcPr>
          <w:p>
            <w:pPr>
              <w:spacing w:after="0"/>
              <w:rPr>
                <w:sz w:val="16"/>
                <w:szCs w:val="16"/>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Adjustment</w:t>
            </w:r>
          </w:p>
        </w:tc>
        <w:tc>
          <w:tcPr>
            <w:tcW w:w="240" w:type="dxa"/>
            <w:vAlign w:val="bottom"/>
          </w:tcPr>
          <w:p>
            <w:pPr>
              <w:spacing w:after="0"/>
              <w:rPr>
                <w:sz w:val="16"/>
                <w:szCs w:val="16"/>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restated</w:t>
            </w:r>
          </w:p>
        </w:tc>
        <w:tc>
          <w:tcPr>
            <w:tcW w:w="160" w:type="dxa"/>
            <w:vAlign w:val="bottom"/>
          </w:tcPr>
          <w:p>
            <w:pPr>
              <w:spacing w:after="0"/>
              <w:rPr>
                <w:sz w:val="16"/>
                <w:szCs w:val="16"/>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w w:val="91"/>
              </w:rPr>
              <w:t>reported</w:t>
            </w:r>
          </w:p>
        </w:tc>
        <w:tc>
          <w:tcPr>
            <w:tcW w:w="160" w:type="dxa"/>
            <w:vAlign w:val="bottom"/>
          </w:tcPr>
          <w:p>
            <w:pPr>
              <w:spacing w:after="0"/>
              <w:rPr>
                <w:sz w:val="16"/>
                <w:szCs w:val="16"/>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Net earnings</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218.9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(13.4)</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205.5</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484.7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(11.0)</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w w:val="98"/>
              </w:rPr>
              <w:t>Adjustments to reconcile net earnings to net cash provided by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107.1</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107.1</w:t>
            </w: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99.0</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Non-cash goodwill and intangible impairment charge</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163.1</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163.1</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ind w:left="100"/>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(30.5)</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25.4</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Provision for doubtful accounts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23.4</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ind w:left="10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21.1</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21.1</w:t>
            </w: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Excess tax benefit on exercise of stock options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4"/>
                <w:szCs w:val="14"/>
                <w:color w:val="auto"/>
                <w:w w:val="96"/>
              </w:rPr>
              <w:t>Change in operating assets and liabilities, excluding the impact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spacing w:after="0"/>
              <w:rPr>
                <w:sz w:val="20"/>
                <w:szCs w:val="20"/>
                <w:color w:val="auto"/>
              </w:rPr>
            </w:pPr>
            <w:r>
              <w:rPr>
                <w:rFonts w:ascii="Arial" w:cs="Arial" w:eastAsia="Arial" w:hAnsi="Arial"/>
                <w:sz w:val="14"/>
                <w:szCs w:val="14"/>
                <w:color w:val="auto"/>
              </w:rPr>
              <w:t>of acquisitions: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Accounts receivable</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575.0</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575.0</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(316.0)</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ind w:left="10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(288.5)</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24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(273.6)</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99.4</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Cash provided by operating activities</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792.0</w:t>
            </w:r>
          </w:p>
        </w:tc>
        <w:tc>
          <w:tcPr>
            <w:tcW w:w="1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792.0</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432.2</w:t>
            </w: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432.2</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(93.1)</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Acquisitions of businesses, net of cash acquired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(242.0)</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(242.0)</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(122.8)</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Proceeds from the sale of property and equipment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tcPr>
          <w:p>
            <w:pPr>
              <w:ind w:left="100"/>
              <w:spacing w:after="0"/>
              <w:rPr>
                <w:sz w:val="20"/>
                <w:szCs w:val="20"/>
                <w:color w:val="auto"/>
              </w:rPr>
            </w:pPr>
            <w:r>
              <w:rPr>
                <w:rFonts w:ascii="Arial" w:cs="Arial" w:eastAsia="Arial" w:hAnsi="Arial"/>
                <w:sz w:val="14"/>
                <w:szCs w:val="14"/>
                <w:color w:val="auto"/>
              </w:rPr>
              <w:t>Cash (used) provided by investing activities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(329.2)</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(329.2)</w:t>
            </w: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201.5</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Net change in short-term borrowings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16.0</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Proceeds from long-term debt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233.7</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233.7</w:t>
            </w: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Repayments of long-term debt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(170.7)</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Proceeds from stock option and purchase plans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12.2</w:t>
            </w: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35.0</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Excess tax benefit on exercise of stock options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(125.4)</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(125.4)</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(419.2)</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(419.2)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Dividends paid</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(58.1)</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ind w:left="100"/>
              <w:spacing w:after="0"/>
              <w:rPr>
                <w:sz w:val="20"/>
                <w:szCs w:val="20"/>
                <w:color w:val="auto"/>
              </w:rPr>
            </w:pPr>
            <w:r>
              <w:rPr>
                <w:rFonts w:ascii="Arial" w:cs="Arial" w:eastAsia="Arial" w:hAnsi="Arial"/>
                <w:sz w:val="14"/>
                <w:szCs w:val="14"/>
                <w:color w:val="auto"/>
              </w:rPr>
              <w:t>Cash used by financing activities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(91.8)</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(91.8)</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(431.8)</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(431.8)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 on cash</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(34.5)</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50.7</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ind w:left="100"/>
              <w:spacing w:after="0"/>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336.5</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336.5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(150.4)</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Cash and cash equivalents, beginning of year</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537.5</w:t>
            </w: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537.5</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687.9</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Cash and cash equivalents, end of year</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874.0</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874.0</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537.5</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537.5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378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Supplemental Cash Flow Information</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Interest paid</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64.8</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64.8</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50.5</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7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Income taxes paid</w:t>
            </w:r>
          </w:p>
        </w:tc>
        <w:tc>
          <w:tcPr>
            <w:tcW w:w="2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293.5</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CCEEFF"/>
            </w:tcBorders>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293.5</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248.5</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60"/>
      </w:cols>
      <w:pgMar w:left="220" w:top="12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lowerLetter"/>
      <w:start w:val="1"/>
    </w:lvl>
  </w:abstractNum>
  <w:abstractNum w:abstractNumId="1">
    <w:nsid w:val="25E45D32"/>
    <w:multiLevelType w:val="hybridMultilevel"/>
    <w:lvl w:ilvl="0">
      <w:lvlJc w:val="left"/>
      <w:lvlText w:val="(%1)"/>
      <w:numFmt w:val="lowerLetter"/>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upperLetter"/>
      <w:start w:val="29"/>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upperLetter"/>
      <w:start w:val="29"/>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414"/>
    </w:lvl>
    <w:lvl w:ilvl="1">
      <w:lvlJc w:val="left"/>
      <w:lvlText w:val="(%2)"/>
      <w:numFmt w:val="decimal"/>
      <w:start w:val="35"/>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227"/>
    </w:lvl>
    <w:lvl w:ilvl="1">
      <w:lvlJc w:val="left"/>
      <w:lvlText w:val="%2"/>
      <w:numFmt w:val="decimal"/>
      <w:start w:val="1"/>
    </w:lvl>
  </w:abstractNum>
  <w:abstractNum w:abstractNumId="21">
    <w:nsid w:val="54E49EB4"/>
    <w:multiLevelType w:val="hybridMultilevel"/>
    <w:lvl w:ilvl="0">
      <w:lvlJc w:val="left"/>
      <w:lvlText w:val="(%1)"/>
      <w:numFmt w:val="decimal"/>
      <w:start w:val="22"/>
    </w:lvl>
    <w:lvl w:ilvl="1">
      <w:lvlJc w:val="left"/>
      <w:lvlText w:val="%2"/>
      <w:numFmt w:val="decimal"/>
      <w:start w:val="1"/>
    </w:lvl>
  </w:abstractNum>
  <w:abstractNum w:abstractNumId="22">
    <w:nsid w:val="71F32454"/>
    <w:multiLevelType w:val="hybridMultilevel"/>
    <w:lvl w:ilvl="0">
      <w:lvlJc w:val="left"/>
      <w:lvlText w:val="(%1)"/>
      <w:numFmt w:val="decimal"/>
      <w:start w:val="26"/>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2019-12-10T09:31:00Z</dcterms:created>
  <dcterms:modified xsi:type="dcterms:W3CDTF">2019-12-10T09:31:00Z</dcterms:modified>
</cp:coreProperties>
</file>