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Rules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333-71040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Prospectus Supplement No. 2 Dated December 26, 2001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 Prospectus dated December 7, 2001)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129540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140" w:firstLine="432"/>
        <w:spacing w:after="0" w:line="287" w:lineRule="auto"/>
        <w:rPr>
          <w:sz w:val="20"/>
          <w:szCs w:val="20"/>
          <w:color w:val="auto"/>
        </w:rPr>
      </w:pPr>
      <w:r>
        <w:rPr>
          <w:rFonts w:ascii="Arial" w:cs="Arial" w:eastAsia="Arial" w:hAnsi="Arial"/>
          <w:sz w:val="19"/>
          <w:szCs w:val="19"/>
          <w:color w:val="auto"/>
        </w:rPr>
        <w:t>Our prospectus dated December 7, 2001, as supplemented on December 14, 2001, relating to the offer for resale by certain of our securityholders of up to $435,367,000 aggregate principal amount due at maturity of zero coupon convertible debentures due August 17, 2021 of Manpower Inc., and the shares of our common stock issuable upon conversion of the debentures, is hereby supplemented to include the following information in the "Selling Securityholders" section on pages 38-44 of the prospectus.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ADDITIONAL SELLING SECURITYHOLDERS</w:t>
      </w:r>
    </w:p>
    <w:p>
      <w:pPr>
        <w:spacing w:after="0" w:line="212" w:lineRule="exact"/>
        <w:rPr>
          <w:sz w:val="24"/>
          <w:szCs w:val="24"/>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represents additional selling securityholders for the table appearing in the "Selling Securityholders" section of the prospectus.</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Maturity</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92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Debentures</w:t>
            </w:r>
          </w:p>
        </w:tc>
        <w:tc>
          <w:tcPr>
            <w:tcW w:w="134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880" w:type="dxa"/>
            <w:vAlign w:val="bottom"/>
          </w:tcPr>
          <w:p>
            <w:pPr>
              <w:spacing w:after="0"/>
              <w:rPr>
                <w:sz w:val="12"/>
                <w:szCs w:val="12"/>
                <w:color w:val="auto"/>
              </w:rPr>
            </w:pPr>
          </w:p>
        </w:tc>
        <w:tc>
          <w:tcPr>
            <w:tcW w:w="1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108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6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Sold (1)</w:t>
            </w:r>
          </w:p>
        </w:tc>
        <w:tc>
          <w:tcPr>
            <w:tcW w:w="36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498"/>
        </w:trPr>
        <w:tc>
          <w:tcPr>
            <w:tcW w:w="3240" w:type="dxa"/>
            <w:vAlign w:val="bottom"/>
            <w:gridSpan w:val="3"/>
          </w:tcPr>
          <w:p>
            <w:pPr>
              <w:spacing w:after="0"/>
              <w:rPr>
                <w:sz w:val="20"/>
                <w:szCs w:val="20"/>
                <w:color w:val="auto"/>
              </w:rPr>
            </w:pPr>
            <w:r>
              <w:rPr>
                <w:rFonts w:ascii="Arial" w:cs="Arial" w:eastAsia="Arial" w:hAnsi="Arial"/>
                <w:sz w:val="18"/>
                <w:szCs w:val="18"/>
                <w:color w:val="auto"/>
              </w:rPr>
              <w:t>KBC Financial Products USA Inc.</w:t>
            </w:r>
          </w:p>
        </w:tc>
        <w:tc>
          <w:tcPr>
            <w:tcW w:w="1420" w:type="dxa"/>
            <w:vAlign w:val="bottom"/>
          </w:tcPr>
          <w:p>
            <w:pPr>
              <w:jc w:val="right"/>
              <w:ind w:right="289"/>
              <w:spacing w:after="0"/>
              <w:rPr>
                <w:sz w:val="20"/>
                <w:szCs w:val="20"/>
                <w:color w:val="auto"/>
              </w:rPr>
            </w:pPr>
            <w:r>
              <w:rPr>
                <w:rFonts w:ascii="Arial" w:cs="Arial" w:eastAsia="Arial" w:hAnsi="Arial"/>
                <w:sz w:val="18"/>
                <w:szCs w:val="18"/>
                <w:color w:val="auto"/>
                <w:w w:val="98"/>
              </w:rPr>
              <w:t>$   2,500,000</w:t>
            </w:r>
          </w:p>
        </w:tc>
        <w:tc>
          <w:tcPr>
            <w:tcW w:w="1180" w:type="dxa"/>
            <w:vAlign w:val="bottom"/>
            <w:gridSpan w:val="2"/>
          </w:tcPr>
          <w:p>
            <w:pPr>
              <w:jc w:val="center"/>
              <w:ind w:left="36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40" w:type="dxa"/>
            <w:vAlign w:val="bottom"/>
            <w:gridSpan w:val="2"/>
          </w:tcPr>
          <w:p>
            <w:pPr>
              <w:jc w:val="center"/>
              <w:ind w:left="206"/>
              <w:spacing w:after="0"/>
              <w:rPr>
                <w:sz w:val="20"/>
                <w:szCs w:val="20"/>
                <w:color w:val="auto"/>
              </w:rPr>
            </w:pPr>
            <w:r>
              <w:rPr>
                <w:rFonts w:ascii="Arial" w:cs="Arial" w:eastAsia="Arial" w:hAnsi="Arial"/>
                <w:sz w:val="18"/>
                <w:szCs w:val="18"/>
                <w:color w:val="auto"/>
                <w:w w:val="87"/>
              </w:rPr>
              <w:t>34,889</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7"/>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140 East 45th Street</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5"/>
        </w:trPr>
        <w:tc>
          <w:tcPr>
            <w:tcW w:w="3240" w:type="dxa"/>
            <w:vAlign w:val="bottom"/>
            <w:gridSpan w:val="3"/>
          </w:tcPr>
          <w:p>
            <w:pPr>
              <w:ind w:left="180"/>
              <w:spacing w:after="0" w:line="255" w:lineRule="exact"/>
              <w:rPr>
                <w:sz w:val="20"/>
                <w:szCs w:val="20"/>
                <w:color w:val="auto"/>
              </w:rPr>
            </w:pPr>
            <w:r>
              <w:rPr>
                <w:rFonts w:ascii="Arial" w:cs="Arial" w:eastAsia="Arial" w:hAnsi="Arial"/>
                <w:sz w:val="18"/>
                <w:szCs w:val="18"/>
                <w:color w:val="auto"/>
              </w:rPr>
              <w:t>2 Grand Central Tower,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tc>
        <w:tc>
          <w:tcPr>
            <w:tcW w:w="1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2"/>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New York, NY 10017</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SELLING SECURITYHOLDERS</w:t>
      </w:r>
    </w:p>
    <w:p>
      <w:pPr>
        <w:spacing w:after="0" w:line="212" w:lineRule="exact"/>
        <w:rPr>
          <w:sz w:val="24"/>
          <w:szCs w:val="24"/>
          <w:color w:val="auto"/>
        </w:rPr>
      </w:pPr>
    </w:p>
    <w:p>
      <w:pPr>
        <w:ind w:right="980" w:firstLine="428"/>
        <w:spacing w:after="0" w:line="251" w:lineRule="auto"/>
        <w:rPr>
          <w:sz w:val="20"/>
          <w:szCs w:val="20"/>
          <w:color w:val="auto"/>
        </w:rPr>
      </w:pPr>
      <w:r>
        <w:rPr>
          <w:rFonts w:ascii="Arial" w:cs="Arial" w:eastAsia="Arial" w:hAnsi="Arial"/>
          <w:sz w:val="22"/>
          <w:szCs w:val="22"/>
          <w:color w:val="auto"/>
        </w:rPr>
        <w:t>The following represents updated information regarding the selling securityholders listed in the table in the "Selling Securityholders" section of the prospectus.</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Maturity</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920" w:type="dxa"/>
            <w:vAlign w:val="bottom"/>
          </w:tcPr>
          <w:p>
            <w:pPr>
              <w:spacing w:after="0"/>
              <w:rPr>
                <w:sz w:val="12"/>
                <w:szCs w:val="12"/>
                <w:color w:val="auto"/>
              </w:rPr>
            </w:pPr>
          </w:p>
        </w:tc>
      </w:tr>
      <w:tr>
        <w:trPr>
          <w:trHeight w:val="149"/>
        </w:trPr>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Debentures</w:t>
            </w:r>
          </w:p>
        </w:tc>
        <w:tc>
          <w:tcPr>
            <w:tcW w:w="1320" w:type="dxa"/>
            <w:vAlign w:val="bottom"/>
            <w:gridSpan w:val="3"/>
          </w:tcPr>
          <w:p>
            <w:pPr>
              <w:jc w:val="center"/>
              <w:ind w:left="14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900" w:type="dxa"/>
            <w:vAlign w:val="bottom"/>
          </w:tcPr>
          <w:p>
            <w:pPr>
              <w:spacing w:after="0"/>
              <w:rPr>
                <w:sz w:val="12"/>
                <w:szCs w:val="12"/>
                <w:color w:val="auto"/>
              </w:rPr>
            </w:pPr>
          </w:p>
        </w:tc>
        <w:tc>
          <w:tcPr>
            <w:tcW w:w="1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108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Sold (1)</w:t>
            </w:r>
          </w:p>
        </w:tc>
        <w:tc>
          <w:tcPr>
            <w:tcW w:w="40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498"/>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Any other holder of notes or future</w:t>
            </w:r>
          </w:p>
        </w:tc>
        <w:tc>
          <w:tcPr>
            <w:tcW w:w="1440" w:type="dxa"/>
            <w:vAlign w:val="bottom"/>
          </w:tcPr>
          <w:p>
            <w:pPr>
              <w:jc w:val="right"/>
              <w:ind w:right="249"/>
              <w:spacing w:after="0"/>
              <w:rPr>
                <w:sz w:val="20"/>
                <w:szCs w:val="20"/>
                <w:color w:val="auto"/>
              </w:rPr>
            </w:pPr>
            <w:r>
              <w:rPr>
                <w:rFonts w:ascii="Arial" w:cs="Arial" w:eastAsia="Arial" w:hAnsi="Arial"/>
                <w:sz w:val="18"/>
                <w:szCs w:val="18"/>
                <w:color w:val="auto"/>
                <w:w w:val="99"/>
              </w:rPr>
              <w:t>$  73,300,000</w:t>
            </w:r>
          </w:p>
        </w:tc>
        <w:tc>
          <w:tcPr>
            <w:tcW w:w="1160" w:type="dxa"/>
            <w:vAlign w:val="bottom"/>
            <w:gridSpan w:val="2"/>
          </w:tcPr>
          <w:p>
            <w:pPr>
              <w:jc w:val="center"/>
              <w:ind w:left="342"/>
              <w:spacing w:after="0"/>
              <w:rPr>
                <w:sz w:val="20"/>
                <w:szCs w:val="20"/>
                <w:color w:val="auto"/>
              </w:rPr>
            </w:pPr>
            <w:r>
              <w:rPr>
                <w:rFonts w:ascii="Arial" w:cs="Arial" w:eastAsia="Arial" w:hAnsi="Arial"/>
                <w:sz w:val="18"/>
                <w:szCs w:val="18"/>
                <w:color w:val="auto"/>
                <w:w w:val="90"/>
              </w:rPr>
              <w:t>16.8%</w:t>
            </w:r>
          </w:p>
        </w:tc>
        <w:tc>
          <w:tcPr>
            <w:tcW w:w="160" w:type="dxa"/>
            <w:vAlign w:val="bottom"/>
          </w:tcPr>
          <w:p>
            <w:pPr>
              <w:spacing w:after="0"/>
              <w:rPr>
                <w:sz w:val="24"/>
                <w:szCs w:val="24"/>
                <w:color w:val="auto"/>
              </w:rPr>
            </w:pPr>
          </w:p>
        </w:tc>
        <w:tc>
          <w:tcPr>
            <w:tcW w:w="1200" w:type="dxa"/>
            <w:vAlign w:val="bottom"/>
            <w:gridSpan w:val="2"/>
          </w:tcPr>
          <w:p>
            <w:pPr>
              <w:jc w:val="center"/>
              <w:ind w:left="266"/>
              <w:spacing w:after="0"/>
              <w:rPr>
                <w:sz w:val="20"/>
                <w:szCs w:val="20"/>
                <w:color w:val="auto"/>
              </w:rPr>
            </w:pPr>
            <w:r>
              <w:rPr>
                <w:rFonts w:ascii="Arial" w:cs="Arial" w:eastAsia="Arial" w:hAnsi="Arial"/>
                <w:sz w:val="18"/>
                <w:szCs w:val="18"/>
                <w:color w:val="auto"/>
                <w:w w:val="87"/>
              </w:rPr>
              <w:t>1,022,967</w:t>
            </w:r>
          </w:p>
        </w:tc>
        <w:tc>
          <w:tcPr>
            <w:tcW w:w="4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1.3%</w:t>
            </w:r>
          </w:p>
        </w:tc>
      </w:tr>
      <w:tr>
        <w:trPr>
          <w:trHeight w:val="216"/>
        </w:trPr>
        <w:tc>
          <w:tcPr>
            <w:tcW w:w="3260" w:type="dxa"/>
            <w:vAlign w:val="bottom"/>
            <w:gridSpan w:val="3"/>
          </w:tcPr>
          <w:p>
            <w:pPr>
              <w:ind w:left="20"/>
              <w:spacing w:after="0"/>
              <w:rPr>
                <w:sz w:val="20"/>
                <w:szCs w:val="20"/>
                <w:color w:val="auto"/>
              </w:rPr>
            </w:pPr>
            <w:r>
              <w:rPr>
                <w:rFonts w:ascii="Arial" w:cs="Arial" w:eastAsia="Arial" w:hAnsi="Arial"/>
                <w:sz w:val="18"/>
                <w:szCs w:val="18"/>
                <w:color w:val="auto"/>
                <w:w w:val="94"/>
              </w:rPr>
              <w:t>transferee, pledgee, donee or successor of</w:t>
            </w: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any holder (3)(4)</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99"/>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___________________</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3260" w:type="dxa"/>
            <w:vAlign w:val="bottom"/>
            <w:gridSpan w:val="3"/>
          </w:tcPr>
          <w:p>
            <w:pPr>
              <w:spacing w:after="0"/>
              <w:rPr>
                <w:sz w:val="20"/>
                <w:szCs w:val="20"/>
                <w:color w:val="auto"/>
              </w:rPr>
            </w:pPr>
            <w:r>
              <w:rPr>
                <w:rFonts w:ascii="Arial" w:cs="Arial" w:eastAsia="Arial" w:hAnsi="Arial"/>
                <w:sz w:val="18"/>
                <w:szCs w:val="18"/>
                <w:color w:val="auto"/>
              </w:rPr>
              <w:t>*Less than 1%.</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 w:lineRule="exact"/>
        <w:rPr>
          <w:sz w:val="24"/>
          <w:szCs w:val="24"/>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2019-12-11T20:54:34Z</dcterms:created>
  <dcterms:modified xsi:type="dcterms:W3CDTF">2019-12-11T20:54:34Z</dcterms:modified>
</cp:coreProperties>
</file>