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120"/>
        <w:spacing w:after="0"/>
        <w:rPr>
          <w:sz w:val="20"/>
          <w:szCs w:val="20"/>
          <w:color w:val="auto"/>
        </w:rPr>
      </w:pPr>
      <w:r>
        <w:rPr>
          <w:rFonts w:ascii="Arial" w:cs="Arial" w:eastAsia="Arial" w:hAnsi="Arial"/>
          <w:sz w:val="22"/>
          <w:szCs w:val="22"/>
          <w:color w:val="auto"/>
        </w:rPr>
        <w:t>United States</w:t>
      </w:r>
    </w:p>
    <w:p>
      <w:pPr>
        <w:spacing w:after="0" w:line="22" w:lineRule="exact"/>
        <w:rPr>
          <w:sz w:val="24"/>
          <w:szCs w:val="24"/>
          <w:color w:val="auto"/>
        </w:rPr>
      </w:pPr>
    </w:p>
    <w:p>
      <w:pPr>
        <w:ind w:left="3500"/>
        <w:spacing w:after="0"/>
        <w:rPr>
          <w:sz w:val="20"/>
          <w:szCs w:val="20"/>
          <w:color w:val="auto"/>
        </w:rPr>
      </w:pPr>
      <w:r>
        <w:rPr>
          <w:rFonts w:ascii="Arial" w:cs="Arial" w:eastAsia="Arial" w:hAnsi="Arial"/>
          <w:sz w:val="22"/>
          <w:szCs w:val="22"/>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Washington, D.C. 20549</w:t>
      </w:r>
    </w:p>
    <w:p>
      <w:pPr>
        <w:spacing w:after="0" w:line="10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172"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158" w:lineRule="exact"/>
        <w:rPr>
          <w:sz w:val="24"/>
          <w:szCs w:val="24"/>
          <w:color w:val="auto"/>
        </w:rPr>
      </w:pPr>
    </w:p>
    <w:p>
      <w:pPr>
        <w:ind w:left="400" w:hanging="392"/>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Quarterly Report pursuant to Section 13 or 15(d) of the Securities Exchange Act of 1934 for the quarterly period ended:</w:t>
      </w:r>
    </w:p>
    <w:p>
      <w:pPr>
        <w:spacing w:after="0" w:line="153" w:lineRule="exact"/>
        <w:rPr>
          <w:rFonts w:ascii="MS PGothic" w:cs="MS PGothic" w:eastAsia="MS PGothic" w:hAnsi="MS PGothic"/>
          <w:sz w:val="18"/>
          <w:szCs w:val="18"/>
          <w:color w:val="auto"/>
        </w:rPr>
      </w:pPr>
    </w:p>
    <w:p>
      <w:pPr>
        <w:ind w:left="5640" w:right="5000" w:hanging="721"/>
        <w:spacing w:after="0" w:line="398" w:lineRule="auto"/>
        <w:rPr>
          <w:rFonts w:ascii="MS PGothic" w:cs="MS PGothic" w:eastAsia="MS PGothic" w:hAnsi="MS PGothic"/>
          <w:sz w:val="18"/>
          <w:szCs w:val="18"/>
          <w:color w:val="auto"/>
        </w:rPr>
      </w:pPr>
      <w:r>
        <w:rPr>
          <w:rFonts w:ascii="Arial" w:cs="Arial" w:eastAsia="Arial" w:hAnsi="Arial"/>
          <w:sz w:val="18"/>
          <w:szCs w:val="18"/>
          <w:b w:val="1"/>
          <w:bCs w:val="1"/>
          <w:color w:val="auto"/>
        </w:rPr>
        <w:t xml:space="preserve">September 30, 2019 </w:t>
      </w:r>
      <w:r>
        <w:rPr>
          <w:rFonts w:ascii="Arial" w:cs="Arial" w:eastAsia="Arial" w:hAnsi="Arial"/>
          <w:sz w:val="18"/>
          <w:szCs w:val="18"/>
          <w:color w:val="auto"/>
        </w:rPr>
        <w:t>or</w:t>
      </w:r>
    </w:p>
    <w:p>
      <w:pPr>
        <w:spacing w:after="0" w:line="33" w:lineRule="exact"/>
        <w:rPr>
          <w:sz w:val="24"/>
          <w:szCs w:val="24"/>
          <w:color w:val="auto"/>
        </w:rPr>
      </w:pPr>
    </w:p>
    <w:p>
      <w:pPr>
        <w:ind w:left="400" w:hanging="392"/>
        <w:spacing w:after="0"/>
        <w:tabs>
          <w:tab w:leader="none" w:pos="400" w:val="left"/>
        </w:tabs>
        <w:numPr>
          <w:ilvl w:val="0"/>
          <w:numId w:val="2"/>
        </w:numPr>
        <w:rPr>
          <w:rFonts w:ascii="MS PGothic" w:cs="MS PGothic" w:eastAsia="MS PGothic" w:hAnsi="MS PGothic"/>
          <w:sz w:val="16"/>
          <w:szCs w:val="16"/>
          <w:color w:val="auto"/>
          <w:highlight w:val="black"/>
        </w:rPr>
      </w:pPr>
      <w:r>
        <w:rPr>
          <w:rFonts w:ascii="Arial" w:cs="Arial" w:eastAsia="Arial" w:hAnsi="Arial"/>
          <w:sz w:val="16"/>
          <w:szCs w:val="16"/>
          <w:color w:val="auto"/>
        </w:rPr>
        <w:t>Transition Report pursuant to Section 13 or 15(d) of the Securities Exchange Act of 1934 for the transition period from: ______to______</w:t>
      </w:r>
    </w:p>
    <w:p>
      <w:pPr>
        <w:spacing w:after="0" w:line="180" w:lineRule="exact"/>
        <w:rPr>
          <w:rFonts w:ascii="MS PGothic" w:cs="MS PGothic" w:eastAsia="MS PGothic" w:hAnsi="MS PGothic"/>
          <w:sz w:val="16"/>
          <w:szCs w:val="16"/>
          <w:color w:val="auto"/>
          <w:highlight w:val="black"/>
        </w:rPr>
      </w:pPr>
    </w:p>
    <w:p>
      <w:pPr>
        <w:ind w:left="4480"/>
        <w:spacing w:after="0"/>
        <w:rPr>
          <w:rFonts w:ascii="MS PGothic" w:cs="MS PGothic" w:eastAsia="MS PGothic" w:hAnsi="MS PGothic"/>
          <w:sz w:val="16"/>
          <w:szCs w:val="16"/>
          <w:color w:val="auto"/>
          <w:highlight w:val="black"/>
        </w:rPr>
      </w:pPr>
      <w:r>
        <w:rPr>
          <w:rFonts w:ascii="Arial" w:cs="Arial" w:eastAsia="Arial" w:hAnsi="Arial"/>
          <w:sz w:val="18"/>
          <w:szCs w:val="18"/>
          <w:color w:val="auto"/>
        </w:rPr>
        <w:t>Commission file number: 1-10686</w:t>
      </w:r>
    </w:p>
    <w:p>
      <w:pPr>
        <w:spacing w:after="0" w:line="1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MANPOWERGROUP INC.</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402" w:right="239" w:bottom="1440" w:gutter="0" w:footer="0" w:header="0"/>
        </w:sectPr>
      </w:pPr>
    </w:p>
    <w:p>
      <w:pPr>
        <w:spacing w:after="0" w:line="138" w:lineRule="exact"/>
        <w:rPr>
          <w:sz w:val="24"/>
          <w:szCs w:val="24"/>
          <w:color w:val="auto"/>
        </w:rPr>
      </w:pPr>
    </w:p>
    <w:p>
      <w:pPr>
        <w:ind w:left="2280"/>
        <w:spacing w:after="0"/>
        <w:rPr>
          <w:sz w:val="20"/>
          <w:szCs w:val="20"/>
          <w:color w:val="auto"/>
        </w:rPr>
      </w:pPr>
      <w:r>
        <w:rPr>
          <w:rFonts w:ascii="Arial" w:cs="Arial" w:eastAsia="Arial" w:hAnsi="Arial"/>
          <w:sz w:val="15"/>
          <w:szCs w:val="15"/>
          <w:b w:val="1"/>
          <w:bCs w:val="1"/>
          <w:color w:val="auto"/>
        </w:rPr>
        <w:t>Wisconsin</w:t>
      </w:r>
    </w:p>
    <w:p>
      <w:pPr>
        <w:spacing w:after="0" w:line="20" w:lineRule="exact"/>
        <w:rPr>
          <w:sz w:val="24"/>
          <w:szCs w:val="24"/>
          <w:color w:val="auto"/>
        </w:rPr>
      </w:pPr>
      <w:r>
        <w:rPr>
          <w:sz w:val="24"/>
          <w:szCs w:val="24"/>
          <w:color w:val="auto"/>
        </w:rPr>
        <w:br w:type="column"/>
      </w:r>
    </w:p>
    <w:p>
      <w:pPr>
        <w:spacing w:after="0" w:line="11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39-1672779</w:t>
      </w:r>
    </w:p>
    <w:p>
      <w:pPr>
        <w:spacing w:after="0" w:line="104" w:lineRule="exact"/>
        <w:rPr>
          <w:sz w:val="24"/>
          <w:szCs w:val="24"/>
          <w:color w:val="auto"/>
        </w:rPr>
      </w:pPr>
    </w:p>
    <w:p>
      <w:pPr>
        <w:sectPr>
          <w:pgSz w:w="11900" w:h="16838" w:orient="portrait"/>
          <w:cols w:equalWidth="0" w:num="2">
            <w:col w:w="7200" w:space="720"/>
            <w:col w:w="3500"/>
          </w:cols>
          <w:pgMar w:left="240" w:top="402" w:right="239" w:bottom="1440" w:gutter="0" w:footer="0" w:header="0"/>
          <w:type w:val="continuous"/>
        </w:sectPr>
      </w:pPr>
    </w:p>
    <w:p>
      <w:pPr>
        <w:jc w:val="center"/>
        <w:ind w:left="52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2">
            <w:col w:w="7200" w:space="720"/>
            <w:col w:w="3500"/>
          </w:cols>
          <w:pgMar w:left="240" w:top="402" w:right="239" w:bottom="1440" w:gutter="0" w:footer="0" w:header="0"/>
          <w:type w:val="continuous"/>
        </w:sectPr>
      </w:pPr>
    </w:p>
    <w:p>
      <w:pPr>
        <w:spacing w:after="0" w:line="168" w:lineRule="exact"/>
        <w:rPr>
          <w:sz w:val="24"/>
          <w:szCs w:val="24"/>
          <w:color w:val="auto"/>
        </w:rPr>
      </w:pPr>
    </w:p>
    <w:p>
      <w:pPr>
        <w:ind w:left="2280"/>
        <w:spacing w:after="0"/>
        <w:rPr>
          <w:sz w:val="20"/>
          <w:szCs w:val="20"/>
          <w:color w:val="auto"/>
        </w:rPr>
      </w:pPr>
      <w:r>
        <w:rPr>
          <w:rFonts w:ascii="Arial" w:cs="Arial" w:eastAsia="Arial" w:hAnsi="Arial"/>
          <w:sz w:val="16"/>
          <w:szCs w:val="16"/>
          <w:b w:val="1"/>
          <w:bCs w:val="1"/>
          <w:color w:val="auto"/>
        </w:rPr>
        <w:t>100 Manpower Place</w:t>
      </w:r>
    </w:p>
    <w:p>
      <w:pPr>
        <w:sectPr>
          <w:pgSz w:w="11900" w:h="16838" w:orient="portrait"/>
          <w:cols w:equalWidth="0" w:num="1">
            <w:col w:w="11420"/>
          </w:cols>
          <w:pgMar w:left="240" w:top="402" w:right="239" w:bottom="1440" w:gutter="0" w:footer="0" w:header="0"/>
          <w:type w:val="continuous"/>
        </w:sectPr>
      </w:pPr>
    </w:p>
    <w:p>
      <w:pPr>
        <w:spacing w:after="0" w:line="100" w:lineRule="exact"/>
        <w:rPr>
          <w:sz w:val="24"/>
          <w:szCs w:val="24"/>
          <w:color w:val="auto"/>
        </w:rPr>
      </w:pPr>
    </w:p>
    <w:p>
      <w:pPr>
        <w:ind w:left="2280"/>
        <w:spacing w:after="0"/>
        <w:rPr>
          <w:sz w:val="20"/>
          <w:szCs w:val="20"/>
          <w:color w:val="auto"/>
        </w:rPr>
      </w:pPr>
      <w:r>
        <w:rPr>
          <w:rFonts w:ascii="Arial" w:cs="Arial" w:eastAsia="Arial" w:hAnsi="Arial"/>
          <w:sz w:val="16"/>
          <w:szCs w:val="16"/>
          <w:b w:val="1"/>
          <w:bCs w:val="1"/>
          <w:color w:val="auto"/>
        </w:rPr>
        <w:t>Milwaukee, Wisconsin</w:t>
      </w:r>
    </w:p>
    <w:p>
      <w:pPr>
        <w:spacing w:after="0" w:line="20" w:lineRule="exact"/>
        <w:rPr>
          <w:sz w:val="24"/>
          <w:szCs w:val="24"/>
          <w:color w:val="auto"/>
        </w:rPr>
      </w:pPr>
      <w:r>
        <w:rPr>
          <w:sz w:val="24"/>
          <w:szCs w:val="24"/>
          <w:color w:val="auto"/>
        </w:rPr>
        <w:br w:type="column"/>
      </w:r>
    </w:p>
    <w:p>
      <w:pPr>
        <w:spacing w:after="0" w:line="8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53212</w:t>
      </w:r>
    </w:p>
    <w:p>
      <w:pPr>
        <w:spacing w:after="0" w:line="104" w:lineRule="exact"/>
        <w:rPr>
          <w:sz w:val="24"/>
          <w:szCs w:val="24"/>
          <w:color w:val="auto"/>
        </w:rPr>
      </w:pPr>
    </w:p>
    <w:p>
      <w:pPr>
        <w:sectPr>
          <w:pgSz w:w="11900" w:h="16838" w:orient="portrait"/>
          <w:cols w:equalWidth="0" w:num="2">
            <w:col w:w="7200" w:space="720"/>
            <w:col w:w="3500"/>
          </w:cols>
          <w:pgMar w:left="240" w:top="402" w:right="239" w:bottom="1440" w:gutter="0" w:footer="0" w:header="0"/>
          <w:type w:val="continuous"/>
        </w:sectPr>
      </w:pPr>
    </w:p>
    <w:p>
      <w:pPr>
        <w:ind w:left="228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jc w:val="center"/>
        <w:ind w:right="2700"/>
        <w:spacing w:after="0"/>
        <w:rPr>
          <w:sz w:val="20"/>
          <w:szCs w:val="20"/>
          <w:color w:val="auto"/>
        </w:rPr>
      </w:pPr>
      <w:r>
        <w:rPr>
          <w:rFonts w:ascii="Arial" w:cs="Arial" w:eastAsia="Arial" w:hAnsi="Arial"/>
          <w:sz w:val="16"/>
          <w:szCs w:val="16"/>
          <w:color w:val="auto"/>
        </w:rPr>
        <w:t>(Zip Code)</w:t>
      </w:r>
    </w:p>
    <w:p>
      <w:pPr>
        <w:spacing w:after="0" w:line="190" w:lineRule="exact"/>
        <w:rPr>
          <w:sz w:val="24"/>
          <w:szCs w:val="24"/>
          <w:color w:val="auto"/>
        </w:rPr>
      </w:pPr>
    </w:p>
    <w:p>
      <w:pPr>
        <w:sectPr>
          <w:pgSz w:w="11900" w:h="16838" w:orient="portrait"/>
          <w:cols w:equalWidth="0" w:num="2">
            <w:col w:w="7200" w:space="720"/>
            <w:col w:w="3500"/>
          </w:cols>
          <w:pgMar w:left="240" w:top="402" w:right="239" w:bottom="1440" w:gutter="0" w:footer="0" w:header="0"/>
          <w:type w:val="continuous"/>
        </w:sectPr>
      </w:pPr>
    </w:p>
    <w:p>
      <w:pPr>
        <w:ind w:left="324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(414)</w:t>
      </w:r>
      <w:r>
        <w:rPr>
          <w:rFonts w:ascii="Arial" w:cs="Arial" w:eastAsia="Arial" w:hAnsi="Arial"/>
          <w:sz w:val="18"/>
          <w:szCs w:val="18"/>
          <w:color w:val="auto"/>
        </w:rPr>
        <w:t xml:space="preserve"> 961-1000</w:t>
      </w:r>
    </w:p>
    <w:p>
      <w:pPr>
        <w:spacing w:after="0" w:line="148"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25" w:lineRule="exact"/>
        <w:rPr>
          <w:sz w:val="24"/>
          <w:szCs w:val="24"/>
          <w:color w:val="auto"/>
        </w:rPr>
      </w:pPr>
    </w:p>
    <w:tbl>
      <w:tblPr>
        <w:tblLayout w:type="fixed"/>
        <w:tblInd w:w="310" w:type="dxa"/>
        <w:tblCellMar>
          <w:top w:w="0" w:type="dxa"/>
          <w:left w:w="0" w:type="dxa"/>
          <w:bottom w:w="0" w:type="dxa"/>
          <w:right w:w="0" w:type="dxa"/>
        </w:tblCellMar>
      </w:tblPr>
      <w:tr>
        <w:trPr>
          <w:trHeight w:val="189"/>
        </w:trPr>
        <w:tc>
          <w:tcPr>
            <w:tcW w:w="1040" w:type="dxa"/>
            <w:vAlign w:val="bottom"/>
            <w:tcBorders>
              <w:top w:val="single" w:sz="8" w:color="auto"/>
              <w:left w:val="single" w:sz="8" w:color="auto"/>
            </w:tcBorders>
          </w:tcPr>
          <w:p>
            <w:pPr>
              <w:spacing w:after="0"/>
              <w:rPr>
                <w:sz w:val="16"/>
                <w:szCs w:val="16"/>
                <w:color w:val="auto"/>
              </w:rPr>
            </w:pPr>
          </w:p>
        </w:tc>
        <w:tc>
          <w:tcPr>
            <w:tcW w:w="2600" w:type="dxa"/>
            <w:vAlign w:val="bottom"/>
            <w:tcBorders>
              <w:top w:val="single" w:sz="8" w:color="auto"/>
            </w:tcBorders>
            <w:gridSpan w:val="2"/>
          </w:tcPr>
          <w:p>
            <w:pPr>
              <w:jc w:val="center"/>
              <w:ind w:right="1300"/>
              <w:spacing w:after="0" w:line="189" w:lineRule="exact"/>
              <w:rPr>
                <w:sz w:val="20"/>
                <w:szCs w:val="20"/>
                <w:color w:val="auto"/>
              </w:rPr>
            </w:pPr>
            <w:r>
              <w:rPr>
                <w:rFonts w:ascii="Arial" w:cs="Arial" w:eastAsia="Arial" w:hAnsi="Arial"/>
                <w:sz w:val="18"/>
                <w:szCs w:val="18"/>
                <w:color w:val="auto"/>
                <w:w w:val="90"/>
              </w:rPr>
              <w:t>Title of each class</w:t>
            </w:r>
          </w:p>
        </w:tc>
        <w:tc>
          <w:tcPr>
            <w:tcW w:w="3540" w:type="dxa"/>
            <w:vAlign w:val="bottom"/>
            <w:tcBorders>
              <w:top w:val="single" w:sz="8" w:color="auto"/>
            </w:tcBorders>
            <w:gridSpan w:val="3"/>
          </w:tcPr>
          <w:p>
            <w:pPr>
              <w:jc w:val="center"/>
              <w:ind w:right="500"/>
              <w:spacing w:after="0" w:line="189" w:lineRule="exact"/>
              <w:rPr>
                <w:sz w:val="20"/>
                <w:szCs w:val="20"/>
                <w:color w:val="auto"/>
              </w:rPr>
            </w:pPr>
            <w:r>
              <w:rPr>
                <w:rFonts w:ascii="Arial" w:cs="Arial" w:eastAsia="Arial" w:hAnsi="Arial"/>
                <w:sz w:val="18"/>
                <w:szCs w:val="18"/>
                <w:color w:val="auto"/>
                <w:w w:val="92"/>
              </w:rPr>
              <w:t>Trading Symbol(s)</w:t>
            </w:r>
          </w:p>
        </w:tc>
        <w:tc>
          <w:tcPr>
            <w:tcW w:w="3660" w:type="dxa"/>
            <w:vAlign w:val="bottom"/>
            <w:tcBorders>
              <w:top w:val="single" w:sz="8" w:color="auto"/>
              <w:right w:val="single" w:sz="8" w:color="auto"/>
            </w:tcBorders>
            <w:gridSpan w:val="2"/>
          </w:tcPr>
          <w:p>
            <w:pPr>
              <w:jc w:val="center"/>
              <w:ind w:right="460"/>
              <w:spacing w:after="0" w:line="189" w:lineRule="exact"/>
              <w:rPr>
                <w:sz w:val="20"/>
                <w:szCs w:val="20"/>
                <w:color w:val="auto"/>
              </w:rPr>
            </w:pPr>
            <w:r>
              <w:rPr>
                <w:rFonts w:ascii="Arial" w:cs="Arial" w:eastAsia="Arial" w:hAnsi="Arial"/>
                <w:sz w:val="18"/>
                <w:szCs w:val="18"/>
                <w:color w:val="auto"/>
                <w:w w:val="89"/>
              </w:rPr>
              <w:t>Name of each exchange on which registered</w:t>
            </w:r>
          </w:p>
        </w:tc>
      </w:tr>
      <w:tr>
        <w:trPr>
          <w:trHeight w:val="20"/>
        </w:trPr>
        <w:tc>
          <w:tcPr>
            <w:tcW w:w="1040" w:type="dxa"/>
            <w:vAlign w:val="bottom"/>
            <w:tcBorders>
              <w:left w:val="single" w:sz="8" w:color="auto"/>
            </w:tcBorders>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200" w:type="dxa"/>
            <w:vAlign w:val="bottom"/>
            <w:shd w:val="clear" w:color="auto" w:fill="000000"/>
          </w:tcPr>
          <w:p>
            <w:pPr>
              <w:spacing w:after="0" w:line="20" w:lineRule="exact"/>
              <w:rPr>
                <w:sz w:val="1"/>
                <w:szCs w:val="1"/>
                <w:color w:val="auto"/>
              </w:rPr>
            </w:pPr>
          </w:p>
        </w:tc>
        <w:tc>
          <w:tcPr>
            <w:tcW w:w="460" w:type="dxa"/>
            <w:vAlign w:val="bottom"/>
            <w:tcBorders>
              <w:right w:val="single" w:sz="8" w:color="auto"/>
            </w:tcBorders>
          </w:tcPr>
          <w:p>
            <w:pPr>
              <w:spacing w:after="0" w:line="20" w:lineRule="exact"/>
              <w:rPr>
                <w:sz w:val="1"/>
                <w:szCs w:val="1"/>
                <w:color w:val="auto"/>
              </w:rPr>
            </w:pPr>
          </w:p>
        </w:tc>
      </w:tr>
      <w:tr>
        <w:trPr>
          <w:trHeight w:val="318"/>
        </w:trPr>
        <w:tc>
          <w:tcPr>
            <w:tcW w:w="3640" w:type="dxa"/>
            <w:vAlign w:val="bottom"/>
            <w:tcBorders>
              <w:left w:val="single" w:sz="8" w:color="auto"/>
              <w:bottom w:val="single" w:sz="8" w:color="auto"/>
            </w:tcBorders>
            <w:gridSpan w:val="3"/>
          </w:tcPr>
          <w:p>
            <w:pPr>
              <w:jc w:val="center"/>
              <w:ind w:right="240"/>
              <w:spacing w:after="0"/>
              <w:rPr>
                <w:sz w:val="20"/>
                <w:szCs w:val="20"/>
                <w:color w:val="auto"/>
              </w:rPr>
            </w:pPr>
            <w:r>
              <w:rPr>
                <w:rFonts w:ascii="Arial" w:cs="Arial" w:eastAsia="Arial" w:hAnsi="Arial"/>
                <w:sz w:val="18"/>
                <w:szCs w:val="18"/>
                <w:color w:val="auto"/>
                <w:w w:val="90"/>
              </w:rPr>
              <w:t>Common Stock, $.01 par value</w:t>
            </w:r>
          </w:p>
        </w:tc>
        <w:tc>
          <w:tcPr>
            <w:tcW w:w="84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2"/>
          </w:tcPr>
          <w:p>
            <w:pPr>
              <w:jc w:val="center"/>
              <w:ind w:right="1320"/>
              <w:spacing w:after="0"/>
              <w:rPr>
                <w:sz w:val="20"/>
                <w:szCs w:val="20"/>
                <w:color w:val="auto"/>
              </w:rPr>
            </w:pPr>
            <w:r>
              <w:rPr>
                <w:rFonts w:ascii="Arial" w:cs="Arial" w:eastAsia="Arial" w:hAnsi="Arial"/>
                <w:sz w:val="18"/>
                <w:szCs w:val="18"/>
                <w:color w:val="auto"/>
              </w:rPr>
              <w:t>MAN</w:t>
            </w:r>
          </w:p>
        </w:tc>
        <w:tc>
          <w:tcPr>
            <w:tcW w:w="3660" w:type="dxa"/>
            <w:vAlign w:val="bottom"/>
            <w:tcBorders>
              <w:bottom w:val="single" w:sz="8" w:color="auto"/>
              <w:right w:val="single" w:sz="8" w:color="auto"/>
            </w:tcBorders>
            <w:gridSpan w:val="2"/>
          </w:tcPr>
          <w:p>
            <w:pPr>
              <w:jc w:val="center"/>
              <w:ind w:right="440"/>
              <w:spacing w:after="0"/>
              <w:rPr>
                <w:sz w:val="20"/>
                <w:szCs w:val="20"/>
                <w:color w:val="auto"/>
              </w:rPr>
            </w:pPr>
            <w:r>
              <w:rPr>
                <w:rFonts w:ascii="Arial" w:cs="Arial" w:eastAsia="Arial" w:hAnsi="Arial"/>
                <w:sz w:val="18"/>
                <w:szCs w:val="18"/>
                <w:color w:val="auto"/>
                <w:w w:val="91"/>
              </w:rPr>
              <w:t>New York Stock Exchange</w:t>
            </w:r>
          </w:p>
        </w:tc>
      </w:tr>
    </w:tbl>
    <w:p>
      <w:pPr>
        <w:spacing w:after="0" w:line="256" w:lineRule="exact"/>
        <w:rPr>
          <w:sz w:val="24"/>
          <w:szCs w:val="24"/>
          <w:color w:val="auto"/>
        </w:rPr>
      </w:pPr>
    </w:p>
    <w:p>
      <w:pPr>
        <w:ind w:right="42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16" w:lineRule="exact"/>
        <w:rPr>
          <w:sz w:val="24"/>
          <w:szCs w:val="24"/>
          <w:color w:val="auto"/>
        </w:rPr>
      </w:pPr>
    </w:p>
    <w:p>
      <w:pPr>
        <w:ind w:right="20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(Section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03" w:lineRule="exact"/>
        <w:rPr>
          <w:sz w:val="24"/>
          <w:szCs w:val="24"/>
          <w:color w:val="auto"/>
        </w:rPr>
      </w:pPr>
    </w:p>
    <w:p>
      <w:pPr>
        <w:ind w:right="4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8"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24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240" w:type="dxa"/>
            <w:vAlign w:val="bottom"/>
          </w:tcPr>
          <w:p>
            <w:pPr>
              <w:ind w:left="520"/>
              <w:spacing w:after="0" w:line="181" w:lineRule="exact"/>
              <w:rPr>
                <w:sz w:val="20"/>
                <w:szCs w:val="20"/>
                <w:color w:val="auto"/>
              </w:rPr>
            </w:pPr>
            <w:r>
              <w:rPr>
                <w:rFonts w:ascii="MS PGothic" w:cs="MS PGothic" w:eastAsia="MS PGothic" w:hAnsi="MS PGothic"/>
                <w:sz w:val="18"/>
                <w:szCs w:val="18"/>
                <w:color w:val="auto"/>
              </w:rPr>
              <w:t>☒</w:t>
            </w:r>
          </w:p>
        </w:tc>
        <w:tc>
          <w:tcPr>
            <w:tcW w:w="4940" w:type="dxa"/>
            <w:vAlign w:val="bottom"/>
          </w:tcPr>
          <w:p>
            <w:pPr>
              <w:ind w:left="2560"/>
              <w:spacing w:after="0"/>
              <w:rPr>
                <w:sz w:val="20"/>
                <w:szCs w:val="20"/>
                <w:color w:val="auto"/>
              </w:rPr>
            </w:pPr>
            <w:r>
              <w:rPr>
                <w:rFonts w:ascii="Arial" w:cs="Arial" w:eastAsia="Arial" w:hAnsi="Arial"/>
                <w:sz w:val="18"/>
                <w:szCs w:val="18"/>
                <w:color w:val="auto"/>
              </w:rPr>
              <w:t>Accelerated filer</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30"/>
        </w:trPr>
        <w:tc>
          <w:tcPr>
            <w:tcW w:w="2480" w:type="dxa"/>
            <w:vAlign w:val="bottom"/>
          </w:tcPr>
          <w:p>
            <w:pPr>
              <w:spacing w:after="0"/>
              <w:rPr>
                <w:sz w:val="20"/>
                <w:szCs w:val="20"/>
                <w:color w:val="auto"/>
              </w:rPr>
            </w:pPr>
            <w:r>
              <w:rPr>
                <w:rFonts w:ascii="Arial" w:cs="Arial" w:eastAsia="Arial" w:hAnsi="Arial"/>
                <w:sz w:val="18"/>
                <w:szCs w:val="18"/>
                <w:color w:val="auto"/>
              </w:rPr>
              <w:t>Non-accelerated filer</w:t>
            </w:r>
          </w:p>
        </w:tc>
        <w:tc>
          <w:tcPr>
            <w:tcW w:w="3240" w:type="dxa"/>
            <w:vAlign w:val="bottom"/>
          </w:tcPr>
          <w:p>
            <w:pPr>
              <w:ind w:left="520"/>
              <w:spacing w:after="0" w:line="181" w:lineRule="exact"/>
              <w:rPr>
                <w:sz w:val="20"/>
                <w:szCs w:val="20"/>
                <w:color w:val="auto"/>
              </w:rPr>
            </w:pPr>
            <w:r>
              <w:rPr>
                <w:rFonts w:ascii="MS PGothic" w:cs="MS PGothic" w:eastAsia="MS PGothic" w:hAnsi="MS PGothic"/>
                <w:sz w:val="18"/>
                <w:szCs w:val="18"/>
                <w:color w:val="auto"/>
              </w:rPr>
              <w:t>☐</w:t>
            </w:r>
          </w:p>
        </w:tc>
        <w:tc>
          <w:tcPr>
            <w:tcW w:w="4940" w:type="dxa"/>
            <w:vAlign w:val="bottom"/>
          </w:tcPr>
          <w:p>
            <w:pPr>
              <w:ind w:left="2560"/>
              <w:spacing w:after="0"/>
              <w:rPr>
                <w:sz w:val="20"/>
                <w:szCs w:val="20"/>
                <w:color w:val="auto"/>
              </w:rPr>
            </w:pPr>
            <w:r>
              <w:rPr>
                <w:rFonts w:ascii="Arial" w:cs="Arial" w:eastAsia="Arial" w:hAnsi="Arial"/>
                <w:sz w:val="18"/>
                <w:szCs w:val="18"/>
                <w:color w:val="auto"/>
              </w:rPr>
              <w:t>Smaller reporting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48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3240" w:type="dxa"/>
            <w:vAlign w:val="bottom"/>
          </w:tcPr>
          <w:p>
            <w:pPr>
              <w:ind w:left="520"/>
              <w:spacing w:after="0" w:line="181" w:lineRule="exact"/>
              <w:rPr>
                <w:sz w:val="20"/>
                <w:szCs w:val="20"/>
                <w:color w:val="auto"/>
              </w:rPr>
            </w:pPr>
            <w:r>
              <w:rPr>
                <w:rFonts w:ascii="MS PGothic" w:cs="MS PGothic" w:eastAsia="MS PGothic" w:hAnsi="MS PGothic"/>
                <w:sz w:val="18"/>
                <w:szCs w:val="18"/>
                <w:color w:val="auto"/>
              </w:rPr>
              <w:t>☐</w:t>
            </w:r>
          </w:p>
        </w:tc>
        <w:tc>
          <w:tcPr>
            <w:tcW w:w="4940" w:type="dxa"/>
            <w:vAlign w:val="bottom"/>
          </w:tcPr>
          <w:p>
            <w:pPr>
              <w:spacing w:after="0"/>
              <w:rPr>
                <w:sz w:val="24"/>
                <w:szCs w:val="24"/>
                <w:color w:val="auto"/>
              </w:rPr>
            </w:pPr>
          </w:p>
        </w:tc>
        <w:tc>
          <w:tcPr>
            <w:tcW w:w="580" w:type="dxa"/>
            <w:vAlign w:val="bottom"/>
          </w:tcPr>
          <w:p>
            <w:pPr>
              <w:spacing w:after="0"/>
              <w:rPr>
                <w:sz w:val="24"/>
                <w:szCs w:val="24"/>
                <w:color w:val="auto"/>
              </w:rPr>
            </w:pPr>
          </w:p>
        </w:tc>
      </w:tr>
    </w:tbl>
    <w:p>
      <w:pPr>
        <w:spacing w:after="0" w:line="87"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82" w:lineRule="exact"/>
        <w:rPr>
          <w:sz w:val="24"/>
          <w:szCs w:val="24"/>
          <w:color w:val="auto"/>
        </w:rPr>
      </w:pPr>
    </w:p>
    <w:p>
      <w:pPr>
        <w:ind w:right="2160"/>
        <w:spacing w:after="0" w:line="240"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Indicate the number of shares outstanding of each of the issuer’s classes of common stock, as of the latest practicable date.</w:t>
      </w:r>
    </w:p>
    <w:p>
      <w:pPr>
        <w:spacing w:after="0" w:line="104"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2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420" w:type="dxa"/>
            <w:vAlign w:val="bottom"/>
          </w:tcPr>
          <w:p>
            <w:pPr>
              <w:jc w:val="center"/>
              <w:spacing w:after="0"/>
              <w:rPr>
                <w:sz w:val="20"/>
                <w:szCs w:val="20"/>
                <w:color w:val="auto"/>
              </w:rPr>
            </w:pPr>
            <w:r>
              <w:rPr>
                <w:rFonts w:ascii="Arial" w:cs="Arial" w:eastAsia="Arial" w:hAnsi="Arial"/>
                <w:sz w:val="18"/>
                <w:szCs w:val="18"/>
                <w:b w:val="1"/>
                <w:bCs w:val="1"/>
                <w:color w:val="auto"/>
                <w:w w:val="88"/>
              </w:rPr>
              <w:t>Shares Outstanding</w:t>
            </w:r>
          </w:p>
        </w:tc>
      </w:tr>
      <w:tr>
        <w:trPr>
          <w:trHeight w:val="234"/>
        </w:trPr>
        <w:tc>
          <w:tcPr>
            <w:tcW w:w="8000" w:type="dxa"/>
            <w:vAlign w:val="bottom"/>
            <w:gridSpan w:val="3"/>
          </w:tcPr>
          <w:p>
            <w:pPr>
              <w:spacing w:after="0"/>
              <w:rPr>
                <w:sz w:val="20"/>
                <w:szCs w:val="20"/>
                <w:color w:val="auto"/>
              </w:rPr>
            </w:pPr>
            <w:r>
              <w:rPr>
                <w:rFonts w:ascii="Arial" w:cs="Arial" w:eastAsia="Arial" w:hAnsi="Arial"/>
                <w:sz w:val="18"/>
                <w:szCs w:val="18"/>
                <w:b w:val="1"/>
                <w:bCs w:val="1"/>
                <w:color w:val="auto"/>
              </w:rPr>
              <w:t>Class</w:t>
            </w:r>
          </w:p>
        </w:tc>
        <w:tc>
          <w:tcPr>
            <w:tcW w:w="3420" w:type="dxa"/>
            <w:vAlign w:val="bottom"/>
          </w:tcPr>
          <w:p>
            <w:pPr>
              <w:jc w:val="center"/>
              <w:spacing w:after="0"/>
              <w:rPr>
                <w:sz w:val="20"/>
                <w:szCs w:val="20"/>
                <w:color w:val="auto"/>
              </w:rPr>
            </w:pPr>
            <w:r>
              <w:rPr>
                <w:rFonts w:ascii="Arial" w:cs="Arial" w:eastAsia="Arial" w:hAnsi="Arial"/>
                <w:sz w:val="18"/>
                <w:szCs w:val="18"/>
                <w:b w:val="1"/>
                <w:bCs w:val="1"/>
                <w:color w:val="auto"/>
                <w:w w:val="90"/>
              </w:rPr>
              <w:t>at October 30, 2019</w:t>
            </w:r>
          </w:p>
        </w:tc>
      </w:tr>
      <w:tr>
        <w:trPr>
          <w:trHeight w:val="224"/>
        </w:trPr>
        <w:tc>
          <w:tcPr>
            <w:tcW w:w="20" w:type="dxa"/>
            <w:vAlign w:val="bottom"/>
          </w:tcPr>
          <w:p>
            <w:pPr>
              <w:spacing w:after="0"/>
              <w:rPr>
                <w:sz w:val="19"/>
                <w:szCs w:val="19"/>
                <w:color w:val="auto"/>
              </w:rPr>
            </w:pPr>
          </w:p>
        </w:tc>
        <w:tc>
          <w:tcPr>
            <w:tcW w:w="62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Common Stock, $.01 par value</w:t>
            </w:r>
          </w:p>
        </w:tc>
        <w:tc>
          <w:tcPr>
            <w:tcW w:w="1720" w:type="dxa"/>
            <w:vAlign w:val="bottom"/>
          </w:tcPr>
          <w:p>
            <w:pPr>
              <w:spacing w:after="0"/>
              <w:rPr>
                <w:sz w:val="19"/>
                <w:szCs w:val="19"/>
                <w:color w:val="auto"/>
              </w:rPr>
            </w:pPr>
          </w:p>
        </w:tc>
        <w:tc>
          <w:tcPr>
            <w:tcW w:w="3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58,961,515</w:t>
            </w:r>
          </w:p>
        </w:tc>
      </w:tr>
      <w:tr>
        <w:trPr>
          <w:trHeight w:val="1033"/>
        </w:trPr>
        <w:tc>
          <w:tcPr>
            <w:tcW w:w="20" w:type="dxa"/>
            <w:vAlign w:val="bottom"/>
            <w:tcBorders>
              <w:bottom w:val="single" w:sz="8" w:color="9A9A9A"/>
            </w:tcBorders>
          </w:tcPr>
          <w:p>
            <w:pPr>
              <w:spacing w:after="0"/>
              <w:rPr>
                <w:sz w:val="24"/>
                <w:szCs w:val="24"/>
                <w:color w:val="auto"/>
              </w:rPr>
            </w:pPr>
          </w:p>
        </w:tc>
        <w:tc>
          <w:tcPr>
            <w:tcW w:w="626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c>
          <w:tcPr>
            <w:tcW w:w="342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80" w:type="dxa"/>
            <w:vAlign w:val="bottom"/>
            <w:tcBorders>
              <w:bottom w:val="single" w:sz="8" w:color="auto"/>
            </w:tcBorders>
            <w:gridSpan w:val="8"/>
          </w:tcPr>
          <w:p>
            <w:pPr>
              <w:jc w:val="center"/>
              <w:spacing w:after="0"/>
              <w:rPr>
                <w:sz w:val="20"/>
                <w:szCs w:val="20"/>
                <w:color w:val="auto"/>
              </w:rPr>
            </w:pPr>
            <w:r>
              <w:rPr>
                <w:rFonts w:ascii="Arial" w:cs="Arial" w:eastAsia="Arial" w:hAnsi="Arial"/>
                <w:sz w:val="18"/>
                <w:szCs w:val="18"/>
                <w:b w:val="1"/>
                <w:bCs w:val="1"/>
                <w:color w:val="auto"/>
                <w:w w:val="93"/>
              </w:rPr>
              <w:t>ManpowerGroup Inc.</w:t>
            </w:r>
          </w:p>
        </w:tc>
        <w:tc>
          <w:tcPr>
            <w:tcW w:w="3920" w:type="dxa"/>
            <w:vAlign w:val="bottom"/>
            <w:gridSpan w:val="4"/>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80" w:type="dxa"/>
            <w:vAlign w:val="bottom"/>
            <w:gridSpan w:val="9"/>
          </w:tcPr>
          <w:p>
            <w:pPr>
              <w:jc w:val="center"/>
              <w:ind w:right="4460"/>
              <w:spacing w:after="0"/>
              <w:rPr>
                <w:sz w:val="20"/>
                <w:szCs w:val="20"/>
                <w:color w:val="auto"/>
              </w:rPr>
            </w:pPr>
            <w:r>
              <w:rPr>
                <w:rFonts w:ascii="Arial" w:cs="Arial" w:eastAsia="Arial" w:hAnsi="Arial"/>
                <w:sz w:val="18"/>
                <w:szCs w:val="18"/>
                <w:b w:val="1"/>
                <w:bCs w:val="1"/>
                <w:color w:val="auto"/>
              </w:rPr>
              <w:t>INDEX</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40" w:type="dxa"/>
            <w:vAlign w:val="bottom"/>
          </w:tcPr>
          <w:p>
            <w:pPr>
              <w:jc w:val="right"/>
              <w:ind w:right="232"/>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1"/>
        </w:trPr>
        <w:tc>
          <w:tcPr>
            <w:tcW w:w="660" w:type="dxa"/>
            <w:vAlign w:val="bottom"/>
            <w:gridSpan w:val="2"/>
            <w:vMerge w:val="restart"/>
          </w:tcPr>
          <w:p>
            <w:pPr>
              <w:spacing w:after="0"/>
              <w:rPr>
                <w:rFonts w:ascii="Arial" w:cs="Arial" w:eastAsia="Arial" w:hAnsi="Arial"/>
                <w:sz w:val="20"/>
                <w:szCs w:val="20"/>
                <w:b w:val="1"/>
                <w:bCs w:val="1"/>
                <w:color w:val="0000EE"/>
                <w:w w:val="97"/>
              </w:rPr>
            </w:pPr>
            <w:hyperlink w:anchor="page3">
              <w:r>
                <w:rPr>
                  <w:rFonts w:ascii="Arial" w:cs="Arial" w:eastAsia="Arial" w:hAnsi="Arial"/>
                  <w:sz w:val="20"/>
                  <w:szCs w:val="20"/>
                  <w:b w:val="1"/>
                  <w:bCs w:val="1"/>
                  <w:color w:val="0000EE"/>
                  <w:w w:val="97"/>
                </w:rPr>
                <w:t>PART I</w:t>
              </w:r>
            </w:hyperlink>
          </w:p>
        </w:tc>
        <w:tc>
          <w:tcPr>
            <w:tcW w:w="1640" w:type="dxa"/>
            <w:vAlign w:val="bottom"/>
            <w:gridSpan w:val="3"/>
            <w:vMerge w:val="restart"/>
          </w:tcPr>
          <w:p>
            <w:pPr>
              <w:spacing w:after="0"/>
              <w:rPr>
                <w:sz w:val="14"/>
                <w:szCs w:val="14"/>
                <w:color w:val="auto"/>
              </w:rPr>
            </w:pPr>
          </w:p>
        </w:tc>
        <w:tc>
          <w:tcPr>
            <w:tcW w:w="2640" w:type="dxa"/>
            <w:vAlign w:val="bottom"/>
            <w:gridSpan w:val="8"/>
            <w:vMerge w:val="restart"/>
          </w:tcPr>
          <w:p>
            <w:pPr>
              <w:spacing w:after="0"/>
              <w:rPr>
                <w:rFonts w:ascii="Arial" w:cs="Arial" w:eastAsia="Arial" w:hAnsi="Arial"/>
                <w:sz w:val="20"/>
                <w:szCs w:val="20"/>
                <w:b w:val="1"/>
                <w:bCs w:val="1"/>
                <w:color w:val="0000EE"/>
              </w:rPr>
            </w:pPr>
            <w:hyperlink w:anchor="page3">
              <w:r>
                <w:rPr>
                  <w:rFonts w:ascii="Arial" w:cs="Arial" w:eastAsia="Arial" w:hAnsi="Arial"/>
                  <w:sz w:val="20"/>
                  <w:szCs w:val="20"/>
                  <w:b w:val="1"/>
                  <w:bCs w:val="1"/>
                  <w:color w:val="0000EE"/>
                </w:rPr>
                <w:t>FINANCIAL INFORMATION</w:t>
              </w:r>
            </w:hyperlink>
          </w:p>
        </w:tc>
        <w:tc>
          <w:tcPr>
            <w:tcW w:w="5540" w:type="dxa"/>
            <w:vAlign w:val="bottom"/>
            <w:gridSpan w:val="10"/>
            <w:vMerge w:val="restart"/>
          </w:tcPr>
          <w:p>
            <w:pPr>
              <w:spacing w:after="0"/>
              <w:rPr>
                <w:sz w:val="14"/>
                <w:szCs w:val="14"/>
                <w:color w:val="auto"/>
              </w:rPr>
            </w:pPr>
          </w:p>
        </w:tc>
        <w:tc>
          <w:tcPr>
            <w:tcW w:w="94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Number</w:t>
            </w:r>
          </w:p>
        </w:tc>
        <w:tc>
          <w:tcPr>
            <w:tcW w:w="0" w:type="dxa"/>
            <w:vAlign w:val="bottom"/>
          </w:tcPr>
          <w:p>
            <w:pPr>
              <w:spacing w:after="0"/>
              <w:rPr>
                <w:sz w:val="1"/>
                <w:szCs w:val="1"/>
                <w:color w:val="auto"/>
              </w:rPr>
            </w:pPr>
          </w:p>
        </w:tc>
      </w:tr>
      <w:tr>
        <w:trPr>
          <w:trHeight w:val="188"/>
        </w:trPr>
        <w:tc>
          <w:tcPr>
            <w:tcW w:w="660" w:type="dxa"/>
            <w:vAlign w:val="bottom"/>
            <w:tcBorders>
              <w:bottom w:val="single" w:sz="8" w:color="0000EE"/>
            </w:tcBorders>
            <w:gridSpan w:val="2"/>
            <w:vMerge w:val="continue"/>
          </w:tcPr>
          <w:p>
            <w:pPr>
              <w:spacing w:after="0"/>
              <w:rPr>
                <w:sz w:val="15"/>
                <w:szCs w:val="15"/>
                <w:color w:val="auto"/>
              </w:rPr>
            </w:pPr>
          </w:p>
        </w:tc>
        <w:tc>
          <w:tcPr>
            <w:tcW w:w="1640" w:type="dxa"/>
            <w:vAlign w:val="bottom"/>
            <w:gridSpan w:val="3"/>
            <w:vMerge w:val="continue"/>
          </w:tcPr>
          <w:p>
            <w:pPr>
              <w:spacing w:after="0"/>
              <w:rPr>
                <w:sz w:val="15"/>
                <w:szCs w:val="15"/>
                <w:color w:val="auto"/>
              </w:rPr>
            </w:pPr>
          </w:p>
        </w:tc>
        <w:tc>
          <w:tcPr>
            <w:tcW w:w="2640" w:type="dxa"/>
            <w:vAlign w:val="bottom"/>
            <w:tcBorders>
              <w:bottom w:val="single" w:sz="8" w:color="0000EE"/>
            </w:tcBorders>
            <w:gridSpan w:val="8"/>
            <w:vMerge w:val="continue"/>
          </w:tcPr>
          <w:p>
            <w:pPr>
              <w:spacing w:after="0"/>
              <w:rPr>
                <w:sz w:val="15"/>
                <w:szCs w:val="15"/>
                <w:color w:val="auto"/>
              </w:rPr>
            </w:pPr>
          </w:p>
        </w:tc>
        <w:tc>
          <w:tcPr>
            <w:tcW w:w="5540" w:type="dxa"/>
            <w:vAlign w:val="bottom"/>
            <w:gridSpan w:val="10"/>
            <w:vMerge w:val="continue"/>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20" w:type="dxa"/>
            <w:vAlign w:val="bottom"/>
          </w:tcPr>
          <w:p>
            <w:pPr>
              <w:spacing w:after="0" w:line="209" w:lineRule="exact"/>
              <w:rPr>
                <w:rFonts w:ascii="Arial" w:cs="Arial" w:eastAsia="Arial" w:hAnsi="Arial"/>
                <w:sz w:val="20"/>
                <w:szCs w:val="20"/>
                <w:color w:val="0000EE"/>
                <w:w w:val="89"/>
              </w:rPr>
            </w:pPr>
            <w:hyperlink w:anchor="page3">
              <w:r>
                <w:rPr>
                  <w:rFonts w:ascii="Arial" w:cs="Arial" w:eastAsia="Arial" w:hAnsi="Arial"/>
                  <w:sz w:val="20"/>
                  <w:szCs w:val="20"/>
                  <w:color w:val="0000EE"/>
                  <w:w w:val="89"/>
                </w:rPr>
                <w:t>Item 1</w:t>
              </w:r>
            </w:hyperlink>
          </w:p>
        </w:tc>
        <w:tc>
          <w:tcPr>
            <w:tcW w:w="1780" w:type="dxa"/>
            <w:vAlign w:val="bottom"/>
            <w:gridSpan w:val="4"/>
          </w:tcPr>
          <w:p>
            <w:pPr>
              <w:spacing w:after="0"/>
              <w:rPr>
                <w:sz w:val="18"/>
                <w:szCs w:val="18"/>
                <w:color w:val="auto"/>
              </w:rPr>
            </w:pPr>
          </w:p>
        </w:tc>
        <w:tc>
          <w:tcPr>
            <w:tcW w:w="8180" w:type="dxa"/>
            <w:vAlign w:val="bottom"/>
            <w:gridSpan w:val="18"/>
          </w:tcPr>
          <w:p>
            <w:pPr>
              <w:spacing w:after="0" w:line="209" w:lineRule="exact"/>
              <w:rPr>
                <w:rFonts w:ascii="Arial" w:cs="Arial" w:eastAsia="Arial" w:hAnsi="Arial"/>
                <w:sz w:val="20"/>
                <w:szCs w:val="20"/>
                <w:color w:val="0000EE"/>
              </w:rPr>
            </w:pPr>
            <w:hyperlink w:anchor="page3">
              <w:r>
                <w:rPr>
                  <w:rFonts w:ascii="Arial" w:cs="Arial" w:eastAsia="Arial" w:hAnsi="Arial"/>
                  <w:sz w:val="20"/>
                  <w:szCs w:val="20"/>
                  <w:color w:val="0000EE"/>
                </w:rPr>
                <w:t>Financial Statements (unaudited)</w:t>
              </w:r>
            </w:hyperlink>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0" w:type="dxa"/>
            <w:vAlign w:val="bottom"/>
            <w:tcBorders>
              <w:top w:val="single" w:sz="8" w:color="0000EE"/>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20" w:type="dxa"/>
            <w:vAlign w:val="bottom"/>
            <w:tcBorders>
              <w:top w:val="single" w:sz="8" w:color="0000EE"/>
            </w:tcBorders>
            <w:gridSpan w:val="7"/>
          </w:tcPr>
          <w:p>
            <w:pPr>
              <w:spacing w:after="0" w:line="209" w:lineRule="exact"/>
              <w:rPr>
                <w:rFonts w:ascii="Arial" w:cs="Arial" w:eastAsia="Arial" w:hAnsi="Arial"/>
                <w:sz w:val="20"/>
                <w:szCs w:val="20"/>
                <w:color w:val="0000EE"/>
                <w:w w:val="99"/>
              </w:rPr>
            </w:pPr>
            <w:hyperlink w:anchor="page3">
              <w:r>
                <w:rPr>
                  <w:rFonts w:ascii="Arial" w:cs="Arial" w:eastAsia="Arial" w:hAnsi="Arial"/>
                  <w:sz w:val="20"/>
                  <w:szCs w:val="20"/>
                  <w:color w:val="0000EE"/>
                  <w:w w:val="99"/>
                </w:rPr>
                <w:t>Consolidated Balance Sheets</w:t>
              </w:r>
            </w:hyperlink>
          </w:p>
        </w:tc>
        <w:tc>
          <w:tcPr>
            <w:tcW w:w="5560" w:type="dxa"/>
            <w:vAlign w:val="bottom"/>
            <w:gridSpan w:val="11"/>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100" w:type="dxa"/>
            <w:vAlign w:val="bottom"/>
            <w:tcBorders>
              <w:bottom w:val="single" w:sz="8" w:color="0000EE"/>
            </w:tcBorders>
            <w:gridSpan w:val="9"/>
          </w:tcPr>
          <w:p>
            <w:pPr>
              <w:spacing w:after="0" w:line="209" w:lineRule="exact"/>
              <w:rPr>
                <w:rFonts w:ascii="Arial" w:cs="Arial" w:eastAsia="Arial" w:hAnsi="Arial"/>
                <w:sz w:val="20"/>
                <w:szCs w:val="20"/>
                <w:color w:val="0000EE"/>
                <w:w w:val="88"/>
              </w:rPr>
            </w:pPr>
            <w:hyperlink w:anchor="page5">
              <w:r>
                <w:rPr>
                  <w:rFonts w:ascii="Arial" w:cs="Arial" w:eastAsia="Arial" w:hAnsi="Arial"/>
                  <w:sz w:val="20"/>
                  <w:szCs w:val="20"/>
                  <w:color w:val="0000EE"/>
                  <w:w w:val="88"/>
                </w:rPr>
                <w:t>Consolidated Statements of Operations</w:t>
              </w:r>
            </w:hyperlink>
          </w:p>
        </w:tc>
        <w:tc>
          <w:tcPr>
            <w:tcW w:w="5080" w:type="dxa"/>
            <w:vAlign w:val="bottom"/>
            <w:gridSpan w:val="9"/>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0"/>
        </w:trPr>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120" w:type="dxa"/>
            <w:vAlign w:val="bottom"/>
            <w:tcBorders>
              <w:bottom w:val="single" w:sz="8" w:color="0000EE"/>
            </w:tcBorders>
            <w:gridSpan w:val="13"/>
          </w:tcPr>
          <w:p>
            <w:pPr>
              <w:spacing w:after="0" w:line="209" w:lineRule="exact"/>
              <w:rPr>
                <w:rFonts w:ascii="Arial" w:cs="Arial" w:eastAsia="Arial" w:hAnsi="Arial"/>
                <w:sz w:val="20"/>
                <w:szCs w:val="20"/>
                <w:color w:val="0000EE"/>
                <w:w w:val="88"/>
              </w:rPr>
            </w:pPr>
            <w:hyperlink w:anchor="page5">
              <w:r>
                <w:rPr>
                  <w:rFonts w:ascii="Arial" w:cs="Arial" w:eastAsia="Arial" w:hAnsi="Arial"/>
                  <w:sz w:val="20"/>
                  <w:szCs w:val="20"/>
                  <w:color w:val="0000EE"/>
                  <w:w w:val="88"/>
                </w:rPr>
                <w:t>Consolidated Statements of Comprehensive Income</w:t>
              </w:r>
            </w:hyperlink>
          </w:p>
        </w:tc>
        <w:tc>
          <w:tcPr>
            <w:tcW w:w="4060" w:type="dxa"/>
            <w:vAlign w:val="bottom"/>
            <w:gridSpan w:val="5"/>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0"/>
        </w:trPr>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160" w:type="dxa"/>
            <w:vAlign w:val="bottom"/>
            <w:tcBorders>
              <w:bottom w:val="single" w:sz="8" w:color="0000EE"/>
            </w:tcBorders>
            <w:gridSpan w:val="10"/>
          </w:tcPr>
          <w:p>
            <w:pPr>
              <w:spacing w:after="0" w:line="209" w:lineRule="exact"/>
              <w:rPr>
                <w:rFonts w:ascii="Arial" w:cs="Arial" w:eastAsia="Arial" w:hAnsi="Arial"/>
                <w:sz w:val="20"/>
                <w:szCs w:val="20"/>
                <w:color w:val="0000EE"/>
                <w:w w:val="88"/>
              </w:rPr>
            </w:pPr>
            <w:hyperlink w:anchor="page6">
              <w:r>
                <w:rPr>
                  <w:rFonts w:ascii="Arial" w:cs="Arial" w:eastAsia="Arial" w:hAnsi="Arial"/>
                  <w:sz w:val="20"/>
                  <w:szCs w:val="20"/>
                  <w:color w:val="0000EE"/>
                  <w:w w:val="88"/>
                </w:rPr>
                <w:t>Consolidated Statements of Cash Flows</w:t>
              </w:r>
            </w:hyperlink>
          </w:p>
        </w:tc>
        <w:tc>
          <w:tcPr>
            <w:tcW w:w="5020" w:type="dxa"/>
            <w:vAlign w:val="bottom"/>
            <w:gridSpan w:val="8"/>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0"/>
        </w:trPr>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880" w:type="dxa"/>
            <w:vAlign w:val="bottom"/>
            <w:tcBorders>
              <w:bottom w:val="single" w:sz="8" w:color="0000EE"/>
            </w:tcBorders>
            <w:gridSpan w:val="12"/>
          </w:tcPr>
          <w:p>
            <w:pPr>
              <w:spacing w:after="0" w:line="209" w:lineRule="exact"/>
              <w:rPr>
                <w:rFonts w:ascii="Arial" w:cs="Arial" w:eastAsia="Arial" w:hAnsi="Arial"/>
                <w:sz w:val="20"/>
                <w:szCs w:val="20"/>
                <w:color w:val="0000EE"/>
                <w:w w:val="88"/>
              </w:rPr>
            </w:pPr>
            <w:hyperlink w:anchor="page7">
              <w:r>
                <w:rPr>
                  <w:rFonts w:ascii="Arial" w:cs="Arial" w:eastAsia="Arial" w:hAnsi="Arial"/>
                  <w:sz w:val="20"/>
                  <w:szCs w:val="20"/>
                  <w:color w:val="0000EE"/>
                  <w:w w:val="88"/>
                </w:rPr>
                <w:t>Consolidated Statements of Shareholders' Equity</w:t>
              </w:r>
            </w:hyperlink>
          </w:p>
        </w:tc>
        <w:tc>
          <w:tcPr>
            <w:tcW w:w="4300" w:type="dxa"/>
            <w:vAlign w:val="bottom"/>
            <w:gridSpan w:val="6"/>
          </w:tcPr>
          <w:p>
            <w:pPr>
              <w:spacing w:after="0"/>
              <w:rPr>
                <w:sz w:val="18"/>
                <w:szCs w:val="18"/>
                <w:color w:val="auto"/>
              </w:rPr>
            </w:pPr>
          </w:p>
        </w:tc>
        <w:tc>
          <w:tcPr>
            <w:tcW w:w="940" w:type="dxa"/>
            <w:vAlign w:val="bottom"/>
          </w:tcPr>
          <w:p>
            <w:pPr>
              <w:jc w:val="right"/>
              <w:spacing w:after="0" w:line="210" w:lineRule="exact"/>
              <w:rPr>
                <w:sz w:val="20"/>
                <w:szCs w:val="20"/>
                <w:color w:val="auto"/>
              </w:rPr>
            </w:pPr>
            <w:r>
              <w:rPr>
                <w:rFonts w:ascii="Arial" w:cs="Arial" w:eastAsia="Arial" w:hAnsi="Arial"/>
                <w:sz w:val="18"/>
                <w:szCs w:val="18"/>
                <w:color w:val="auto"/>
              </w:rPr>
              <w:t>7</w:t>
            </w:r>
            <w:r>
              <w:rPr>
                <w:rFonts w:ascii="Arial" w:cs="Arial" w:eastAsia="Arial" w:hAnsi="Arial"/>
                <w:sz w:val="19"/>
                <w:szCs w:val="19"/>
                <w:color w:val="auto"/>
              </w:rPr>
              <w:t>-</w:t>
            </w: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0"/>
        </w:trPr>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180" w:type="dxa"/>
            <w:vAlign w:val="bottom"/>
            <w:gridSpan w:val="18"/>
          </w:tcPr>
          <w:p>
            <w:pPr>
              <w:spacing w:after="0" w:line="209" w:lineRule="exact"/>
              <w:rPr>
                <w:rFonts w:ascii="Arial" w:cs="Arial" w:eastAsia="Arial" w:hAnsi="Arial"/>
                <w:sz w:val="20"/>
                <w:szCs w:val="20"/>
                <w:color w:val="0000EE"/>
              </w:rPr>
            </w:pPr>
            <w:hyperlink w:anchor="page9">
              <w:r>
                <w:rPr>
                  <w:rFonts w:ascii="Arial" w:cs="Arial" w:eastAsia="Arial" w:hAnsi="Arial"/>
                  <w:sz w:val="20"/>
                  <w:szCs w:val="20"/>
                  <w:color w:val="0000EE"/>
                </w:rPr>
                <w:t>Notes to Consolidated Financial Statements</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9-25</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40" w:type="dxa"/>
            <w:vAlign w:val="bottom"/>
            <w:gridSpan w:val="7"/>
            <w:shd w:val="clear" w:color="auto" w:fill="0000EE"/>
          </w:tcPr>
          <w:p>
            <w:pPr>
              <w:spacing w:after="0" w:line="20" w:lineRule="exact"/>
              <w:rPr>
                <w:sz w:val="1"/>
                <w:szCs w:val="1"/>
                <w:color w:val="auto"/>
              </w:rPr>
            </w:pPr>
          </w:p>
        </w:tc>
        <w:tc>
          <w:tcPr>
            <w:tcW w:w="13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 w:type="dxa"/>
            <w:vAlign w:val="bottom"/>
          </w:tcPr>
          <w:p>
            <w:pPr>
              <w:spacing w:after="0" w:line="209" w:lineRule="exact"/>
              <w:rPr>
                <w:rFonts w:ascii="Arial" w:cs="Arial" w:eastAsia="Arial" w:hAnsi="Arial"/>
                <w:sz w:val="20"/>
                <w:szCs w:val="20"/>
                <w:color w:val="0000EE"/>
                <w:w w:val="89"/>
              </w:rPr>
            </w:pPr>
            <w:hyperlink w:anchor="page26">
              <w:r>
                <w:rPr>
                  <w:rFonts w:ascii="Arial" w:cs="Arial" w:eastAsia="Arial" w:hAnsi="Arial"/>
                  <w:sz w:val="20"/>
                  <w:szCs w:val="20"/>
                  <w:color w:val="0000EE"/>
                  <w:w w:val="89"/>
                </w:rPr>
                <w:t>Item 2</w:t>
              </w:r>
            </w:hyperlink>
          </w:p>
        </w:tc>
        <w:tc>
          <w:tcPr>
            <w:tcW w:w="1780" w:type="dxa"/>
            <w:vAlign w:val="bottom"/>
            <w:gridSpan w:val="4"/>
          </w:tcPr>
          <w:p>
            <w:pPr>
              <w:spacing w:after="0"/>
              <w:rPr>
                <w:sz w:val="18"/>
                <w:szCs w:val="18"/>
                <w:color w:val="auto"/>
              </w:rPr>
            </w:pPr>
          </w:p>
        </w:tc>
        <w:tc>
          <w:tcPr>
            <w:tcW w:w="8180" w:type="dxa"/>
            <w:vAlign w:val="bottom"/>
            <w:gridSpan w:val="18"/>
          </w:tcPr>
          <w:p>
            <w:pPr>
              <w:spacing w:after="0" w:line="209" w:lineRule="exact"/>
              <w:rPr>
                <w:rFonts w:ascii="Arial" w:cs="Arial" w:eastAsia="Arial" w:hAnsi="Arial"/>
                <w:sz w:val="20"/>
                <w:szCs w:val="20"/>
                <w:color w:val="0000EE"/>
              </w:rPr>
            </w:pPr>
            <w:hyperlink w:anchor="page26">
              <w:r>
                <w:rPr>
                  <w:rFonts w:ascii="Arial" w:cs="Arial" w:eastAsia="Arial" w:hAnsi="Arial"/>
                  <w:sz w:val="20"/>
                  <w:szCs w:val="20"/>
                  <w:color w:val="0000EE"/>
                </w:rPr>
                <w:t>Management’s Discussion and Analysis of Financial Condition and Results of Operations</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26-42</w:t>
            </w:r>
          </w:p>
        </w:tc>
        <w:tc>
          <w:tcPr>
            <w:tcW w:w="0" w:type="dxa"/>
            <w:vAlign w:val="bottom"/>
          </w:tcPr>
          <w:p>
            <w:pPr>
              <w:spacing w:after="0"/>
              <w:rPr>
                <w:sz w:val="1"/>
                <w:szCs w:val="1"/>
                <w:color w:val="auto"/>
              </w:rPr>
            </w:pPr>
          </w:p>
        </w:tc>
      </w:tr>
      <w:tr>
        <w:trPr>
          <w:trHeight w:val="210"/>
        </w:trPr>
        <w:tc>
          <w:tcPr>
            <w:tcW w:w="520" w:type="dxa"/>
            <w:vAlign w:val="bottom"/>
            <w:tcBorders>
              <w:top w:val="single" w:sz="8" w:color="0000EE"/>
              <w:bottom w:val="single" w:sz="8" w:color="0000EE"/>
            </w:tcBorders>
          </w:tcPr>
          <w:p>
            <w:pPr>
              <w:spacing w:after="0" w:line="209" w:lineRule="exact"/>
              <w:rPr>
                <w:rFonts w:ascii="Arial" w:cs="Arial" w:eastAsia="Arial" w:hAnsi="Arial"/>
                <w:sz w:val="20"/>
                <w:szCs w:val="20"/>
                <w:color w:val="0000EE"/>
                <w:w w:val="89"/>
              </w:rPr>
            </w:pPr>
            <w:hyperlink w:anchor="page42">
              <w:r>
                <w:rPr>
                  <w:rFonts w:ascii="Arial" w:cs="Arial" w:eastAsia="Arial" w:hAnsi="Arial"/>
                  <w:sz w:val="20"/>
                  <w:szCs w:val="20"/>
                  <w:color w:val="0000EE"/>
                  <w:w w:val="89"/>
                </w:rPr>
                <w:t>Item 3</w:t>
              </w:r>
            </w:hyperlink>
          </w:p>
        </w:tc>
        <w:tc>
          <w:tcPr>
            <w:tcW w:w="1780" w:type="dxa"/>
            <w:vAlign w:val="bottom"/>
            <w:gridSpan w:val="4"/>
          </w:tcPr>
          <w:p>
            <w:pPr>
              <w:spacing w:after="0"/>
              <w:rPr>
                <w:sz w:val="18"/>
                <w:szCs w:val="18"/>
                <w:color w:val="auto"/>
              </w:rPr>
            </w:pPr>
          </w:p>
        </w:tc>
        <w:tc>
          <w:tcPr>
            <w:tcW w:w="4800" w:type="dxa"/>
            <w:vAlign w:val="bottom"/>
            <w:tcBorders>
              <w:top w:val="single" w:sz="8" w:color="0000EE"/>
              <w:bottom w:val="single" w:sz="8" w:color="0000EE"/>
            </w:tcBorders>
            <w:gridSpan w:val="16"/>
          </w:tcPr>
          <w:p>
            <w:pPr>
              <w:spacing w:after="0" w:line="209" w:lineRule="exact"/>
              <w:rPr>
                <w:rFonts w:ascii="Arial" w:cs="Arial" w:eastAsia="Arial" w:hAnsi="Arial"/>
                <w:sz w:val="20"/>
                <w:szCs w:val="20"/>
                <w:color w:val="0000EE"/>
                <w:w w:val="91"/>
              </w:rPr>
            </w:pPr>
            <w:hyperlink w:anchor="page42">
              <w:r>
                <w:rPr>
                  <w:rFonts w:ascii="Arial" w:cs="Arial" w:eastAsia="Arial" w:hAnsi="Arial"/>
                  <w:sz w:val="20"/>
                  <w:szCs w:val="20"/>
                  <w:color w:val="0000EE"/>
                  <w:w w:val="91"/>
                </w:rPr>
                <w:t>Quantitative and Qualitative Disclosures About Market Risk</w:t>
              </w:r>
            </w:hyperlink>
          </w:p>
        </w:tc>
        <w:tc>
          <w:tcPr>
            <w:tcW w:w="2300" w:type="dxa"/>
            <w:vAlign w:val="bottom"/>
            <w:tcBorders>
              <w:top w:val="single" w:sz="8" w:color="0000EE"/>
            </w:tcBorders>
          </w:tcPr>
          <w:p>
            <w:pPr>
              <w:spacing w:after="0"/>
              <w:rPr>
                <w:sz w:val="18"/>
                <w:szCs w:val="18"/>
                <w:color w:val="auto"/>
              </w:rPr>
            </w:pPr>
          </w:p>
        </w:tc>
        <w:tc>
          <w:tcPr>
            <w:tcW w:w="10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0"/>
        </w:trPr>
        <w:tc>
          <w:tcPr>
            <w:tcW w:w="520" w:type="dxa"/>
            <w:vAlign w:val="bottom"/>
          </w:tcPr>
          <w:p>
            <w:pPr>
              <w:spacing w:after="0" w:line="209" w:lineRule="exact"/>
              <w:rPr>
                <w:rFonts w:ascii="Arial" w:cs="Arial" w:eastAsia="Arial" w:hAnsi="Arial"/>
                <w:sz w:val="20"/>
                <w:szCs w:val="20"/>
                <w:color w:val="0000EE"/>
                <w:w w:val="89"/>
              </w:rPr>
            </w:pPr>
            <w:hyperlink w:anchor="page42">
              <w:r>
                <w:rPr>
                  <w:rFonts w:ascii="Arial" w:cs="Arial" w:eastAsia="Arial" w:hAnsi="Arial"/>
                  <w:sz w:val="20"/>
                  <w:szCs w:val="20"/>
                  <w:color w:val="0000EE"/>
                  <w:w w:val="89"/>
                </w:rPr>
                <w:t>Item 4</w:t>
              </w:r>
            </w:hyperlink>
          </w:p>
        </w:tc>
        <w:tc>
          <w:tcPr>
            <w:tcW w:w="1780" w:type="dxa"/>
            <w:vAlign w:val="bottom"/>
            <w:gridSpan w:val="4"/>
          </w:tcPr>
          <w:p>
            <w:pPr>
              <w:spacing w:after="0"/>
              <w:rPr>
                <w:sz w:val="18"/>
                <w:szCs w:val="18"/>
                <w:color w:val="auto"/>
              </w:rPr>
            </w:pPr>
          </w:p>
        </w:tc>
        <w:tc>
          <w:tcPr>
            <w:tcW w:w="8180" w:type="dxa"/>
            <w:vAlign w:val="bottom"/>
            <w:gridSpan w:val="18"/>
          </w:tcPr>
          <w:p>
            <w:pPr>
              <w:spacing w:after="0" w:line="209" w:lineRule="exact"/>
              <w:rPr>
                <w:rFonts w:ascii="Arial" w:cs="Arial" w:eastAsia="Arial" w:hAnsi="Arial"/>
                <w:sz w:val="20"/>
                <w:szCs w:val="20"/>
                <w:color w:val="0000EE"/>
              </w:rPr>
            </w:pPr>
            <w:hyperlink w:anchor="page42">
              <w:r>
                <w:rPr>
                  <w:rFonts w:ascii="Arial" w:cs="Arial" w:eastAsia="Arial" w:hAnsi="Arial"/>
                  <w:sz w:val="20"/>
                  <w:szCs w:val="20"/>
                  <w:color w:val="0000EE"/>
                </w:rPr>
                <w:t>Controls and Procedures</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560" w:type="dxa"/>
            <w:vAlign w:val="bottom"/>
            <w:gridSpan w:val="11"/>
          </w:tcPr>
          <w:p>
            <w:pPr>
              <w:spacing w:after="0" w:line="20" w:lineRule="exact"/>
              <w:rPr>
                <w:sz w:val="1"/>
                <w:szCs w:val="1"/>
                <w:color w:val="auto"/>
              </w:rPr>
            </w:pPr>
          </w:p>
        </w:tc>
        <w:tc>
          <w:tcPr>
            <w:tcW w:w="3400" w:type="dxa"/>
            <w:vAlign w:val="bottom"/>
            <w:gridSpan w:val="3"/>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300" w:type="dxa"/>
            <w:vAlign w:val="bottom"/>
            <w:gridSpan w:val="5"/>
          </w:tcPr>
          <w:p>
            <w:pPr>
              <w:spacing w:after="0"/>
              <w:rPr>
                <w:rFonts w:ascii="Arial" w:cs="Arial" w:eastAsia="Arial" w:hAnsi="Arial"/>
                <w:sz w:val="20"/>
                <w:szCs w:val="20"/>
                <w:b w:val="1"/>
                <w:bCs w:val="1"/>
                <w:color w:val="0000EE"/>
              </w:rPr>
            </w:pPr>
            <w:hyperlink w:anchor="page43">
              <w:r>
                <w:rPr>
                  <w:rFonts w:ascii="Arial" w:cs="Arial" w:eastAsia="Arial" w:hAnsi="Arial"/>
                  <w:sz w:val="20"/>
                  <w:szCs w:val="20"/>
                  <w:b w:val="1"/>
                  <w:bCs w:val="1"/>
                  <w:color w:val="0000EE"/>
                </w:rPr>
                <w:t>PART II</w:t>
              </w:r>
            </w:hyperlink>
          </w:p>
        </w:tc>
        <w:tc>
          <w:tcPr>
            <w:tcW w:w="8180" w:type="dxa"/>
            <w:vAlign w:val="bottom"/>
            <w:gridSpan w:val="18"/>
          </w:tcPr>
          <w:p>
            <w:pPr>
              <w:spacing w:after="0"/>
              <w:rPr>
                <w:rFonts w:ascii="Arial" w:cs="Arial" w:eastAsia="Arial" w:hAnsi="Arial"/>
                <w:sz w:val="20"/>
                <w:szCs w:val="20"/>
                <w:b w:val="1"/>
                <w:bCs w:val="1"/>
                <w:color w:val="0000EE"/>
              </w:rPr>
            </w:pPr>
            <w:hyperlink w:anchor="page43">
              <w:r>
                <w:rPr>
                  <w:rFonts w:ascii="Arial" w:cs="Arial" w:eastAsia="Arial" w:hAnsi="Arial"/>
                  <w:sz w:val="20"/>
                  <w:szCs w:val="20"/>
                  <w:b w:val="1"/>
                  <w:bCs w:val="1"/>
                  <w:color w:val="0000EE"/>
                </w:rPr>
                <w:t>OTHER INFORMATION</w:t>
              </w:r>
            </w:hyperlink>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20" w:type="dxa"/>
            <w:vAlign w:val="bottom"/>
            <w:gridSpan w:val="3"/>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2560" w:type="dxa"/>
            <w:vAlign w:val="bottom"/>
            <w:gridSpan w:val="11"/>
          </w:tcPr>
          <w:p>
            <w:pPr>
              <w:spacing w:after="0" w:line="20" w:lineRule="exact"/>
              <w:rPr>
                <w:sz w:val="1"/>
                <w:szCs w:val="1"/>
                <w:color w:val="auto"/>
              </w:rPr>
            </w:pPr>
          </w:p>
        </w:tc>
        <w:tc>
          <w:tcPr>
            <w:tcW w:w="3400" w:type="dxa"/>
            <w:vAlign w:val="bottom"/>
            <w:gridSpan w:val="3"/>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 w:type="dxa"/>
            <w:vAlign w:val="bottom"/>
          </w:tcPr>
          <w:p>
            <w:pPr>
              <w:spacing w:after="0" w:line="209" w:lineRule="exact"/>
              <w:rPr>
                <w:rFonts w:ascii="Arial" w:cs="Arial" w:eastAsia="Arial" w:hAnsi="Arial"/>
                <w:sz w:val="20"/>
                <w:szCs w:val="20"/>
                <w:color w:val="0000EE"/>
                <w:w w:val="89"/>
              </w:rPr>
            </w:pPr>
            <w:hyperlink w:anchor="page43">
              <w:r>
                <w:rPr>
                  <w:rFonts w:ascii="Arial" w:cs="Arial" w:eastAsia="Arial" w:hAnsi="Arial"/>
                  <w:sz w:val="20"/>
                  <w:szCs w:val="20"/>
                  <w:color w:val="0000EE"/>
                  <w:w w:val="89"/>
                </w:rPr>
                <w:t>Item 2</w:t>
              </w:r>
            </w:hyperlink>
          </w:p>
        </w:tc>
        <w:tc>
          <w:tcPr>
            <w:tcW w:w="200" w:type="dxa"/>
            <w:vAlign w:val="bottom"/>
            <w:gridSpan w:val="2"/>
          </w:tcPr>
          <w:p>
            <w:pPr>
              <w:spacing w:after="0"/>
              <w:rPr>
                <w:sz w:val="18"/>
                <w:szCs w:val="18"/>
                <w:color w:val="auto"/>
              </w:rPr>
            </w:pPr>
          </w:p>
        </w:tc>
        <w:tc>
          <w:tcPr>
            <w:tcW w:w="1580" w:type="dxa"/>
            <w:vAlign w:val="bottom"/>
            <w:gridSpan w:val="2"/>
          </w:tcPr>
          <w:p>
            <w:pPr>
              <w:spacing w:after="0"/>
              <w:rPr>
                <w:sz w:val="18"/>
                <w:szCs w:val="18"/>
                <w:color w:val="auto"/>
              </w:rPr>
            </w:pPr>
          </w:p>
        </w:tc>
        <w:tc>
          <w:tcPr>
            <w:tcW w:w="8180" w:type="dxa"/>
            <w:vAlign w:val="bottom"/>
            <w:gridSpan w:val="18"/>
          </w:tcPr>
          <w:p>
            <w:pPr>
              <w:spacing w:after="0" w:line="209" w:lineRule="exact"/>
              <w:rPr>
                <w:rFonts w:ascii="Arial" w:cs="Arial" w:eastAsia="Arial" w:hAnsi="Arial"/>
                <w:sz w:val="20"/>
                <w:szCs w:val="20"/>
                <w:color w:val="0000EE"/>
              </w:rPr>
            </w:pPr>
            <w:hyperlink w:anchor="page43">
              <w:r>
                <w:rPr>
                  <w:rFonts w:ascii="Arial" w:cs="Arial" w:eastAsia="Arial" w:hAnsi="Arial"/>
                  <w:sz w:val="20"/>
                  <w:szCs w:val="20"/>
                  <w:color w:val="0000EE"/>
                </w:rPr>
                <w:t>Unregistered Sales of Equity Securities and Use of Proceeds</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0"/>
        </w:trPr>
        <w:tc>
          <w:tcPr>
            <w:tcW w:w="520" w:type="dxa"/>
            <w:vAlign w:val="bottom"/>
            <w:tcBorders>
              <w:top w:val="single" w:sz="8" w:color="0000EE"/>
            </w:tcBorders>
          </w:tcPr>
          <w:p>
            <w:pPr>
              <w:spacing w:after="0" w:line="209" w:lineRule="exact"/>
              <w:rPr>
                <w:rFonts w:ascii="Arial" w:cs="Arial" w:eastAsia="Arial" w:hAnsi="Arial"/>
                <w:sz w:val="20"/>
                <w:szCs w:val="20"/>
                <w:color w:val="0000EE"/>
                <w:w w:val="89"/>
              </w:rPr>
            </w:pPr>
            <w:hyperlink w:anchor="page43">
              <w:r>
                <w:rPr>
                  <w:rFonts w:ascii="Arial" w:cs="Arial" w:eastAsia="Arial" w:hAnsi="Arial"/>
                  <w:sz w:val="20"/>
                  <w:szCs w:val="20"/>
                  <w:color w:val="0000EE"/>
                  <w:w w:val="89"/>
                </w:rPr>
                <w:t>Item 5</w:t>
              </w:r>
            </w:hyperlink>
          </w:p>
        </w:tc>
        <w:tc>
          <w:tcPr>
            <w:tcW w:w="1780" w:type="dxa"/>
            <w:vAlign w:val="bottom"/>
            <w:gridSpan w:val="4"/>
          </w:tcPr>
          <w:p>
            <w:pPr>
              <w:spacing w:after="0"/>
              <w:rPr>
                <w:sz w:val="18"/>
                <w:szCs w:val="18"/>
                <w:color w:val="auto"/>
              </w:rPr>
            </w:pPr>
          </w:p>
        </w:tc>
        <w:tc>
          <w:tcPr>
            <w:tcW w:w="4780" w:type="dxa"/>
            <w:vAlign w:val="bottom"/>
            <w:tcBorders>
              <w:top w:val="single" w:sz="8" w:color="0000EE"/>
            </w:tcBorders>
            <w:gridSpan w:val="15"/>
          </w:tcPr>
          <w:p>
            <w:pPr>
              <w:spacing w:after="0" w:line="209" w:lineRule="exact"/>
              <w:rPr>
                <w:rFonts w:ascii="Arial" w:cs="Arial" w:eastAsia="Arial" w:hAnsi="Arial"/>
                <w:sz w:val="20"/>
                <w:szCs w:val="20"/>
                <w:color w:val="0000EE"/>
              </w:rPr>
            </w:pPr>
            <w:hyperlink w:anchor="page43">
              <w:r>
                <w:rPr>
                  <w:rFonts w:ascii="Arial" w:cs="Arial" w:eastAsia="Arial" w:hAnsi="Arial"/>
                  <w:sz w:val="20"/>
                  <w:szCs w:val="20"/>
                  <w:color w:val="0000EE"/>
                </w:rPr>
                <w:t>Other Information</w:t>
              </w:r>
            </w:hyperlink>
          </w:p>
        </w:tc>
        <w:tc>
          <w:tcPr>
            <w:tcW w:w="3400" w:type="dxa"/>
            <w:vAlign w:val="bottom"/>
            <w:gridSpan w:val="3"/>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0"/>
        </w:trPr>
        <w:tc>
          <w:tcPr>
            <w:tcW w:w="520" w:type="dxa"/>
            <w:vAlign w:val="bottom"/>
            <w:tcBorders>
              <w:top w:val="single" w:sz="8" w:color="0000EE"/>
            </w:tcBorders>
          </w:tcPr>
          <w:p>
            <w:pPr>
              <w:spacing w:after="0" w:line="209" w:lineRule="exact"/>
              <w:rPr>
                <w:rFonts w:ascii="Arial" w:cs="Arial" w:eastAsia="Arial" w:hAnsi="Arial"/>
                <w:sz w:val="20"/>
                <w:szCs w:val="20"/>
                <w:color w:val="0000EE"/>
                <w:w w:val="89"/>
              </w:rPr>
            </w:pPr>
            <w:hyperlink w:anchor="page44">
              <w:r>
                <w:rPr>
                  <w:rFonts w:ascii="Arial" w:cs="Arial" w:eastAsia="Arial" w:hAnsi="Arial"/>
                  <w:sz w:val="20"/>
                  <w:szCs w:val="20"/>
                  <w:color w:val="0000EE"/>
                  <w:w w:val="89"/>
                </w:rPr>
                <w:t>Item 6</w:t>
              </w:r>
            </w:hyperlink>
          </w:p>
        </w:tc>
        <w:tc>
          <w:tcPr>
            <w:tcW w:w="1780" w:type="dxa"/>
            <w:vAlign w:val="bottom"/>
            <w:gridSpan w:val="4"/>
          </w:tcPr>
          <w:p>
            <w:pPr>
              <w:spacing w:after="0"/>
              <w:rPr>
                <w:sz w:val="18"/>
                <w:szCs w:val="18"/>
                <w:color w:val="auto"/>
              </w:rPr>
            </w:pPr>
          </w:p>
        </w:tc>
        <w:tc>
          <w:tcPr>
            <w:tcW w:w="1440" w:type="dxa"/>
            <w:vAlign w:val="bottom"/>
            <w:tcBorders>
              <w:top w:val="single" w:sz="8" w:color="0000EE"/>
            </w:tcBorders>
            <w:gridSpan w:val="2"/>
          </w:tcPr>
          <w:p>
            <w:pPr>
              <w:spacing w:after="0" w:line="209" w:lineRule="exact"/>
              <w:rPr>
                <w:rFonts w:ascii="Arial" w:cs="Arial" w:eastAsia="Arial" w:hAnsi="Arial"/>
                <w:sz w:val="20"/>
                <w:szCs w:val="20"/>
                <w:color w:val="0000EE"/>
              </w:rPr>
            </w:pPr>
            <w:hyperlink w:anchor="page44">
              <w:r>
                <w:rPr>
                  <w:rFonts w:ascii="Arial" w:cs="Arial" w:eastAsia="Arial" w:hAnsi="Arial"/>
                  <w:sz w:val="20"/>
                  <w:szCs w:val="20"/>
                  <w:color w:val="0000EE"/>
                </w:rPr>
                <w:t>Exhibits</w:t>
              </w:r>
            </w:hyperlink>
          </w:p>
        </w:tc>
        <w:tc>
          <w:tcPr>
            <w:tcW w:w="6740" w:type="dxa"/>
            <w:vAlign w:val="bottom"/>
            <w:gridSpan w:val="16"/>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300" w:type="dxa"/>
            <w:vAlign w:val="bottom"/>
            <w:gridSpan w:val="5"/>
          </w:tcPr>
          <w:p>
            <w:pPr>
              <w:spacing w:after="0"/>
              <w:rPr>
                <w:rFonts w:ascii="Arial" w:cs="Arial" w:eastAsia="Arial" w:hAnsi="Arial"/>
                <w:sz w:val="20"/>
                <w:szCs w:val="20"/>
                <w:b w:val="1"/>
                <w:bCs w:val="1"/>
                <w:color w:val="0000EE"/>
              </w:rPr>
            </w:pPr>
            <w:hyperlink w:anchor="page45">
              <w:r>
                <w:rPr>
                  <w:rFonts w:ascii="Arial" w:cs="Arial" w:eastAsia="Arial" w:hAnsi="Arial"/>
                  <w:sz w:val="20"/>
                  <w:szCs w:val="20"/>
                  <w:b w:val="1"/>
                  <w:bCs w:val="1"/>
                  <w:color w:val="0000EE"/>
                </w:rPr>
                <w:t>SIGNATURES</w:t>
              </w:r>
            </w:hyperlink>
          </w:p>
        </w:tc>
        <w:tc>
          <w:tcPr>
            <w:tcW w:w="6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669"/>
        </w:trPr>
        <w:tc>
          <w:tcPr>
            <w:tcW w:w="5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1020" w:type="dxa"/>
            <w:vAlign w:val="bottom"/>
          </w:tcPr>
          <w:p>
            <w:pPr>
              <w:spacing w:after="0"/>
              <w:rPr>
                <w:sz w:val="24"/>
                <w:szCs w:val="24"/>
                <w:color w:val="auto"/>
              </w:rPr>
            </w:pPr>
          </w:p>
        </w:tc>
        <w:tc>
          <w:tcPr>
            <w:tcW w:w="3460" w:type="dxa"/>
            <w:vAlign w:val="bottom"/>
            <w:gridSpan w:val="11"/>
          </w:tcPr>
          <w:p>
            <w:pPr>
              <w:jc w:val="center"/>
              <w:ind w:left="3262"/>
              <w:spacing w:after="0"/>
              <w:rPr>
                <w:sz w:val="20"/>
                <w:szCs w:val="20"/>
                <w:color w:val="auto"/>
              </w:rPr>
            </w:pPr>
            <w:r>
              <w:rPr>
                <w:rFonts w:ascii="Arial" w:cs="Arial" w:eastAsia="Arial" w:hAnsi="Arial"/>
                <w:sz w:val="18"/>
                <w:szCs w:val="18"/>
                <w:color w:val="auto"/>
                <w:w w:val="99"/>
              </w:rPr>
              <w:t>2</w:t>
            </w: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30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689"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u w:val="single" w:color="auto"/>
          <w:color w:val="auto"/>
        </w:rPr>
        <w:t>PART I - FINANCIAL INFORMATION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 – Financial Statements (unaudited)</w:t>
      </w:r>
    </w:p>
    <w:p>
      <w:pPr>
        <w:spacing w:after="0" w:line="194" w:lineRule="exact"/>
        <w:rPr>
          <w:sz w:val="20"/>
          <w:szCs w:val="20"/>
          <w:color w:val="auto"/>
        </w:rPr>
      </w:pPr>
    </w:p>
    <w:p>
      <w:pPr>
        <w:ind w:left="4880"/>
        <w:spacing w:after="0"/>
        <w:rPr>
          <w:sz w:val="20"/>
          <w:szCs w:val="20"/>
          <w:color w:val="auto"/>
        </w:rPr>
      </w:pPr>
      <w:r>
        <w:rPr>
          <w:rFonts w:ascii="Arial" w:cs="Arial" w:eastAsia="Arial" w:hAnsi="Arial"/>
          <w:sz w:val="18"/>
          <w:szCs w:val="18"/>
          <w:b w:val="1"/>
          <w:bCs w:val="1"/>
          <w:color w:val="auto"/>
        </w:rPr>
        <w:t>ManpowerGroup Inc.</w:t>
      </w:r>
    </w:p>
    <w:p>
      <w:pPr>
        <w:spacing w:after="0" w:line="185"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Consolidated Balance Sheets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ASSETS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gridSpan w:val="2"/>
          </w:tcPr>
          <w:p>
            <w:pPr>
              <w:ind w:left="80"/>
              <w:spacing w:after="0"/>
              <w:rPr>
                <w:sz w:val="20"/>
                <w:szCs w:val="20"/>
                <w:color w:val="auto"/>
              </w:rPr>
            </w:pPr>
            <w:r>
              <w:rPr>
                <w:rFonts w:ascii="Arial" w:cs="Arial" w:eastAsia="Arial" w:hAnsi="Arial"/>
                <w:sz w:val="18"/>
                <w:szCs w:val="18"/>
                <w:b w:val="1"/>
                <w:bCs w:val="1"/>
                <w:color w:val="auto"/>
              </w:rPr>
              <w:t>September 30,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jc w:val="right"/>
              <w:ind w:right="290"/>
              <w:spacing w:after="0"/>
              <w:rPr>
                <w:sz w:val="20"/>
                <w:szCs w:val="20"/>
                <w:color w:val="auto"/>
              </w:rPr>
            </w:pPr>
            <w:r>
              <w:rPr>
                <w:rFonts w:ascii="Arial" w:cs="Arial" w:eastAsia="Arial" w:hAnsi="Arial"/>
                <w:sz w:val="18"/>
                <w:szCs w:val="18"/>
                <w:b w:val="1"/>
                <w:bCs w:val="1"/>
                <w:color w:val="auto"/>
                <w:w w:val="95"/>
              </w:rPr>
              <w:t>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100" w:type="dxa"/>
            <w:vAlign w:val="bottom"/>
            <w:tcBorders>
              <w:bottom w:val="single" w:sz="8" w:color="CFF0FC"/>
            </w:tcBorders>
          </w:tcPr>
          <w:p>
            <w:pPr>
              <w:spacing w:after="0"/>
              <w:rPr>
                <w:sz w:val="20"/>
                <w:szCs w:val="20"/>
                <w:color w:val="auto"/>
              </w:rPr>
            </w:pPr>
          </w:p>
        </w:tc>
        <w:tc>
          <w:tcPr>
            <w:tcW w:w="1720" w:type="dxa"/>
            <w:vAlign w:val="bottom"/>
            <w:tcBorders>
              <w:bottom w:val="single" w:sz="8" w:color="CFF0FC"/>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2019</w:t>
            </w:r>
          </w:p>
        </w:tc>
        <w:tc>
          <w:tcPr>
            <w:tcW w:w="200" w:type="dxa"/>
            <w:vAlign w:val="bottom"/>
            <w:tcBorders>
              <w:bottom w:val="single" w:sz="8" w:color="CFF0FC"/>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Current Assets:</w:t>
            </w:r>
          </w:p>
        </w:tc>
        <w:tc>
          <w:tcPr>
            <w:tcW w:w="17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807.1</w:t>
            </w:r>
          </w:p>
        </w:tc>
        <w:tc>
          <w:tcPr>
            <w:tcW w:w="200" w:type="dxa"/>
            <w:vAlign w:val="bottom"/>
          </w:tcPr>
          <w:p>
            <w:pPr>
              <w:spacing w:after="0"/>
              <w:rPr>
                <w:sz w:val="19"/>
                <w:szCs w:val="19"/>
                <w:color w:val="auto"/>
              </w:rPr>
            </w:pPr>
          </w:p>
        </w:tc>
        <w:tc>
          <w:tcPr>
            <w:tcW w:w="180" w:type="dxa"/>
            <w:vAlign w:val="bottom"/>
            <w:gridSpan w:val="2"/>
          </w:tcPr>
          <w:p>
            <w:pPr>
              <w:jc w:val="right"/>
              <w:ind w:right="50"/>
              <w:spacing w:after="0"/>
              <w:rPr>
                <w:sz w:val="20"/>
                <w:szCs w:val="20"/>
                <w:color w:val="auto"/>
              </w:rPr>
            </w:pPr>
            <w:r>
              <w:rPr>
                <w:rFonts w:ascii="Arial" w:cs="Arial" w:eastAsia="Arial" w:hAnsi="Arial"/>
                <w:sz w:val="15"/>
                <w:szCs w:val="15"/>
                <w:color w:val="auto"/>
                <w:w w:val="71"/>
              </w:rPr>
              <w:t>$</w:t>
            </w: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591.9</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100" w:type="dxa"/>
            <w:vAlign w:val="bottom"/>
            <w:shd w:val="clear" w:color="auto" w:fill="CFF0FC"/>
          </w:tcPr>
          <w:p>
            <w:pPr>
              <w:spacing w:after="0"/>
              <w:rPr>
                <w:sz w:val="20"/>
                <w:szCs w:val="20"/>
                <w:color w:val="auto"/>
              </w:rPr>
            </w:pPr>
            <w:r>
              <w:rPr>
                <w:rFonts w:ascii="Arial" w:cs="Arial" w:eastAsia="Arial" w:hAnsi="Arial"/>
                <w:sz w:val="18"/>
                <w:szCs w:val="18"/>
                <w:color w:val="auto"/>
              </w:rPr>
              <w:t>Accounts receivable, less allowance for doubtful accounts of</w:t>
            </w:r>
          </w:p>
        </w:tc>
        <w:tc>
          <w:tcPr>
            <w:tcW w:w="17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00" w:type="dxa"/>
            <w:vAlign w:val="bottom"/>
            <w:shd w:val="clear" w:color="auto" w:fill="CFF0FC"/>
          </w:tcPr>
          <w:p>
            <w:pPr>
              <w:spacing w:after="0"/>
              <w:rPr>
                <w:sz w:val="20"/>
                <w:szCs w:val="20"/>
                <w:color w:val="auto"/>
              </w:rPr>
            </w:pPr>
            <w:r>
              <w:rPr>
                <w:rFonts w:ascii="Arial" w:cs="Arial" w:eastAsia="Arial" w:hAnsi="Arial"/>
                <w:sz w:val="18"/>
                <w:szCs w:val="18"/>
                <w:color w:val="auto"/>
              </w:rPr>
              <w:t>$115.3 and $115.7 respectively</w:t>
            </w:r>
          </w:p>
        </w:tc>
        <w:tc>
          <w:tcPr>
            <w:tcW w:w="17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5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5,122.1</w:t>
            </w:r>
          </w:p>
        </w:tc>
        <w:tc>
          <w:tcPr>
            <w:tcW w:w="2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5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5,276.1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Prepaid expenses and other assets</w:t>
            </w:r>
          </w:p>
        </w:tc>
        <w:tc>
          <w:tcPr>
            <w:tcW w:w="17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145.6</w:t>
            </w:r>
          </w:p>
        </w:tc>
        <w:tc>
          <w:tcPr>
            <w:tcW w:w="2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129.1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00" w:type="dxa"/>
            <w:vAlign w:val="bottom"/>
            <w:shd w:val="clear" w:color="auto" w:fill="CFF0FC"/>
          </w:tcPr>
          <w:p>
            <w:pPr>
              <w:ind w:left="360"/>
              <w:spacing w:after="0"/>
              <w:rPr>
                <w:sz w:val="20"/>
                <w:szCs w:val="20"/>
                <w:color w:val="auto"/>
              </w:rPr>
            </w:pPr>
            <w:r>
              <w:rPr>
                <w:rFonts w:ascii="Arial" w:cs="Arial" w:eastAsia="Arial" w:hAnsi="Arial"/>
                <w:sz w:val="18"/>
                <w:szCs w:val="18"/>
                <w:color w:val="auto"/>
              </w:rPr>
              <w:t>Total current assets</w:t>
            </w:r>
          </w:p>
        </w:tc>
        <w:tc>
          <w:tcPr>
            <w:tcW w:w="17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6,074.8</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5,997.1</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61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1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Other Assets:</w:t>
            </w:r>
          </w:p>
        </w:tc>
        <w:tc>
          <w:tcPr>
            <w:tcW w:w="17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Goodwill</w:t>
            </w:r>
          </w:p>
        </w:tc>
        <w:tc>
          <w:tcPr>
            <w:tcW w:w="1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1,231.8</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1,297.1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100" w:type="dxa"/>
            <w:vAlign w:val="bottom"/>
            <w:shd w:val="clear" w:color="auto" w:fill="CFF0FC"/>
          </w:tcPr>
          <w:p>
            <w:pPr>
              <w:spacing w:after="0"/>
              <w:rPr>
                <w:sz w:val="20"/>
                <w:szCs w:val="20"/>
                <w:color w:val="auto"/>
              </w:rPr>
            </w:pPr>
            <w:r>
              <w:rPr>
                <w:rFonts w:ascii="Arial" w:cs="Arial" w:eastAsia="Arial" w:hAnsi="Arial"/>
                <w:sz w:val="18"/>
                <w:szCs w:val="18"/>
                <w:color w:val="auto"/>
              </w:rPr>
              <w:t>Intangible assets, less accumulated amortization of</w:t>
            </w:r>
          </w:p>
        </w:tc>
        <w:tc>
          <w:tcPr>
            <w:tcW w:w="17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00" w:type="dxa"/>
            <w:vAlign w:val="bottom"/>
            <w:shd w:val="clear" w:color="auto" w:fill="CFF0FC"/>
          </w:tcPr>
          <w:p>
            <w:pPr>
              <w:spacing w:after="0"/>
              <w:rPr>
                <w:sz w:val="20"/>
                <w:szCs w:val="20"/>
                <w:color w:val="auto"/>
              </w:rPr>
            </w:pPr>
            <w:r>
              <w:rPr>
                <w:rFonts w:ascii="Arial" w:cs="Arial" w:eastAsia="Arial" w:hAnsi="Arial"/>
                <w:sz w:val="18"/>
                <w:szCs w:val="18"/>
                <w:color w:val="auto"/>
              </w:rPr>
              <w:t>$380.2 and $367.7 respectively</w:t>
            </w:r>
          </w:p>
        </w:tc>
        <w:tc>
          <w:tcPr>
            <w:tcW w:w="17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5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272.9</w:t>
            </w:r>
          </w:p>
        </w:tc>
        <w:tc>
          <w:tcPr>
            <w:tcW w:w="2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5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246.3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Operating lease right-of-use asset</w:t>
            </w:r>
          </w:p>
        </w:tc>
        <w:tc>
          <w:tcPr>
            <w:tcW w:w="1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415.6</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00" w:type="dxa"/>
            <w:vAlign w:val="bottom"/>
            <w:shd w:val="clear" w:color="auto" w:fill="CFF0FC"/>
          </w:tcPr>
          <w:p>
            <w:pPr>
              <w:spacing w:after="0"/>
              <w:rPr>
                <w:sz w:val="20"/>
                <w:szCs w:val="20"/>
                <w:color w:val="auto"/>
              </w:rPr>
            </w:pPr>
            <w:r>
              <w:rPr>
                <w:rFonts w:ascii="Arial" w:cs="Arial" w:eastAsia="Arial" w:hAnsi="Arial"/>
                <w:sz w:val="18"/>
                <w:szCs w:val="18"/>
                <w:color w:val="auto"/>
              </w:rPr>
              <w:t>Other assets</w:t>
            </w:r>
          </w:p>
        </w:tc>
        <w:tc>
          <w:tcPr>
            <w:tcW w:w="17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5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618.1</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5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826.7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00" w:type="dxa"/>
            <w:vAlign w:val="bottom"/>
          </w:tcPr>
          <w:p>
            <w:pPr>
              <w:ind w:left="360"/>
              <w:spacing w:after="0"/>
              <w:rPr>
                <w:sz w:val="20"/>
                <w:szCs w:val="20"/>
                <w:color w:val="auto"/>
              </w:rPr>
            </w:pPr>
            <w:r>
              <w:rPr>
                <w:rFonts w:ascii="Arial" w:cs="Arial" w:eastAsia="Arial" w:hAnsi="Arial"/>
                <w:sz w:val="18"/>
                <w:szCs w:val="18"/>
                <w:color w:val="auto"/>
              </w:rPr>
              <w:t>Total other assets</w:t>
            </w:r>
          </w:p>
        </w:tc>
        <w:tc>
          <w:tcPr>
            <w:tcW w:w="1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2,538.4</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2,370.1</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6100" w:type="dxa"/>
            <w:vAlign w:val="bottom"/>
            <w:shd w:val="clear" w:color="auto" w:fill="CFF0FC"/>
          </w:tcPr>
          <w:p>
            <w:pPr>
              <w:spacing w:after="0"/>
              <w:rPr>
                <w:sz w:val="19"/>
                <w:szCs w:val="19"/>
                <w:color w:val="auto"/>
              </w:rPr>
            </w:pPr>
          </w:p>
        </w:tc>
        <w:tc>
          <w:tcPr>
            <w:tcW w:w="17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100" w:type="dxa"/>
            <w:vAlign w:val="bottom"/>
          </w:tcPr>
          <w:p>
            <w:pPr>
              <w:spacing w:after="0"/>
              <w:rPr>
                <w:sz w:val="20"/>
                <w:szCs w:val="20"/>
                <w:color w:val="auto"/>
              </w:rPr>
            </w:pPr>
            <w:r>
              <w:rPr>
                <w:rFonts w:ascii="Arial" w:cs="Arial" w:eastAsia="Arial" w:hAnsi="Arial"/>
                <w:sz w:val="18"/>
                <w:szCs w:val="18"/>
                <w:b w:val="1"/>
                <w:bCs w:val="1"/>
                <w:color w:val="auto"/>
              </w:rPr>
              <w:t>Property and Equipment:</w:t>
            </w:r>
          </w:p>
        </w:tc>
        <w:tc>
          <w:tcPr>
            <w:tcW w:w="1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00" w:type="dxa"/>
            <w:vAlign w:val="bottom"/>
            <w:shd w:val="clear" w:color="auto" w:fill="CFF0FC"/>
          </w:tcPr>
          <w:p>
            <w:pPr>
              <w:spacing w:after="0"/>
              <w:rPr>
                <w:sz w:val="20"/>
                <w:szCs w:val="20"/>
                <w:color w:val="auto"/>
              </w:rPr>
            </w:pPr>
            <w:r>
              <w:rPr>
                <w:rFonts w:ascii="Arial" w:cs="Arial" w:eastAsia="Arial" w:hAnsi="Arial"/>
                <w:sz w:val="18"/>
                <w:szCs w:val="18"/>
                <w:color w:val="auto"/>
              </w:rPr>
              <w:t>Land, buildings, leasehold improvements and equipment</w:t>
            </w:r>
          </w:p>
        </w:tc>
        <w:tc>
          <w:tcPr>
            <w:tcW w:w="17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596.7</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613.6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Less: accumulated depreciation and amortization</w:t>
            </w:r>
          </w:p>
        </w:tc>
        <w:tc>
          <w:tcPr>
            <w:tcW w:w="17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456.7</w:t>
            </w:r>
          </w:p>
        </w:tc>
        <w:tc>
          <w:tcPr>
            <w:tcW w:w="2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461.0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00" w:type="dxa"/>
            <w:vAlign w:val="bottom"/>
            <w:shd w:val="clear" w:color="auto" w:fill="CFF0FC"/>
          </w:tcPr>
          <w:p>
            <w:pPr>
              <w:ind w:left="360"/>
              <w:spacing w:after="0"/>
              <w:rPr>
                <w:sz w:val="20"/>
                <w:szCs w:val="20"/>
                <w:color w:val="auto"/>
              </w:rPr>
            </w:pPr>
            <w:r>
              <w:rPr>
                <w:rFonts w:ascii="Arial" w:cs="Arial" w:eastAsia="Arial" w:hAnsi="Arial"/>
                <w:sz w:val="18"/>
                <w:szCs w:val="18"/>
                <w:color w:val="auto"/>
              </w:rPr>
              <w:t>Net property and equipment</w:t>
            </w:r>
          </w:p>
        </w:tc>
        <w:tc>
          <w:tcPr>
            <w:tcW w:w="17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5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140.0</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5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152.6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00" w:type="dxa"/>
            <w:vAlign w:val="bottom"/>
          </w:tcPr>
          <w:p>
            <w:pPr>
              <w:ind w:left="600"/>
              <w:spacing w:after="0"/>
              <w:rPr>
                <w:sz w:val="20"/>
                <w:szCs w:val="20"/>
                <w:color w:val="auto"/>
              </w:rPr>
            </w:pPr>
            <w:r>
              <w:rPr>
                <w:rFonts w:ascii="Arial" w:cs="Arial" w:eastAsia="Arial" w:hAnsi="Arial"/>
                <w:sz w:val="18"/>
                <w:szCs w:val="18"/>
                <w:color w:val="auto"/>
              </w:rPr>
              <w:t>Total assets</w:t>
            </w:r>
          </w:p>
        </w:tc>
        <w:tc>
          <w:tcPr>
            <w:tcW w:w="17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8,753.2</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15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8,519.8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ManpowerGroup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 and per share data)</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LIABILITIES AND SHAREHOLDERS’ EQUITY</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6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jc w:val="right"/>
              <w:ind w:right="250"/>
              <w:spacing w:after="0"/>
              <w:rPr>
                <w:sz w:val="20"/>
                <w:szCs w:val="20"/>
                <w:color w:val="auto"/>
              </w:rPr>
            </w:pPr>
            <w:r>
              <w:rPr>
                <w:rFonts w:ascii="Arial" w:cs="Arial" w:eastAsia="Arial" w:hAnsi="Arial"/>
                <w:sz w:val="18"/>
                <w:szCs w:val="18"/>
                <w:b w:val="1"/>
                <w:bCs w:val="1"/>
                <w:color w:val="auto"/>
                <w:w w:val="94"/>
              </w:rPr>
              <w:t>September 30,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jc w:val="right"/>
              <w:ind w:right="290"/>
              <w:spacing w:after="0"/>
              <w:rPr>
                <w:sz w:val="20"/>
                <w:szCs w:val="20"/>
                <w:color w:val="auto"/>
              </w:rPr>
            </w:pPr>
            <w:r>
              <w:rPr>
                <w:rFonts w:ascii="Arial" w:cs="Arial" w:eastAsia="Arial" w:hAnsi="Arial"/>
                <w:sz w:val="18"/>
                <w:szCs w:val="18"/>
                <w:b w:val="1"/>
                <w:bCs w:val="1"/>
                <w:color w:val="auto"/>
                <w:w w:val="95"/>
              </w:rPr>
              <w:t>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680" w:type="dxa"/>
            <w:vAlign w:val="bottom"/>
            <w:tcBorders>
              <w:bottom w:val="single" w:sz="8" w:color="CFF0FC"/>
            </w:tcBorders>
          </w:tcPr>
          <w:p>
            <w:pPr>
              <w:spacing w:after="0"/>
              <w:rPr>
                <w:sz w:val="20"/>
                <w:szCs w:val="20"/>
                <w:color w:val="auto"/>
              </w:rPr>
            </w:pPr>
          </w:p>
        </w:tc>
        <w:tc>
          <w:tcPr>
            <w:tcW w:w="1140" w:type="dxa"/>
            <w:vAlign w:val="bottom"/>
            <w:tcBorders>
              <w:bottom w:val="single" w:sz="8" w:color="CFF0FC"/>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2019</w:t>
            </w:r>
          </w:p>
        </w:tc>
        <w:tc>
          <w:tcPr>
            <w:tcW w:w="20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Current Liabilities:</w:t>
            </w:r>
          </w:p>
        </w:tc>
        <w:tc>
          <w:tcPr>
            <w:tcW w:w="1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80" w:type="dxa"/>
            <w:vAlign w:val="bottom"/>
          </w:tcPr>
          <w:p>
            <w:pPr>
              <w:spacing w:after="0"/>
              <w:rPr>
                <w:sz w:val="20"/>
                <w:szCs w:val="20"/>
                <w:color w:val="auto"/>
              </w:rPr>
            </w:pPr>
            <w:r>
              <w:rPr>
                <w:rFonts w:ascii="Arial" w:cs="Arial" w:eastAsia="Arial" w:hAnsi="Arial"/>
                <w:sz w:val="18"/>
                <w:szCs w:val="18"/>
                <w:color w:val="auto"/>
              </w:rPr>
              <w:t>Accounts payable</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2,322.6</w:t>
            </w:r>
          </w:p>
        </w:tc>
        <w:tc>
          <w:tcPr>
            <w:tcW w:w="3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2,266.7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80" w:type="dxa"/>
            <w:vAlign w:val="bottom"/>
            <w:shd w:val="clear" w:color="auto" w:fill="CFF0FC"/>
          </w:tcPr>
          <w:p>
            <w:pPr>
              <w:spacing w:after="0"/>
              <w:rPr>
                <w:sz w:val="20"/>
                <w:szCs w:val="20"/>
                <w:color w:val="auto"/>
              </w:rPr>
            </w:pPr>
            <w:r>
              <w:rPr>
                <w:rFonts w:ascii="Arial" w:cs="Arial" w:eastAsia="Arial" w:hAnsi="Arial"/>
                <w:sz w:val="18"/>
                <w:szCs w:val="18"/>
                <w:color w:val="auto"/>
              </w:rPr>
              <w:t>Employee compensation payable</w:t>
            </w:r>
          </w:p>
        </w:tc>
        <w:tc>
          <w:tcPr>
            <w:tcW w:w="1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203.8</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209.7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80" w:type="dxa"/>
            <w:vAlign w:val="bottom"/>
          </w:tcPr>
          <w:p>
            <w:pPr>
              <w:spacing w:after="0"/>
              <w:rPr>
                <w:sz w:val="20"/>
                <w:szCs w:val="20"/>
                <w:color w:val="auto"/>
              </w:rPr>
            </w:pPr>
            <w:r>
              <w:rPr>
                <w:rFonts w:ascii="Arial" w:cs="Arial" w:eastAsia="Arial" w:hAnsi="Arial"/>
                <w:sz w:val="18"/>
                <w:szCs w:val="18"/>
                <w:color w:val="auto"/>
              </w:rPr>
              <w:t>Accrued liabilities</w:t>
            </w: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471.0</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411.0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80" w:type="dxa"/>
            <w:vAlign w:val="bottom"/>
            <w:shd w:val="clear" w:color="auto" w:fill="CFF0FC"/>
          </w:tcPr>
          <w:p>
            <w:pPr>
              <w:spacing w:after="0"/>
              <w:rPr>
                <w:sz w:val="20"/>
                <w:szCs w:val="20"/>
                <w:color w:val="auto"/>
              </w:rPr>
            </w:pPr>
            <w:r>
              <w:rPr>
                <w:rFonts w:ascii="Arial" w:cs="Arial" w:eastAsia="Arial" w:hAnsi="Arial"/>
                <w:sz w:val="18"/>
                <w:szCs w:val="18"/>
                <w:color w:val="auto"/>
              </w:rPr>
              <w:t>Accrued payroll taxes and insurance</w:t>
            </w:r>
          </w:p>
        </w:tc>
        <w:tc>
          <w:tcPr>
            <w:tcW w:w="1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571.2</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729.8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80" w:type="dxa"/>
            <w:vAlign w:val="bottom"/>
          </w:tcPr>
          <w:p>
            <w:pPr>
              <w:spacing w:after="0"/>
              <w:rPr>
                <w:sz w:val="20"/>
                <w:szCs w:val="20"/>
                <w:color w:val="auto"/>
              </w:rPr>
            </w:pPr>
            <w:r>
              <w:rPr>
                <w:rFonts w:ascii="Arial" w:cs="Arial" w:eastAsia="Arial" w:hAnsi="Arial"/>
                <w:sz w:val="18"/>
                <w:szCs w:val="18"/>
                <w:color w:val="auto"/>
              </w:rPr>
              <w:t>Value added taxes payable</w:t>
            </w: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495.7</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508.6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80" w:type="dxa"/>
            <w:vAlign w:val="bottom"/>
            <w:shd w:val="clear" w:color="auto" w:fill="CFF0FC"/>
          </w:tcPr>
          <w:p>
            <w:pPr>
              <w:spacing w:after="0"/>
              <w:rPr>
                <w:sz w:val="20"/>
                <w:szCs w:val="20"/>
                <w:color w:val="auto"/>
              </w:rPr>
            </w:pPr>
            <w:r>
              <w:rPr>
                <w:rFonts w:ascii="Arial" w:cs="Arial" w:eastAsia="Arial" w:hAnsi="Arial"/>
                <w:sz w:val="18"/>
                <w:szCs w:val="18"/>
                <w:color w:val="auto"/>
              </w:rPr>
              <w:t>Short-term borrowings and current maturities of long-term debt</w:t>
            </w:r>
          </w:p>
        </w:tc>
        <w:tc>
          <w:tcPr>
            <w:tcW w:w="11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5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47.0</w:t>
            </w:r>
          </w:p>
        </w:tc>
        <w:tc>
          <w:tcPr>
            <w:tcW w:w="2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5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50.1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80" w:type="dxa"/>
            <w:vAlign w:val="bottom"/>
          </w:tcPr>
          <w:p>
            <w:pPr>
              <w:ind w:left="360"/>
              <w:spacing w:after="0"/>
              <w:rPr>
                <w:sz w:val="20"/>
                <w:szCs w:val="20"/>
                <w:color w:val="auto"/>
              </w:rPr>
            </w:pPr>
            <w:r>
              <w:rPr>
                <w:rFonts w:ascii="Arial" w:cs="Arial" w:eastAsia="Arial" w:hAnsi="Arial"/>
                <w:sz w:val="18"/>
                <w:szCs w:val="18"/>
                <w:color w:val="auto"/>
              </w:rPr>
              <w:t>Total current liabilities</w:t>
            </w: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4,111.3</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4,175.9</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668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680" w:type="dxa"/>
            <w:vAlign w:val="bottom"/>
          </w:tcPr>
          <w:p>
            <w:pPr>
              <w:spacing w:after="0"/>
              <w:rPr>
                <w:sz w:val="20"/>
                <w:szCs w:val="20"/>
                <w:color w:val="auto"/>
              </w:rPr>
            </w:pPr>
            <w:r>
              <w:rPr>
                <w:rFonts w:ascii="Arial" w:cs="Arial" w:eastAsia="Arial" w:hAnsi="Arial"/>
                <w:sz w:val="18"/>
                <w:szCs w:val="18"/>
                <w:b w:val="1"/>
                <w:bCs w:val="1"/>
                <w:color w:val="auto"/>
              </w:rPr>
              <w:t>Other Liabilities:</w:t>
            </w: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80" w:type="dxa"/>
            <w:vAlign w:val="bottom"/>
            <w:shd w:val="clear" w:color="auto" w:fill="CFF0FC"/>
          </w:tcPr>
          <w:p>
            <w:pPr>
              <w:spacing w:after="0"/>
              <w:rPr>
                <w:sz w:val="20"/>
                <w:szCs w:val="20"/>
                <w:color w:val="auto"/>
              </w:rPr>
            </w:pPr>
            <w:r>
              <w:rPr>
                <w:rFonts w:ascii="Arial" w:cs="Arial" w:eastAsia="Arial" w:hAnsi="Arial"/>
                <w:sz w:val="18"/>
                <w:szCs w:val="18"/>
                <w:color w:val="auto"/>
              </w:rPr>
              <w:t>Long-term debt</w:t>
            </w:r>
          </w:p>
        </w:tc>
        <w:tc>
          <w:tcPr>
            <w:tcW w:w="1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983.2</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1,025.3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80" w:type="dxa"/>
            <w:vAlign w:val="bottom"/>
          </w:tcPr>
          <w:p>
            <w:pPr>
              <w:spacing w:after="0"/>
              <w:rPr>
                <w:sz w:val="20"/>
                <w:szCs w:val="20"/>
                <w:color w:val="auto"/>
              </w:rPr>
            </w:pPr>
            <w:r>
              <w:rPr>
                <w:rFonts w:ascii="Arial" w:cs="Arial" w:eastAsia="Arial" w:hAnsi="Arial"/>
                <w:sz w:val="18"/>
                <w:szCs w:val="18"/>
                <w:color w:val="auto"/>
              </w:rPr>
              <w:t>Long-term operating lease liability</w:t>
            </w: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314.1</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80" w:type="dxa"/>
            <w:vAlign w:val="bottom"/>
            <w:shd w:val="clear" w:color="auto" w:fill="CFF0FC"/>
          </w:tcPr>
          <w:p>
            <w:pPr>
              <w:spacing w:after="0"/>
              <w:rPr>
                <w:sz w:val="20"/>
                <w:szCs w:val="20"/>
                <w:color w:val="auto"/>
              </w:rPr>
            </w:pPr>
            <w:r>
              <w:rPr>
                <w:rFonts w:ascii="Arial" w:cs="Arial" w:eastAsia="Arial" w:hAnsi="Arial"/>
                <w:sz w:val="18"/>
                <w:szCs w:val="18"/>
                <w:color w:val="auto"/>
              </w:rPr>
              <w:t>Other long-term liabilities</w:t>
            </w:r>
          </w:p>
        </w:tc>
        <w:tc>
          <w:tcPr>
            <w:tcW w:w="11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5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628.5</w:t>
            </w:r>
          </w:p>
        </w:tc>
        <w:tc>
          <w:tcPr>
            <w:tcW w:w="2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5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620.1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80" w:type="dxa"/>
            <w:vAlign w:val="bottom"/>
          </w:tcPr>
          <w:p>
            <w:pPr>
              <w:ind w:left="360"/>
              <w:spacing w:after="0"/>
              <w:rPr>
                <w:sz w:val="20"/>
                <w:szCs w:val="20"/>
                <w:color w:val="auto"/>
              </w:rPr>
            </w:pPr>
            <w:r>
              <w:rPr>
                <w:rFonts w:ascii="Arial" w:cs="Arial" w:eastAsia="Arial" w:hAnsi="Arial"/>
                <w:sz w:val="18"/>
                <w:szCs w:val="18"/>
                <w:color w:val="auto"/>
              </w:rPr>
              <w:t>Total other liabilities</w:t>
            </w: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1,925.8</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1,645.4</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668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680" w:type="dxa"/>
            <w:vAlign w:val="bottom"/>
          </w:tcPr>
          <w:p>
            <w:pPr>
              <w:spacing w:after="0"/>
              <w:rPr>
                <w:sz w:val="20"/>
                <w:szCs w:val="20"/>
                <w:color w:val="auto"/>
              </w:rPr>
            </w:pPr>
            <w:r>
              <w:rPr>
                <w:rFonts w:ascii="Arial" w:cs="Arial" w:eastAsia="Arial" w:hAnsi="Arial"/>
                <w:sz w:val="18"/>
                <w:szCs w:val="18"/>
                <w:b w:val="1"/>
                <w:bCs w:val="1"/>
                <w:color w:val="auto"/>
              </w:rPr>
              <w:t>Shareholders’ Equity:</w:t>
            </w: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80" w:type="dxa"/>
            <w:vAlign w:val="bottom"/>
            <w:shd w:val="clear" w:color="auto" w:fill="CFF0FC"/>
          </w:tcPr>
          <w:p>
            <w:pPr>
              <w:spacing w:after="0"/>
              <w:rPr>
                <w:sz w:val="20"/>
                <w:szCs w:val="20"/>
                <w:color w:val="auto"/>
              </w:rPr>
            </w:pPr>
            <w:r>
              <w:rPr>
                <w:rFonts w:ascii="Arial" w:cs="Arial" w:eastAsia="Arial" w:hAnsi="Arial"/>
                <w:sz w:val="18"/>
                <w:szCs w:val="18"/>
                <w:color w:val="auto"/>
              </w:rPr>
              <w:t>ManpowerGroup shareholders' equity</w:t>
            </w:r>
          </w:p>
        </w:tc>
        <w:tc>
          <w:tcPr>
            <w:tcW w:w="1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80" w:type="dxa"/>
            <w:vAlign w:val="bottom"/>
          </w:tcPr>
          <w:p>
            <w:pPr>
              <w:ind w:left="120"/>
              <w:spacing w:after="0"/>
              <w:rPr>
                <w:sz w:val="20"/>
                <w:szCs w:val="20"/>
                <w:color w:val="auto"/>
              </w:rPr>
            </w:pPr>
            <w:r>
              <w:rPr>
                <w:rFonts w:ascii="Arial" w:cs="Arial" w:eastAsia="Arial" w:hAnsi="Arial"/>
                <w:sz w:val="18"/>
                <w:szCs w:val="18"/>
                <w:color w:val="auto"/>
              </w:rPr>
              <w:t>Preferred stock, $0.01 par value, authorized 25,000,000 shares, none issued</w:t>
            </w: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6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Common stock, $0.01 par value, authorized 125,000,000 shares, issued</w:t>
            </w:r>
          </w:p>
        </w:tc>
        <w:tc>
          <w:tcPr>
            <w:tcW w:w="1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117,177,349 and 116,795,899 shares, respectively</w:t>
            </w:r>
          </w:p>
        </w:tc>
        <w:tc>
          <w:tcPr>
            <w:tcW w:w="11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5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1.2</w:t>
            </w:r>
          </w:p>
        </w:tc>
        <w:tc>
          <w:tcPr>
            <w:tcW w:w="2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5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80" w:type="dxa"/>
            <w:vAlign w:val="bottom"/>
          </w:tcPr>
          <w:p>
            <w:pPr>
              <w:ind w:left="120"/>
              <w:spacing w:after="0"/>
              <w:rPr>
                <w:sz w:val="20"/>
                <w:szCs w:val="20"/>
                <w:color w:val="auto"/>
              </w:rPr>
            </w:pPr>
            <w:r>
              <w:rPr>
                <w:rFonts w:ascii="Arial" w:cs="Arial" w:eastAsia="Arial" w:hAnsi="Arial"/>
                <w:sz w:val="18"/>
                <w:szCs w:val="18"/>
                <w:color w:val="auto"/>
              </w:rPr>
              <w:t>Capital in excess of par value</w:t>
            </w: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3,361.0</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3,337.5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Retained earnings</w:t>
            </w:r>
          </w:p>
        </w:tc>
        <w:tc>
          <w:tcPr>
            <w:tcW w:w="1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3,419.4</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3,157.7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80" w:type="dxa"/>
            <w:vAlign w:val="bottom"/>
          </w:tcPr>
          <w:p>
            <w:pPr>
              <w:ind w:left="120"/>
              <w:spacing w:after="0"/>
              <w:rPr>
                <w:sz w:val="20"/>
                <w:szCs w:val="20"/>
                <w:color w:val="auto"/>
              </w:rPr>
            </w:pPr>
            <w:r>
              <w:rPr>
                <w:rFonts w:ascii="Arial" w:cs="Arial" w:eastAsia="Arial" w:hAnsi="Arial"/>
                <w:sz w:val="18"/>
                <w:szCs w:val="18"/>
                <w:color w:val="auto"/>
              </w:rPr>
              <w:t>Accumulated other comprehensive loss</w:t>
            </w: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(452.5)</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(399.8)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Treasury stock at cost, 57,939,712 and 56,044,485 shares, respectively</w:t>
            </w:r>
          </w:p>
        </w:tc>
        <w:tc>
          <w:tcPr>
            <w:tcW w:w="11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(3,631.0)</w:t>
            </w:r>
          </w:p>
        </w:tc>
        <w:tc>
          <w:tcPr>
            <w:tcW w:w="2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(3,471.7)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80" w:type="dxa"/>
            <w:vAlign w:val="bottom"/>
            <w:tcBorders>
              <w:bottom w:val="single" w:sz="8" w:color="CFF0FC"/>
            </w:tcBorders>
          </w:tcPr>
          <w:p>
            <w:pPr>
              <w:ind w:left="360"/>
              <w:spacing w:after="0"/>
              <w:rPr>
                <w:sz w:val="20"/>
                <w:szCs w:val="20"/>
                <w:color w:val="auto"/>
              </w:rPr>
            </w:pPr>
            <w:r>
              <w:rPr>
                <w:rFonts w:ascii="Arial" w:cs="Arial" w:eastAsia="Arial" w:hAnsi="Arial"/>
                <w:sz w:val="18"/>
                <w:szCs w:val="18"/>
                <w:color w:val="auto"/>
              </w:rPr>
              <w:t>Total ManpowerGroup shareholders’ equity</w:t>
            </w:r>
          </w:p>
        </w:tc>
        <w:tc>
          <w:tcPr>
            <w:tcW w:w="11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2,698.1</w:t>
            </w:r>
          </w:p>
        </w:tc>
        <w:tc>
          <w:tcPr>
            <w:tcW w:w="2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2,624.9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Noncontrolling interests</w:t>
            </w:r>
          </w:p>
        </w:tc>
        <w:tc>
          <w:tcPr>
            <w:tcW w:w="11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5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18.0</w:t>
            </w:r>
          </w:p>
        </w:tc>
        <w:tc>
          <w:tcPr>
            <w:tcW w:w="2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5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73.6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80" w:type="dxa"/>
            <w:vAlign w:val="bottom"/>
            <w:tcBorders>
              <w:bottom w:val="single" w:sz="8" w:color="CFF0FC"/>
            </w:tcBorders>
          </w:tcPr>
          <w:p>
            <w:pPr>
              <w:ind w:left="360"/>
              <w:spacing w:after="0"/>
              <w:rPr>
                <w:sz w:val="20"/>
                <w:szCs w:val="20"/>
                <w:color w:val="auto"/>
              </w:rPr>
            </w:pPr>
            <w:r>
              <w:rPr>
                <w:rFonts w:ascii="Arial" w:cs="Arial" w:eastAsia="Arial" w:hAnsi="Arial"/>
                <w:sz w:val="18"/>
                <w:szCs w:val="18"/>
                <w:color w:val="auto"/>
              </w:rPr>
              <w:t>Total shareholders’ equity</w:t>
            </w:r>
          </w:p>
        </w:tc>
        <w:tc>
          <w:tcPr>
            <w:tcW w:w="11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2,716.1</w:t>
            </w:r>
          </w:p>
        </w:tc>
        <w:tc>
          <w:tcPr>
            <w:tcW w:w="2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2,698.5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80" w:type="dxa"/>
            <w:vAlign w:val="bottom"/>
            <w:tcBorders>
              <w:bottom w:val="single" w:sz="8" w:color="CFF0FC"/>
            </w:tcBorders>
            <w:shd w:val="clear" w:color="auto" w:fill="CFF0FC"/>
          </w:tcPr>
          <w:p>
            <w:pPr>
              <w:ind w:left="600"/>
              <w:spacing w:after="0"/>
              <w:rPr>
                <w:sz w:val="20"/>
                <w:szCs w:val="20"/>
                <w:color w:val="auto"/>
              </w:rPr>
            </w:pPr>
            <w:r>
              <w:rPr>
                <w:rFonts w:ascii="Arial" w:cs="Arial" w:eastAsia="Arial" w:hAnsi="Arial"/>
                <w:sz w:val="18"/>
                <w:szCs w:val="18"/>
                <w:color w:val="auto"/>
              </w:rPr>
              <w:t>Total liabilities and shareholders’ equity</w:t>
            </w:r>
          </w:p>
        </w:tc>
        <w:tc>
          <w:tcPr>
            <w:tcW w:w="11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8,753.2</w:t>
            </w:r>
          </w:p>
        </w:tc>
        <w:tc>
          <w:tcPr>
            <w:tcW w:w="2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5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8,519.8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7160" w:type="dxa"/>
            <w:vAlign w:val="bottom"/>
            <w:gridSpan w:val="3"/>
          </w:tcPr>
          <w:p>
            <w:pPr>
              <w:jc w:val="center"/>
              <w:ind w:left="4190"/>
              <w:spacing w:after="0"/>
              <w:rPr>
                <w:sz w:val="20"/>
                <w:szCs w:val="20"/>
                <w:color w:val="auto"/>
              </w:rPr>
            </w:pPr>
            <w:r>
              <w:rPr>
                <w:rFonts w:ascii="Arial" w:cs="Arial" w:eastAsia="Arial" w:hAnsi="Arial"/>
                <w:sz w:val="18"/>
                <w:szCs w:val="18"/>
                <w:b w:val="1"/>
                <w:bCs w:val="1"/>
                <w:color w:val="auto"/>
                <w:w w:val="93"/>
              </w:rPr>
              <w:t>ManpowerGroup Inc.</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3"/>
        </w:trPr>
        <w:tc>
          <w:tcPr>
            <w:tcW w:w="8800" w:type="dxa"/>
            <w:vAlign w:val="bottom"/>
            <w:gridSpan w:val="7"/>
          </w:tcPr>
          <w:p>
            <w:pPr>
              <w:jc w:val="center"/>
              <w:ind w:left="2530"/>
              <w:spacing w:after="0"/>
              <w:rPr>
                <w:sz w:val="20"/>
                <w:szCs w:val="20"/>
                <w:color w:val="auto"/>
              </w:rPr>
            </w:pPr>
            <w:r>
              <w:rPr>
                <w:rFonts w:ascii="Arial" w:cs="Arial" w:eastAsia="Arial" w:hAnsi="Arial"/>
                <w:sz w:val="18"/>
                <w:szCs w:val="18"/>
                <w:b w:val="1"/>
                <w:bCs w:val="1"/>
                <w:color w:val="auto"/>
                <w:w w:val="89"/>
              </w:rPr>
              <w:t>Consolidated Statements of Operations (Unaudited)</w:t>
            </w: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160" w:type="dxa"/>
            <w:vAlign w:val="bottom"/>
            <w:gridSpan w:val="3"/>
          </w:tcPr>
          <w:p>
            <w:pPr>
              <w:jc w:val="center"/>
              <w:ind w:left="4170"/>
              <w:spacing w:after="0"/>
              <w:rPr>
                <w:sz w:val="20"/>
                <w:szCs w:val="20"/>
                <w:color w:val="auto"/>
              </w:rPr>
            </w:pPr>
            <w:r>
              <w:rPr>
                <w:rFonts w:ascii="Arial" w:cs="Arial" w:eastAsia="Arial" w:hAnsi="Arial"/>
                <w:sz w:val="18"/>
                <w:szCs w:val="18"/>
                <w:b w:val="1"/>
                <w:bCs w:val="1"/>
                <w:color w:val="auto"/>
                <w:w w:val="89"/>
              </w:rPr>
              <w:t>(in millions, except per share data)</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0"/>
        </w:trPr>
        <w:tc>
          <w:tcPr>
            <w:tcW w:w="5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20" w:type="dxa"/>
            <w:vAlign w:val="bottom"/>
            <w:gridSpan w:val="5"/>
          </w:tcPr>
          <w:p>
            <w:pPr>
              <w:jc w:val="center"/>
              <w:ind w:right="620"/>
              <w:spacing w:after="0"/>
              <w:rPr>
                <w:sz w:val="20"/>
                <w:szCs w:val="20"/>
                <w:color w:val="auto"/>
              </w:rPr>
            </w:pPr>
            <w:r>
              <w:rPr>
                <w:rFonts w:ascii="Arial" w:cs="Arial" w:eastAsia="Arial" w:hAnsi="Arial"/>
                <w:sz w:val="18"/>
                <w:szCs w:val="18"/>
                <w:b w:val="1"/>
                <w:bCs w:val="1"/>
                <w:color w:val="auto"/>
                <w:w w:val="92"/>
              </w:rPr>
              <w:t>Three Months Ended</w:t>
            </w:r>
          </w:p>
        </w:tc>
        <w:tc>
          <w:tcPr>
            <w:tcW w:w="240" w:type="dxa"/>
            <w:vAlign w:val="bottom"/>
          </w:tcPr>
          <w:p>
            <w:pPr>
              <w:spacing w:after="0"/>
              <w:rPr>
                <w:sz w:val="24"/>
                <w:szCs w:val="24"/>
                <w:color w:val="auto"/>
              </w:rPr>
            </w:pPr>
          </w:p>
        </w:tc>
        <w:tc>
          <w:tcPr>
            <w:tcW w:w="2380" w:type="dxa"/>
            <w:vAlign w:val="bottom"/>
            <w:gridSpan w:val="4"/>
          </w:tcPr>
          <w:p>
            <w:pPr>
              <w:jc w:val="right"/>
              <w:ind w:right="51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34"/>
        </w:trPr>
        <w:tc>
          <w:tcPr>
            <w:tcW w:w="5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20" w:type="dxa"/>
            <w:vAlign w:val="bottom"/>
            <w:gridSpan w:val="5"/>
          </w:tcPr>
          <w:p>
            <w:pPr>
              <w:jc w:val="center"/>
              <w:ind w:right="620"/>
              <w:spacing w:after="0"/>
              <w:rPr>
                <w:sz w:val="20"/>
                <w:szCs w:val="20"/>
                <w:color w:val="auto"/>
              </w:rPr>
            </w:pPr>
            <w:r>
              <w:rPr>
                <w:rFonts w:ascii="Arial" w:cs="Arial" w:eastAsia="Arial" w:hAnsi="Arial"/>
                <w:sz w:val="18"/>
                <w:szCs w:val="18"/>
                <w:b w:val="1"/>
                <w:bCs w:val="1"/>
                <w:color w:val="auto"/>
                <w:w w:val="87"/>
              </w:rPr>
              <w:t>September 30,</w:t>
            </w:r>
          </w:p>
        </w:tc>
        <w:tc>
          <w:tcPr>
            <w:tcW w:w="240" w:type="dxa"/>
            <w:vAlign w:val="bottom"/>
          </w:tcPr>
          <w:p>
            <w:pPr>
              <w:spacing w:after="0"/>
              <w:rPr>
                <w:sz w:val="20"/>
                <w:szCs w:val="20"/>
                <w:color w:val="auto"/>
              </w:rPr>
            </w:pPr>
          </w:p>
        </w:tc>
        <w:tc>
          <w:tcPr>
            <w:tcW w:w="2380" w:type="dxa"/>
            <w:vAlign w:val="bottom"/>
            <w:gridSpan w:val="4"/>
          </w:tcPr>
          <w:p>
            <w:pPr>
              <w:jc w:val="right"/>
              <w:ind w:right="73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23"/>
        </w:trPr>
        <w:tc>
          <w:tcPr>
            <w:tcW w:w="596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140" w:type="dxa"/>
            <w:vAlign w:val="bottom"/>
            <w:tcBorders>
              <w:top w:val="single" w:sz="8" w:color="auto"/>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2018</w:t>
            </w:r>
          </w:p>
        </w:tc>
        <w:tc>
          <w:tcPr>
            <w:tcW w:w="28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140" w:type="dxa"/>
            <w:vAlign w:val="bottom"/>
            <w:tcBorders>
              <w:top w:val="single" w:sz="8" w:color="auto"/>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23"/>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Revenues from services</w:t>
            </w: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5,248.9</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5,418.7</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15,666.9</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16,598.0</w:t>
            </w:r>
          </w:p>
        </w:tc>
        <w:tc>
          <w:tcPr>
            <w:tcW w:w="0" w:type="dxa"/>
            <w:vAlign w:val="bottom"/>
          </w:tcPr>
          <w:p>
            <w:pPr>
              <w:spacing w:after="0"/>
              <w:rPr>
                <w:sz w:val="1"/>
                <w:szCs w:val="1"/>
                <w:color w:val="auto"/>
              </w:rPr>
            </w:pPr>
          </w:p>
        </w:tc>
      </w:tr>
      <w:tr>
        <w:trPr>
          <w:trHeight w:val="230"/>
        </w:trPr>
        <w:tc>
          <w:tcPr>
            <w:tcW w:w="59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services</w:t>
            </w: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4,408.6</w:t>
            </w:r>
          </w:p>
        </w:tc>
        <w:tc>
          <w:tcPr>
            <w:tcW w:w="1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4,528.1</w:t>
            </w:r>
          </w:p>
        </w:tc>
        <w:tc>
          <w:tcPr>
            <w:tcW w:w="2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13,151.4</w:t>
            </w:r>
          </w:p>
        </w:tc>
        <w:tc>
          <w:tcPr>
            <w:tcW w:w="1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13,899.3</w:t>
            </w:r>
          </w:p>
        </w:tc>
        <w:tc>
          <w:tcPr>
            <w:tcW w:w="0" w:type="dxa"/>
            <w:vAlign w:val="bottom"/>
          </w:tcPr>
          <w:p>
            <w:pPr>
              <w:spacing w:after="0"/>
              <w:rPr>
                <w:sz w:val="1"/>
                <w:szCs w:val="1"/>
                <w:color w:val="auto"/>
              </w:rPr>
            </w:pPr>
          </w:p>
        </w:tc>
      </w:tr>
      <w:tr>
        <w:trPr>
          <w:trHeight w:val="223"/>
        </w:trPr>
        <w:tc>
          <w:tcPr>
            <w:tcW w:w="5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Gross profit</w:t>
            </w: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840.3</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890.6</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2,515.5</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2,698.7</w:t>
            </w:r>
          </w:p>
        </w:tc>
        <w:tc>
          <w:tcPr>
            <w:tcW w:w="0" w:type="dxa"/>
            <w:vAlign w:val="bottom"/>
          </w:tcPr>
          <w:p>
            <w:pPr>
              <w:spacing w:after="0"/>
              <w:rPr>
                <w:sz w:val="1"/>
                <w:szCs w:val="1"/>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w w:val="99"/>
              </w:rPr>
              <w:t>Selling and administrative expenses, excluding goodwill impairment charge</w:t>
            </w:r>
          </w:p>
        </w:tc>
        <w:tc>
          <w:tcPr>
            <w:tcW w:w="22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623.3</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673.9</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1,998.2</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2,119.9</w:t>
            </w: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Goodwill impairment charge</w:t>
            </w:r>
          </w:p>
        </w:tc>
        <w:tc>
          <w:tcPr>
            <w:tcW w:w="22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64.0</w:t>
            </w:r>
          </w:p>
        </w:tc>
        <w:tc>
          <w:tcPr>
            <w:tcW w:w="1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9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Selling and administrative expenses</w:t>
            </w: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623.3</w:t>
            </w:r>
          </w:p>
        </w:tc>
        <w:tc>
          <w:tcPr>
            <w:tcW w:w="1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673.9</w:t>
            </w:r>
          </w:p>
        </w:tc>
        <w:tc>
          <w:tcPr>
            <w:tcW w:w="2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2,062.2</w:t>
            </w:r>
          </w:p>
        </w:tc>
        <w:tc>
          <w:tcPr>
            <w:tcW w:w="1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2,119.9</w:t>
            </w:r>
          </w:p>
        </w:tc>
        <w:tc>
          <w:tcPr>
            <w:tcW w:w="0" w:type="dxa"/>
            <w:vAlign w:val="bottom"/>
          </w:tcPr>
          <w:p>
            <w:pPr>
              <w:spacing w:after="0"/>
              <w:rPr>
                <w:sz w:val="1"/>
                <w:szCs w:val="1"/>
                <w:color w:val="auto"/>
              </w:rPr>
            </w:pPr>
          </w:p>
        </w:tc>
      </w:tr>
      <w:tr>
        <w:trPr>
          <w:trHeight w:val="223"/>
        </w:trPr>
        <w:tc>
          <w:tcPr>
            <w:tcW w:w="5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Operating profit</w:t>
            </w: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217.0</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216.7</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453.3</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578.8</w:t>
            </w:r>
          </w:p>
        </w:tc>
        <w:tc>
          <w:tcPr>
            <w:tcW w:w="0" w:type="dxa"/>
            <w:vAlign w:val="bottom"/>
          </w:tcPr>
          <w:p>
            <w:pPr>
              <w:spacing w:after="0"/>
              <w:rPr>
                <w:sz w:val="1"/>
                <w:szCs w:val="1"/>
                <w:color w:val="auto"/>
              </w:rPr>
            </w:pPr>
          </w:p>
        </w:tc>
      </w:tr>
      <w:tr>
        <w:trPr>
          <w:trHeight w:val="230"/>
        </w:trPr>
        <w:tc>
          <w:tcPr>
            <w:tcW w:w="59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Interest and other expenses (income), net</w:t>
            </w: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12.2</w:t>
            </w:r>
          </w:p>
        </w:tc>
        <w:tc>
          <w:tcPr>
            <w:tcW w:w="1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11.8</w:t>
            </w:r>
          </w:p>
        </w:tc>
        <w:tc>
          <w:tcPr>
            <w:tcW w:w="2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(46.1)</w:t>
            </w:r>
          </w:p>
        </w:tc>
        <w:tc>
          <w:tcPr>
            <w:tcW w:w="1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38.4</w:t>
            </w:r>
          </w:p>
        </w:tc>
        <w:tc>
          <w:tcPr>
            <w:tcW w:w="0" w:type="dxa"/>
            <w:vAlign w:val="bottom"/>
          </w:tcPr>
          <w:p>
            <w:pPr>
              <w:spacing w:after="0"/>
              <w:rPr>
                <w:sz w:val="1"/>
                <w:szCs w:val="1"/>
                <w:color w:val="auto"/>
              </w:rPr>
            </w:pPr>
          </w:p>
        </w:tc>
      </w:tr>
      <w:tr>
        <w:trPr>
          <w:trHeight w:val="223"/>
        </w:trPr>
        <w:tc>
          <w:tcPr>
            <w:tcW w:w="5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Earnings before income taxes</w:t>
            </w: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204.8</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204.9</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499.4</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540.4</w:t>
            </w:r>
          </w:p>
        </w:tc>
        <w:tc>
          <w:tcPr>
            <w:tcW w:w="0" w:type="dxa"/>
            <w:vAlign w:val="bottom"/>
          </w:tcPr>
          <w:p>
            <w:pPr>
              <w:spacing w:after="0"/>
              <w:rPr>
                <w:sz w:val="1"/>
                <w:szCs w:val="1"/>
                <w:color w:val="auto"/>
              </w:rPr>
            </w:pPr>
          </w:p>
        </w:tc>
      </w:tr>
      <w:tr>
        <w:trPr>
          <w:trHeight w:val="230"/>
        </w:trPr>
        <w:tc>
          <w:tcPr>
            <w:tcW w:w="59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Provision for income taxes</w:t>
            </w: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58.7</w:t>
            </w:r>
          </w:p>
        </w:tc>
        <w:tc>
          <w:tcPr>
            <w:tcW w:w="1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46.9</w:t>
            </w:r>
          </w:p>
        </w:tc>
        <w:tc>
          <w:tcPr>
            <w:tcW w:w="2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172.5</w:t>
            </w:r>
          </w:p>
        </w:tc>
        <w:tc>
          <w:tcPr>
            <w:tcW w:w="1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142.0</w:t>
            </w:r>
          </w:p>
        </w:tc>
        <w:tc>
          <w:tcPr>
            <w:tcW w:w="0" w:type="dxa"/>
            <w:vAlign w:val="bottom"/>
          </w:tcPr>
          <w:p>
            <w:pPr>
              <w:spacing w:after="0"/>
              <w:rPr>
                <w:sz w:val="1"/>
                <w:szCs w:val="1"/>
                <w:color w:val="auto"/>
              </w:rPr>
            </w:pPr>
          </w:p>
        </w:tc>
      </w:tr>
      <w:tr>
        <w:trPr>
          <w:trHeight w:val="223"/>
        </w:trPr>
        <w:tc>
          <w:tcPr>
            <w:tcW w:w="596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Net earnings</w:t>
            </w: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146.1</w:t>
            </w:r>
          </w:p>
        </w:tc>
        <w:tc>
          <w:tcPr>
            <w:tcW w:w="1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158.0</w:t>
            </w:r>
          </w:p>
        </w:tc>
        <w:tc>
          <w:tcPr>
            <w:tcW w:w="2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326.9</w:t>
            </w:r>
          </w:p>
        </w:tc>
        <w:tc>
          <w:tcPr>
            <w:tcW w:w="1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398.4</w:t>
            </w:r>
          </w:p>
        </w:tc>
        <w:tc>
          <w:tcPr>
            <w:tcW w:w="0" w:type="dxa"/>
            <w:vAlign w:val="bottom"/>
          </w:tcPr>
          <w:p>
            <w:pPr>
              <w:spacing w:after="0"/>
              <w:rPr>
                <w:sz w:val="1"/>
                <w:szCs w:val="1"/>
                <w:color w:val="auto"/>
              </w:rPr>
            </w:pPr>
          </w:p>
        </w:tc>
      </w:tr>
      <w:tr>
        <w:trPr>
          <w:trHeight w:val="20"/>
        </w:trPr>
        <w:tc>
          <w:tcPr>
            <w:tcW w:w="5960" w:type="dxa"/>
            <w:vAlign w:val="bottom"/>
            <w:vMerge w:val="restart"/>
          </w:tcPr>
          <w:p>
            <w:pPr>
              <w:spacing w:after="0"/>
              <w:rPr>
                <w:sz w:val="20"/>
                <w:szCs w:val="20"/>
                <w:color w:val="auto"/>
              </w:rPr>
            </w:pPr>
            <w:r>
              <w:rPr>
                <w:rFonts w:ascii="Arial" w:cs="Arial" w:eastAsia="Arial" w:hAnsi="Arial"/>
                <w:sz w:val="18"/>
                <w:szCs w:val="18"/>
                <w:color w:val="auto"/>
              </w:rPr>
              <w:t>Net earnings per share – basic</w:t>
            </w: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FF0FC"/>
            </w:tcBorders>
            <w:vMerge w:val="continue"/>
          </w:tcPr>
          <w:p>
            <w:pPr>
              <w:spacing w:after="0"/>
              <w:rPr>
                <w:sz w:val="21"/>
                <w:szCs w:val="21"/>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2.44</w:t>
            </w:r>
          </w:p>
        </w:tc>
        <w:tc>
          <w:tcPr>
            <w:tcW w:w="140" w:type="dxa"/>
            <w:vAlign w:val="bottom"/>
            <w:tcBorders>
              <w:bottom w:val="single" w:sz="8" w:color="CFF0FC"/>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2.45</w:t>
            </w:r>
          </w:p>
        </w:tc>
        <w:tc>
          <w:tcPr>
            <w:tcW w:w="280" w:type="dxa"/>
            <w:vAlign w:val="bottom"/>
            <w:tcBorders>
              <w:bottom w:val="single" w:sz="8" w:color="CFF0FC"/>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5.43</w:t>
            </w:r>
          </w:p>
        </w:tc>
        <w:tc>
          <w:tcPr>
            <w:tcW w:w="140" w:type="dxa"/>
            <w:vAlign w:val="bottom"/>
            <w:tcBorders>
              <w:bottom w:val="single" w:sz="8" w:color="CFF0FC"/>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6.08</w:t>
            </w:r>
          </w:p>
        </w:tc>
        <w:tc>
          <w:tcPr>
            <w:tcW w:w="0" w:type="dxa"/>
            <w:vAlign w:val="bottom"/>
          </w:tcPr>
          <w:p>
            <w:pPr>
              <w:spacing w:after="0"/>
              <w:rPr>
                <w:sz w:val="1"/>
                <w:szCs w:val="1"/>
                <w:color w:val="auto"/>
              </w:rPr>
            </w:pPr>
          </w:p>
        </w:tc>
      </w:tr>
      <w:tr>
        <w:trPr>
          <w:trHeight w:val="210"/>
        </w:trPr>
        <w:tc>
          <w:tcPr>
            <w:tcW w:w="59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earnings per share – diluted</w:t>
            </w: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2.42</w:t>
            </w:r>
          </w:p>
        </w:tc>
        <w:tc>
          <w:tcPr>
            <w:tcW w:w="1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2.43</w:t>
            </w:r>
          </w:p>
        </w:tc>
        <w:tc>
          <w:tcPr>
            <w:tcW w:w="2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5.40</w:t>
            </w:r>
          </w:p>
        </w:tc>
        <w:tc>
          <w:tcPr>
            <w:tcW w:w="1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6.03</w:t>
            </w:r>
          </w:p>
        </w:tc>
        <w:tc>
          <w:tcPr>
            <w:tcW w:w="0" w:type="dxa"/>
            <w:vAlign w:val="bottom"/>
          </w:tcPr>
          <w:p>
            <w:pPr>
              <w:spacing w:after="0"/>
              <w:rPr>
                <w:sz w:val="1"/>
                <w:szCs w:val="1"/>
                <w:color w:val="auto"/>
              </w:rPr>
            </w:pPr>
          </w:p>
        </w:tc>
      </w:tr>
      <w:tr>
        <w:trPr>
          <w:trHeight w:val="20"/>
        </w:trPr>
        <w:tc>
          <w:tcPr>
            <w:tcW w:w="5960" w:type="dxa"/>
            <w:vAlign w:val="bottom"/>
            <w:vMerge w:val="restart"/>
          </w:tcPr>
          <w:p>
            <w:pPr>
              <w:spacing w:after="0"/>
              <w:rPr>
                <w:sz w:val="20"/>
                <w:szCs w:val="20"/>
                <w:color w:val="auto"/>
              </w:rPr>
            </w:pPr>
            <w:r>
              <w:rPr>
                <w:rFonts w:ascii="Arial" w:cs="Arial" w:eastAsia="Arial" w:hAnsi="Arial"/>
                <w:sz w:val="18"/>
                <w:szCs w:val="18"/>
                <w:color w:val="auto"/>
              </w:rPr>
              <w:t>Weighted average shares – basic</w:t>
            </w: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FF0FC"/>
            </w:tcBorders>
            <w:vMerge w:val="continue"/>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59.9</w:t>
            </w:r>
          </w:p>
        </w:tc>
        <w:tc>
          <w:tcPr>
            <w:tcW w:w="140" w:type="dxa"/>
            <w:vAlign w:val="bottom"/>
            <w:tcBorders>
              <w:bottom w:val="single" w:sz="8" w:color="CFF0FC"/>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64.5</w:t>
            </w:r>
          </w:p>
        </w:tc>
        <w:tc>
          <w:tcPr>
            <w:tcW w:w="280" w:type="dxa"/>
            <w:vAlign w:val="bottom"/>
            <w:tcBorders>
              <w:bottom w:val="single" w:sz="8" w:color="CFF0FC"/>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60.2</w:t>
            </w:r>
          </w:p>
        </w:tc>
        <w:tc>
          <w:tcPr>
            <w:tcW w:w="140" w:type="dxa"/>
            <w:vAlign w:val="bottom"/>
            <w:tcBorders>
              <w:bottom w:val="single" w:sz="8" w:color="CFF0FC"/>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65.6</w:t>
            </w:r>
          </w:p>
        </w:tc>
        <w:tc>
          <w:tcPr>
            <w:tcW w:w="0" w:type="dxa"/>
            <w:vAlign w:val="bottom"/>
          </w:tcPr>
          <w:p>
            <w:pPr>
              <w:spacing w:after="0"/>
              <w:rPr>
                <w:sz w:val="1"/>
                <w:szCs w:val="1"/>
                <w:color w:val="auto"/>
              </w:rPr>
            </w:pPr>
          </w:p>
        </w:tc>
      </w:tr>
      <w:tr>
        <w:trPr>
          <w:trHeight w:val="210"/>
        </w:trPr>
        <w:tc>
          <w:tcPr>
            <w:tcW w:w="59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Weighted average shares – diluted</w:t>
            </w:r>
          </w:p>
        </w:tc>
        <w:tc>
          <w:tcPr>
            <w:tcW w:w="22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60.3</w:t>
            </w:r>
          </w:p>
        </w:tc>
        <w:tc>
          <w:tcPr>
            <w:tcW w:w="1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65.0</w:t>
            </w:r>
          </w:p>
        </w:tc>
        <w:tc>
          <w:tcPr>
            <w:tcW w:w="2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60.6</w:t>
            </w:r>
          </w:p>
        </w:tc>
        <w:tc>
          <w:tcPr>
            <w:tcW w:w="1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66.1</w:t>
            </w: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20" w:type="dxa"/>
            <w:vAlign w:val="bottom"/>
            <w:gridSpan w:val="5"/>
          </w:tcPr>
          <w:p>
            <w:pPr>
              <w:jc w:val="center"/>
              <w:ind w:left="4030"/>
              <w:spacing w:after="0"/>
              <w:rPr>
                <w:sz w:val="20"/>
                <w:szCs w:val="20"/>
                <w:color w:val="auto"/>
              </w:rPr>
            </w:pPr>
            <w:r>
              <w:rPr>
                <w:rFonts w:ascii="Arial" w:cs="Arial" w:eastAsia="Arial" w:hAnsi="Arial"/>
                <w:sz w:val="18"/>
                <w:szCs w:val="18"/>
                <w:b w:val="1"/>
                <w:bCs w:val="1"/>
                <w:color w:val="auto"/>
                <w:w w:val="93"/>
              </w:rPr>
              <w:t>ManpowerGroup Inc.</w:t>
            </w: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387"/>
        </w:trPr>
        <w:tc>
          <w:tcPr>
            <w:tcW w:w="8720" w:type="dxa"/>
            <w:vAlign w:val="bottom"/>
            <w:gridSpan w:val="8"/>
          </w:tcPr>
          <w:p>
            <w:pPr>
              <w:jc w:val="center"/>
              <w:ind w:left="2610"/>
              <w:spacing w:after="0"/>
              <w:rPr>
                <w:sz w:val="20"/>
                <w:szCs w:val="20"/>
                <w:color w:val="auto"/>
              </w:rPr>
            </w:pPr>
            <w:r>
              <w:rPr>
                <w:rFonts w:ascii="Arial" w:cs="Arial" w:eastAsia="Arial" w:hAnsi="Arial"/>
                <w:sz w:val="18"/>
                <w:szCs w:val="18"/>
                <w:b w:val="1"/>
                <w:bCs w:val="1"/>
                <w:color w:val="auto"/>
                <w:w w:val="89"/>
              </w:rPr>
              <w:t>Consolidated Statements of Comprehensive Income (Unaudited)</w:t>
            </w: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34"/>
        </w:trPr>
        <w:tc>
          <w:tcPr>
            <w:tcW w:w="6240" w:type="dxa"/>
            <w:vAlign w:val="bottom"/>
            <w:gridSpan w:val="3"/>
          </w:tcPr>
          <w:p>
            <w:pPr>
              <w:jc w:val="center"/>
              <w:ind w:left="5110"/>
              <w:spacing w:after="0"/>
              <w:rPr>
                <w:sz w:val="20"/>
                <w:szCs w:val="20"/>
                <w:color w:val="auto"/>
              </w:rPr>
            </w:pPr>
            <w:r>
              <w:rPr>
                <w:rFonts w:ascii="Arial" w:cs="Arial" w:eastAsia="Arial" w:hAnsi="Arial"/>
                <w:sz w:val="18"/>
                <w:szCs w:val="18"/>
                <w:b w:val="1"/>
                <w:bCs w:val="1"/>
                <w:color w:val="auto"/>
                <w:w w:val="91"/>
              </w:rPr>
              <w:t>(in millions)</w:t>
            </w: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360"/>
        </w:trPr>
        <w:tc>
          <w:tcPr>
            <w:tcW w:w="5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80" w:type="dxa"/>
            <w:vAlign w:val="bottom"/>
            <w:gridSpan w:val="5"/>
          </w:tcPr>
          <w:p>
            <w:pPr>
              <w:jc w:val="center"/>
              <w:ind w:right="600"/>
              <w:spacing w:after="0"/>
              <w:rPr>
                <w:sz w:val="20"/>
                <w:szCs w:val="20"/>
                <w:color w:val="auto"/>
              </w:rPr>
            </w:pPr>
            <w:r>
              <w:rPr>
                <w:rFonts w:ascii="Arial" w:cs="Arial" w:eastAsia="Arial" w:hAnsi="Arial"/>
                <w:sz w:val="18"/>
                <w:szCs w:val="18"/>
                <w:b w:val="1"/>
                <w:bCs w:val="1"/>
                <w:color w:val="auto"/>
                <w:w w:val="92"/>
              </w:rPr>
              <w:t>Three Months Ended</w:t>
            </w:r>
          </w:p>
        </w:tc>
        <w:tc>
          <w:tcPr>
            <w:tcW w:w="240" w:type="dxa"/>
            <w:vAlign w:val="bottom"/>
          </w:tcPr>
          <w:p>
            <w:pPr>
              <w:spacing w:after="0"/>
              <w:rPr>
                <w:sz w:val="24"/>
                <w:szCs w:val="24"/>
                <w:color w:val="auto"/>
              </w:rPr>
            </w:pPr>
          </w:p>
        </w:tc>
        <w:tc>
          <w:tcPr>
            <w:tcW w:w="2460" w:type="dxa"/>
            <w:vAlign w:val="bottom"/>
            <w:gridSpan w:val="5"/>
          </w:tcPr>
          <w:p>
            <w:pPr>
              <w:jc w:val="right"/>
              <w:ind w:right="55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5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gridSpan w:val="5"/>
          </w:tcPr>
          <w:p>
            <w:pPr>
              <w:jc w:val="center"/>
              <w:ind w:right="580"/>
              <w:spacing w:after="0"/>
              <w:rPr>
                <w:sz w:val="20"/>
                <w:szCs w:val="20"/>
                <w:color w:val="auto"/>
              </w:rPr>
            </w:pPr>
            <w:r>
              <w:rPr>
                <w:rFonts w:ascii="Arial" w:cs="Arial" w:eastAsia="Arial" w:hAnsi="Arial"/>
                <w:sz w:val="18"/>
                <w:szCs w:val="18"/>
                <w:b w:val="1"/>
                <w:bCs w:val="1"/>
                <w:color w:val="auto"/>
                <w:w w:val="89"/>
              </w:rPr>
              <w:t>September 30,</w:t>
            </w:r>
          </w:p>
        </w:tc>
        <w:tc>
          <w:tcPr>
            <w:tcW w:w="24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5"/>
          </w:tcPr>
          <w:p>
            <w:pPr>
              <w:jc w:val="right"/>
              <w:ind w:right="770"/>
              <w:spacing w:after="0"/>
              <w:rPr>
                <w:sz w:val="20"/>
                <w:szCs w:val="20"/>
                <w:color w:val="auto"/>
              </w:rPr>
            </w:pPr>
            <w:r>
              <w:rPr>
                <w:rFonts w:ascii="Arial" w:cs="Arial" w:eastAsia="Arial" w:hAnsi="Arial"/>
                <w:sz w:val="18"/>
                <w:szCs w:val="18"/>
                <w:b w:val="1"/>
                <w:bCs w:val="1"/>
                <w:color w:val="auto"/>
              </w:rPr>
              <w:t>September 30,</w:t>
            </w:r>
          </w:p>
        </w:tc>
      </w:tr>
      <w:tr>
        <w:trPr>
          <w:trHeight w:val="223"/>
        </w:trPr>
        <w:tc>
          <w:tcPr>
            <w:tcW w:w="580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w w:val="99"/>
              </w:rPr>
              <w:t>2019</w:t>
            </w:r>
          </w:p>
        </w:tc>
        <w:tc>
          <w:tcPr>
            <w:tcW w:w="1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2018</w:t>
            </w:r>
          </w:p>
        </w:tc>
        <w:tc>
          <w:tcPr>
            <w:tcW w:w="1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1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2018</w:t>
            </w:r>
          </w:p>
        </w:tc>
      </w:tr>
      <w:tr>
        <w:trPr>
          <w:trHeight w:val="223"/>
        </w:trPr>
        <w:tc>
          <w:tcPr>
            <w:tcW w:w="5800" w:type="dxa"/>
            <w:vAlign w:val="bottom"/>
            <w:shd w:val="clear" w:color="auto" w:fill="CFF0FC"/>
          </w:tcPr>
          <w:p>
            <w:pPr>
              <w:spacing w:after="0"/>
              <w:rPr>
                <w:sz w:val="20"/>
                <w:szCs w:val="20"/>
                <w:color w:val="auto"/>
              </w:rPr>
            </w:pPr>
            <w:r>
              <w:rPr>
                <w:rFonts w:ascii="Arial" w:cs="Arial" w:eastAsia="Arial" w:hAnsi="Arial"/>
                <w:sz w:val="18"/>
                <w:szCs w:val="18"/>
                <w:color w:val="auto"/>
              </w:rPr>
              <w:t>Net earnings</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146.1</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158.0</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326.9</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398.4</w:t>
            </w:r>
          </w:p>
        </w:tc>
      </w:tr>
      <w:tr>
        <w:trPr>
          <w:trHeight w:val="230"/>
        </w:trPr>
        <w:tc>
          <w:tcPr>
            <w:tcW w:w="580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58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Foreign currency translation adjustments</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(76.1)</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(73.8)</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(112.4)</w:t>
            </w:r>
          </w:p>
        </w:tc>
      </w:tr>
      <w:tr>
        <w:trPr>
          <w:trHeight w:val="215"/>
        </w:trPr>
        <w:tc>
          <w:tcPr>
            <w:tcW w:w="5800" w:type="dxa"/>
            <w:vAlign w:val="bottom"/>
          </w:tcPr>
          <w:p>
            <w:pPr>
              <w:ind w:left="260"/>
              <w:spacing w:after="0"/>
              <w:rPr>
                <w:sz w:val="20"/>
                <w:szCs w:val="20"/>
                <w:color w:val="auto"/>
              </w:rPr>
            </w:pPr>
            <w:r>
              <w:rPr>
                <w:rFonts w:ascii="Arial" w:cs="Arial" w:eastAsia="Arial" w:hAnsi="Arial"/>
                <w:sz w:val="18"/>
                <w:szCs w:val="18"/>
                <w:color w:val="auto"/>
                <w:w w:val="94"/>
              </w:rPr>
              <w:t>Translation adjustments on derivative instruments, net of income taxes of</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0"/>
        </w:trPr>
        <w:tc>
          <w:tcPr>
            <w:tcW w:w="5800" w:type="dxa"/>
            <w:vAlign w:val="bottom"/>
          </w:tcPr>
          <w:p>
            <w:pPr>
              <w:ind w:left="260"/>
              <w:spacing w:after="0"/>
              <w:rPr>
                <w:sz w:val="20"/>
                <w:szCs w:val="20"/>
                <w:color w:val="auto"/>
              </w:rPr>
            </w:pPr>
            <w:r>
              <w:rPr>
                <w:rFonts w:ascii="Arial" w:cs="Arial" w:eastAsia="Arial" w:hAnsi="Arial"/>
                <w:sz w:val="18"/>
                <w:szCs w:val="18"/>
                <w:color w:val="auto"/>
              </w:rPr>
              <w:t>$9.6, $1.7, $11.6 and $7.5, respectively</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36.9</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5.6</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43.2</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25.7</w:t>
            </w:r>
          </w:p>
        </w:tc>
      </w:tr>
      <w:tr>
        <w:trPr>
          <w:trHeight w:val="215"/>
        </w:trPr>
        <w:tc>
          <w:tcPr>
            <w:tcW w:w="580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7"/>
              </w:rPr>
              <w:t>Reclassification of currency translation adjustment to income related to</w:t>
            </w: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r>
      <w:tr>
        <w:trPr>
          <w:trHeight w:val="216"/>
        </w:trPr>
        <w:tc>
          <w:tcPr>
            <w:tcW w:w="580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9"/>
              </w:rPr>
              <w:t>disposition of Manpower Switzerland partially held equity interest (see</w:t>
            </w: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r>
      <w:tr>
        <w:trPr>
          <w:trHeight w:val="230"/>
        </w:trPr>
        <w:tc>
          <w:tcPr>
            <w:tcW w:w="58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Note 5)</w:t>
            </w:r>
          </w:p>
        </w:tc>
        <w:tc>
          <w:tcPr>
            <w:tcW w:w="10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9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(32.5)</w:t>
            </w:r>
          </w:p>
        </w:tc>
        <w:tc>
          <w:tcPr>
            <w:tcW w:w="14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r>
      <w:tr>
        <w:trPr>
          <w:trHeight w:val="215"/>
        </w:trPr>
        <w:tc>
          <w:tcPr>
            <w:tcW w:w="5800" w:type="dxa"/>
            <w:vAlign w:val="bottom"/>
          </w:tcPr>
          <w:p>
            <w:pPr>
              <w:ind w:left="260"/>
              <w:spacing w:after="0"/>
              <w:rPr>
                <w:sz w:val="20"/>
                <w:szCs w:val="20"/>
                <w:color w:val="auto"/>
              </w:rPr>
            </w:pPr>
            <w:r>
              <w:rPr>
                <w:rFonts w:ascii="Arial" w:cs="Arial" w:eastAsia="Arial" w:hAnsi="Arial"/>
                <w:sz w:val="18"/>
                <w:szCs w:val="18"/>
                <w:color w:val="auto"/>
                <w:w w:val="97"/>
              </w:rPr>
              <w:t>Reclassification of currency translation adjustment to income related to</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5800" w:type="dxa"/>
            <w:vAlign w:val="bottom"/>
          </w:tcPr>
          <w:p>
            <w:pPr>
              <w:ind w:left="260"/>
              <w:spacing w:after="0"/>
              <w:rPr>
                <w:sz w:val="20"/>
                <w:szCs w:val="20"/>
                <w:color w:val="auto"/>
              </w:rPr>
            </w:pPr>
            <w:r>
              <w:rPr>
                <w:rFonts w:ascii="Arial" w:cs="Arial" w:eastAsia="Arial" w:hAnsi="Arial"/>
                <w:sz w:val="18"/>
                <w:szCs w:val="18"/>
                <w:color w:val="auto"/>
                <w:w w:val="94"/>
              </w:rPr>
              <w:t>disposition of ManpowerGroup Greater China Limited partially held equity</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0"/>
        </w:trPr>
        <w:tc>
          <w:tcPr>
            <w:tcW w:w="5800" w:type="dxa"/>
            <w:vAlign w:val="bottom"/>
          </w:tcPr>
          <w:p>
            <w:pPr>
              <w:ind w:left="260"/>
              <w:spacing w:after="0"/>
              <w:rPr>
                <w:sz w:val="20"/>
                <w:szCs w:val="20"/>
                <w:color w:val="auto"/>
              </w:rPr>
            </w:pPr>
            <w:r>
              <w:rPr>
                <w:rFonts w:ascii="Arial" w:cs="Arial" w:eastAsia="Arial" w:hAnsi="Arial"/>
                <w:sz w:val="18"/>
                <w:szCs w:val="18"/>
                <w:color w:val="auto"/>
              </w:rPr>
              <w:t>interest (see Note 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6.2</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6.2</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w:t>
            </w:r>
          </w:p>
        </w:tc>
      </w:tr>
      <w:tr>
        <w:trPr>
          <w:trHeight w:val="230"/>
        </w:trPr>
        <w:tc>
          <w:tcPr>
            <w:tcW w:w="58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Translation adjustments of long-term intercompany loans</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3.6</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w:t>
            </w:r>
          </w:p>
        </w:tc>
      </w:tr>
      <w:tr>
        <w:trPr>
          <w:trHeight w:val="215"/>
        </w:trPr>
        <w:tc>
          <w:tcPr>
            <w:tcW w:w="5800" w:type="dxa"/>
            <w:vAlign w:val="bottom"/>
          </w:tcPr>
          <w:p>
            <w:pPr>
              <w:ind w:left="260"/>
              <w:spacing w:after="0"/>
              <w:rPr>
                <w:sz w:val="20"/>
                <w:szCs w:val="20"/>
                <w:color w:val="auto"/>
              </w:rPr>
            </w:pPr>
            <w:r>
              <w:rPr>
                <w:rFonts w:ascii="Arial" w:cs="Arial" w:eastAsia="Arial" w:hAnsi="Arial"/>
                <w:sz w:val="18"/>
                <w:szCs w:val="18"/>
                <w:color w:val="auto"/>
                <w:w w:val="95"/>
              </w:rPr>
              <w:t>Defined benefit pension plans and retiree health care plan, net of income</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0"/>
        </w:trPr>
        <w:tc>
          <w:tcPr>
            <w:tcW w:w="58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taxes of $0.1, $0.0, $0.2 and $0.1, respectively</w:t>
            </w:r>
          </w:p>
        </w:tc>
        <w:tc>
          <w:tcPr>
            <w:tcW w:w="100" w:type="dxa"/>
            <w:vAlign w:val="bottom"/>
            <w:tcBorders>
              <w:bottom w:val="single" w:sz="8" w:color="CFF0FC"/>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0.2</w:t>
            </w:r>
          </w:p>
        </w:tc>
        <w:tc>
          <w:tcPr>
            <w:tcW w:w="14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0.1</w:t>
            </w:r>
          </w:p>
        </w:tc>
        <w:tc>
          <w:tcPr>
            <w:tcW w:w="14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0.6</w:t>
            </w:r>
          </w:p>
        </w:tc>
        <w:tc>
          <w:tcPr>
            <w:tcW w:w="140" w:type="dxa"/>
            <w:vAlign w:val="bottom"/>
            <w:tcBorders>
              <w:bottom w:val="single" w:sz="8" w:color="CFF0FC"/>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0.3</w:t>
            </w:r>
          </w:p>
        </w:tc>
      </w:tr>
      <w:tr>
        <w:trPr>
          <w:trHeight w:val="223"/>
        </w:trPr>
        <w:tc>
          <w:tcPr>
            <w:tcW w:w="5800" w:type="dxa"/>
            <w:vAlign w:val="bottom"/>
            <w:shd w:val="clear" w:color="auto" w:fill="CFF0FC"/>
          </w:tcPr>
          <w:p>
            <w:pPr>
              <w:spacing w:after="0"/>
              <w:rPr>
                <w:sz w:val="20"/>
                <w:szCs w:val="20"/>
                <w:color w:val="auto"/>
              </w:rPr>
            </w:pPr>
            <w:r>
              <w:rPr>
                <w:rFonts w:ascii="Arial" w:cs="Arial" w:eastAsia="Arial" w:hAnsi="Arial"/>
                <w:sz w:val="18"/>
                <w:szCs w:val="18"/>
                <w:color w:val="auto"/>
              </w:rPr>
              <w:t>Total other comprehensive loss</w:t>
            </w:r>
          </w:p>
        </w:tc>
        <w:tc>
          <w:tcPr>
            <w:tcW w:w="10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(36.0)</w:t>
            </w:r>
          </w:p>
        </w:tc>
        <w:tc>
          <w:tcPr>
            <w:tcW w:w="1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(17.3)</w:t>
            </w:r>
          </w:p>
        </w:tc>
        <w:tc>
          <w:tcPr>
            <w:tcW w:w="1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(52.7)</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(89.7)</w:t>
            </w:r>
          </w:p>
        </w:tc>
      </w:tr>
      <w:tr>
        <w:trPr>
          <w:trHeight w:val="223"/>
        </w:trPr>
        <w:tc>
          <w:tcPr>
            <w:tcW w:w="5800" w:type="dxa"/>
            <w:vAlign w:val="bottom"/>
          </w:tcPr>
          <w:p>
            <w:pPr>
              <w:spacing w:after="0"/>
              <w:rPr>
                <w:sz w:val="20"/>
                <w:szCs w:val="20"/>
                <w:color w:val="auto"/>
              </w:rPr>
            </w:pPr>
            <w:r>
              <w:rPr>
                <w:rFonts w:ascii="Arial" w:cs="Arial" w:eastAsia="Arial" w:hAnsi="Arial"/>
                <w:sz w:val="18"/>
                <w:szCs w:val="18"/>
                <w:color w:val="auto"/>
              </w:rPr>
              <w:t>Comprehensive income</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110.1</w:t>
            </w:r>
          </w:p>
        </w:tc>
        <w:tc>
          <w:tcPr>
            <w:tcW w:w="140" w:type="dxa"/>
            <w:vAlign w:val="bottom"/>
          </w:tcPr>
          <w:p>
            <w:pPr>
              <w:spacing w:after="0"/>
              <w:rPr>
                <w:sz w:val="19"/>
                <w:szCs w:val="19"/>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140.7</w:t>
            </w:r>
          </w:p>
        </w:tc>
        <w:tc>
          <w:tcPr>
            <w:tcW w:w="140" w:type="dxa"/>
            <w:vAlign w:val="bottom"/>
          </w:tcPr>
          <w:p>
            <w:pPr>
              <w:spacing w:after="0"/>
              <w:rPr>
                <w:sz w:val="19"/>
                <w:szCs w:val="19"/>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274.2</w:t>
            </w:r>
          </w:p>
        </w:tc>
        <w:tc>
          <w:tcPr>
            <w:tcW w:w="1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308.7</w:t>
            </w:r>
          </w:p>
        </w:tc>
      </w:tr>
      <w:tr>
        <w:trPr>
          <w:trHeight w:val="20"/>
        </w:trPr>
        <w:tc>
          <w:tcPr>
            <w:tcW w:w="5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140" w:type="dxa"/>
            <w:vAlign w:val="bottom"/>
          </w:tcPr>
          <w:p>
            <w:pPr>
              <w:jc w:val="center"/>
              <w:ind w:left="3170"/>
              <w:spacing w:after="0"/>
              <w:rPr>
                <w:sz w:val="20"/>
                <w:szCs w:val="20"/>
                <w:color w:val="auto"/>
              </w:rPr>
            </w:pPr>
            <w:r>
              <w:rPr>
                <w:rFonts w:ascii="Arial" w:cs="Arial" w:eastAsia="Arial" w:hAnsi="Arial"/>
                <w:sz w:val="18"/>
                <w:szCs w:val="18"/>
                <w:b w:val="1"/>
                <w:bCs w:val="1"/>
                <w:color w:val="auto"/>
                <w:w w:val="93"/>
              </w:rPr>
              <w:t>ManpowerGroup Inc.</w:t>
            </w:r>
          </w:p>
        </w:tc>
        <w:tc>
          <w:tcPr>
            <w:tcW w:w="9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3"/>
        </w:trPr>
        <w:tc>
          <w:tcPr>
            <w:tcW w:w="20" w:type="dxa"/>
            <w:vAlign w:val="bottom"/>
          </w:tcPr>
          <w:p>
            <w:pPr>
              <w:spacing w:after="0"/>
              <w:rPr>
                <w:sz w:val="24"/>
                <w:szCs w:val="24"/>
                <w:color w:val="auto"/>
              </w:rPr>
            </w:pPr>
          </w:p>
        </w:tc>
        <w:tc>
          <w:tcPr>
            <w:tcW w:w="8140" w:type="dxa"/>
            <w:vAlign w:val="bottom"/>
          </w:tcPr>
          <w:p>
            <w:pPr>
              <w:jc w:val="center"/>
              <w:ind w:left="3170"/>
              <w:spacing w:after="0"/>
              <w:rPr>
                <w:sz w:val="20"/>
                <w:szCs w:val="20"/>
                <w:color w:val="auto"/>
              </w:rPr>
            </w:pPr>
            <w:r>
              <w:rPr>
                <w:rFonts w:ascii="Arial" w:cs="Arial" w:eastAsia="Arial" w:hAnsi="Arial"/>
                <w:sz w:val="18"/>
                <w:szCs w:val="18"/>
                <w:b w:val="1"/>
                <w:bCs w:val="1"/>
                <w:color w:val="auto"/>
                <w:w w:val="89"/>
              </w:rPr>
              <w:t>Consolidated Statements of Cash Flows (Unaudited)</w:t>
            </w:r>
          </w:p>
        </w:tc>
        <w:tc>
          <w:tcPr>
            <w:tcW w:w="9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140" w:type="dxa"/>
            <w:vAlign w:val="bottom"/>
          </w:tcPr>
          <w:p>
            <w:pPr>
              <w:jc w:val="center"/>
              <w:ind w:left="3170"/>
              <w:spacing w:after="0"/>
              <w:rPr>
                <w:sz w:val="20"/>
                <w:szCs w:val="20"/>
                <w:color w:val="auto"/>
              </w:rPr>
            </w:pPr>
            <w:r>
              <w:rPr>
                <w:rFonts w:ascii="Arial" w:cs="Arial" w:eastAsia="Arial" w:hAnsi="Arial"/>
                <w:sz w:val="18"/>
                <w:szCs w:val="18"/>
                <w:b w:val="1"/>
                <w:bCs w:val="1"/>
                <w:color w:val="auto"/>
                <w:w w:val="91"/>
              </w:rPr>
              <w:t>(in millions)</w:t>
            </w:r>
          </w:p>
        </w:tc>
        <w:tc>
          <w:tcPr>
            <w:tcW w:w="2640" w:type="dxa"/>
            <w:vAlign w:val="bottom"/>
            <w:gridSpan w:val="4"/>
            <w:vMerge w:val="restart"/>
          </w:tcPr>
          <w:p>
            <w:pPr>
              <w:jc w:val="right"/>
              <w:ind w:right="210"/>
              <w:spacing w:after="0"/>
              <w:rPr>
                <w:sz w:val="20"/>
                <w:szCs w:val="20"/>
                <w:color w:val="auto"/>
              </w:rPr>
            </w:pPr>
            <w:r>
              <w:rPr>
                <w:rFonts w:ascii="Arial" w:cs="Arial" w:eastAsia="Arial" w:hAnsi="Arial"/>
                <w:sz w:val="18"/>
                <w:szCs w:val="18"/>
                <w:b w:val="1"/>
                <w:bCs w:val="1"/>
                <w:color w:val="auto"/>
              </w:rPr>
              <w:t>Nine Months Ended</w:t>
            </w: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140" w:type="dxa"/>
            <w:vAlign w:val="bottom"/>
          </w:tcPr>
          <w:p>
            <w:pPr>
              <w:spacing w:after="0"/>
              <w:rPr>
                <w:sz w:val="19"/>
                <w:szCs w:val="19"/>
                <w:color w:val="auto"/>
              </w:rPr>
            </w:pPr>
          </w:p>
        </w:tc>
        <w:tc>
          <w:tcPr>
            <w:tcW w:w="2640" w:type="dxa"/>
            <w:vAlign w:val="bottom"/>
            <w:gridSpan w:val="4"/>
            <w:vMerge w:val="continue"/>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14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right"/>
              <w:ind w:right="430"/>
              <w:spacing w:after="0"/>
              <w:rPr>
                <w:sz w:val="20"/>
                <w:szCs w:val="20"/>
                <w:color w:val="auto"/>
              </w:rPr>
            </w:pPr>
            <w:r>
              <w:rPr>
                <w:rFonts w:ascii="Arial" w:cs="Arial" w:eastAsia="Arial" w:hAnsi="Arial"/>
                <w:sz w:val="18"/>
                <w:szCs w:val="18"/>
                <w:b w:val="1"/>
                <w:bCs w:val="1"/>
                <w:color w:val="auto"/>
                <w:w w:val="95"/>
              </w:rPr>
              <w:t>September 30,</w:t>
            </w:r>
          </w:p>
        </w:tc>
        <w:tc>
          <w:tcPr>
            <w:tcW w:w="6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40" w:type="dxa"/>
            <w:vAlign w:val="bottom"/>
            <w:tcBorders>
              <w:bottom w:val="single" w:sz="8" w:color="CFF0FC"/>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620" w:type="dxa"/>
            <w:vAlign w:val="bottom"/>
            <w:tcBorders>
              <w:bottom w:val="single" w:sz="8" w:color="auto"/>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6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9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140" w:type="dxa"/>
            <w:vAlign w:val="bottom"/>
          </w:tcPr>
          <w:p>
            <w:pPr>
              <w:ind w:left="80"/>
              <w:spacing w:after="0"/>
              <w:rPr>
                <w:sz w:val="20"/>
                <w:szCs w:val="20"/>
                <w:color w:val="auto"/>
              </w:rPr>
            </w:pPr>
            <w:r>
              <w:rPr>
                <w:rFonts w:ascii="Arial" w:cs="Arial" w:eastAsia="Arial" w:hAnsi="Arial"/>
                <w:sz w:val="18"/>
                <w:szCs w:val="18"/>
                <w:color w:val="auto"/>
              </w:rPr>
              <w:t>Net earnings</w:t>
            </w:r>
          </w:p>
        </w:tc>
        <w:tc>
          <w:tcPr>
            <w:tcW w:w="920" w:type="dxa"/>
            <w:vAlign w:val="bottom"/>
          </w:tcPr>
          <w:p>
            <w:pPr>
              <w:jc w:val="right"/>
              <w:ind w:right="730"/>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326.9</w:t>
            </w:r>
          </w:p>
        </w:tc>
        <w:tc>
          <w:tcPr>
            <w:tcW w:w="180" w:type="dxa"/>
            <w:vAlign w:val="bottom"/>
          </w:tcPr>
          <w:p>
            <w:pPr>
              <w:spacing w:after="0"/>
              <w:rPr>
                <w:sz w:val="19"/>
                <w:szCs w:val="19"/>
                <w:color w:val="auto"/>
              </w:rPr>
            </w:pPr>
          </w:p>
        </w:tc>
        <w:tc>
          <w:tcPr>
            <w:tcW w:w="920" w:type="dxa"/>
            <w:vAlign w:val="bottom"/>
          </w:tcPr>
          <w:p>
            <w:pPr>
              <w:jc w:val="right"/>
              <w:ind w:right="730"/>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398.4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140" w:type="dxa"/>
            <w:vAlign w:val="bottom"/>
            <w:shd w:val="clear" w:color="auto" w:fill="CFF0FC"/>
          </w:tcPr>
          <w:p>
            <w:pPr>
              <w:ind w:left="60"/>
              <w:spacing w:after="0"/>
              <w:rPr>
                <w:sz w:val="20"/>
                <w:szCs w:val="20"/>
                <w:color w:val="auto"/>
              </w:rPr>
            </w:pPr>
            <w:r>
              <w:rPr>
                <w:rFonts w:ascii="Arial" w:cs="Arial" w:eastAsia="Arial" w:hAnsi="Arial"/>
                <w:sz w:val="18"/>
                <w:szCs w:val="18"/>
                <w:color w:val="auto"/>
              </w:rPr>
              <w:t>Adjustments to reconcile net earnings to net cash provided by operating activities:</w:t>
            </w:r>
          </w:p>
        </w:tc>
        <w:tc>
          <w:tcPr>
            <w:tcW w:w="9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140" w:type="dxa"/>
            <w:vAlign w:val="bottom"/>
          </w:tcPr>
          <w:p>
            <w:pPr>
              <w:ind w:left="260"/>
              <w:spacing w:after="0"/>
              <w:rPr>
                <w:sz w:val="20"/>
                <w:szCs w:val="20"/>
                <w:color w:val="auto"/>
              </w:rPr>
            </w:pPr>
            <w:r>
              <w:rPr>
                <w:rFonts w:ascii="Arial" w:cs="Arial" w:eastAsia="Arial" w:hAnsi="Arial"/>
                <w:sz w:val="18"/>
                <w:szCs w:val="18"/>
                <w:color w:val="auto"/>
              </w:rPr>
              <w:t>Depreciation and amortization</w:t>
            </w:r>
          </w:p>
        </w:tc>
        <w:tc>
          <w:tcPr>
            <w:tcW w:w="920" w:type="dxa"/>
            <w:vAlign w:val="bottom"/>
          </w:tcPr>
          <w:p>
            <w:pPr>
              <w:spacing w:after="0"/>
              <w:rPr>
                <w:sz w:val="19"/>
                <w:szCs w:val="19"/>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57.1</w:t>
            </w: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64.8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1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Non-cash gain on disposition of previously held equity interest</w:t>
            </w:r>
          </w:p>
        </w:tc>
        <w:tc>
          <w:tcPr>
            <w:tcW w:w="9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(80.4)</w:t>
            </w: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140" w:type="dxa"/>
            <w:vAlign w:val="bottom"/>
          </w:tcPr>
          <w:p>
            <w:pPr>
              <w:ind w:left="260"/>
              <w:spacing w:after="0"/>
              <w:rPr>
                <w:sz w:val="20"/>
                <w:szCs w:val="20"/>
                <w:color w:val="auto"/>
              </w:rPr>
            </w:pPr>
            <w:r>
              <w:rPr>
                <w:rFonts w:ascii="Arial" w:cs="Arial" w:eastAsia="Arial" w:hAnsi="Arial"/>
                <w:sz w:val="18"/>
                <w:szCs w:val="18"/>
                <w:color w:val="auto"/>
              </w:rPr>
              <w:t>Non-cash gain on disposition of previously held controlling interest</w:t>
            </w:r>
          </w:p>
        </w:tc>
        <w:tc>
          <w:tcPr>
            <w:tcW w:w="9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(30.4)</w:t>
            </w: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1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Non-cash lease expense</w:t>
            </w:r>
          </w:p>
        </w:tc>
        <w:tc>
          <w:tcPr>
            <w:tcW w:w="920" w:type="dxa"/>
            <w:vAlign w:val="bottom"/>
            <w:shd w:val="clear" w:color="auto" w:fill="CFF0FC"/>
          </w:tcPr>
          <w:p>
            <w:pPr>
              <w:spacing w:after="0"/>
              <w:rPr>
                <w:sz w:val="19"/>
                <w:szCs w:val="19"/>
                <w:color w:val="auto"/>
              </w:rPr>
            </w:pPr>
          </w:p>
        </w:tc>
        <w:tc>
          <w:tcPr>
            <w:tcW w:w="6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112.0</w:t>
            </w: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140" w:type="dxa"/>
            <w:vAlign w:val="bottom"/>
          </w:tcPr>
          <w:p>
            <w:pPr>
              <w:ind w:left="260"/>
              <w:spacing w:after="0"/>
              <w:rPr>
                <w:sz w:val="20"/>
                <w:szCs w:val="20"/>
                <w:color w:val="auto"/>
              </w:rPr>
            </w:pPr>
            <w:r>
              <w:rPr>
                <w:rFonts w:ascii="Arial" w:cs="Arial" w:eastAsia="Arial" w:hAnsi="Arial"/>
                <w:sz w:val="18"/>
                <w:szCs w:val="18"/>
                <w:color w:val="auto"/>
              </w:rPr>
              <w:t>Non-cash goodwill impairment charge</w:t>
            </w:r>
          </w:p>
        </w:tc>
        <w:tc>
          <w:tcPr>
            <w:tcW w:w="920" w:type="dxa"/>
            <w:vAlign w:val="bottom"/>
          </w:tcPr>
          <w:p>
            <w:pPr>
              <w:spacing w:after="0"/>
              <w:rPr>
                <w:sz w:val="19"/>
                <w:szCs w:val="19"/>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64.0</w:t>
            </w: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1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income taxes</w:t>
            </w:r>
          </w:p>
        </w:tc>
        <w:tc>
          <w:tcPr>
            <w:tcW w:w="920" w:type="dxa"/>
            <w:vAlign w:val="bottom"/>
            <w:shd w:val="clear" w:color="auto" w:fill="CFF0FC"/>
          </w:tcPr>
          <w:p>
            <w:pPr>
              <w:spacing w:after="0"/>
              <w:rPr>
                <w:sz w:val="19"/>
                <w:szCs w:val="19"/>
                <w:color w:val="auto"/>
              </w:rPr>
            </w:pPr>
          </w:p>
        </w:tc>
        <w:tc>
          <w:tcPr>
            <w:tcW w:w="6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7.8</w:t>
            </w: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140" w:type="dxa"/>
            <w:vAlign w:val="bottom"/>
          </w:tcPr>
          <w:p>
            <w:pPr>
              <w:ind w:left="260"/>
              <w:spacing w:after="0"/>
              <w:rPr>
                <w:sz w:val="20"/>
                <w:szCs w:val="20"/>
                <w:color w:val="auto"/>
              </w:rPr>
            </w:pPr>
            <w:r>
              <w:rPr>
                <w:rFonts w:ascii="Arial" w:cs="Arial" w:eastAsia="Arial" w:hAnsi="Arial"/>
                <w:sz w:val="18"/>
                <w:szCs w:val="18"/>
                <w:color w:val="auto"/>
              </w:rPr>
              <w:t>Provision for doubtful accounts</w:t>
            </w:r>
          </w:p>
        </w:tc>
        <w:tc>
          <w:tcPr>
            <w:tcW w:w="920" w:type="dxa"/>
            <w:vAlign w:val="bottom"/>
          </w:tcPr>
          <w:p>
            <w:pPr>
              <w:spacing w:after="0"/>
              <w:rPr>
                <w:sz w:val="19"/>
                <w:szCs w:val="19"/>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16.9</w:t>
            </w: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1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Share-based compensation</w:t>
            </w:r>
          </w:p>
        </w:tc>
        <w:tc>
          <w:tcPr>
            <w:tcW w:w="920" w:type="dxa"/>
            <w:vAlign w:val="bottom"/>
            <w:shd w:val="clear" w:color="auto" w:fill="CFF0FC"/>
          </w:tcPr>
          <w:p>
            <w:pPr>
              <w:spacing w:after="0"/>
              <w:rPr>
                <w:sz w:val="19"/>
                <w:szCs w:val="19"/>
                <w:color w:val="auto"/>
              </w:rPr>
            </w:pPr>
          </w:p>
        </w:tc>
        <w:tc>
          <w:tcPr>
            <w:tcW w:w="6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18.8</w:t>
            </w: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140" w:type="dxa"/>
            <w:vAlign w:val="bottom"/>
          </w:tcPr>
          <w:p>
            <w:pPr>
              <w:ind w:left="80"/>
              <w:spacing w:after="0"/>
              <w:rPr>
                <w:sz w:val="20"/>
                <w:szCs w:val="20"/>
                <w:color w:val="auto"/>
              </w:rPr>
            </w:pPr>
            <w:r>
              <w:rPr>
                <w:rFonts w:ascii="Arial" w:cs="Arial" w:eastAsia="Arial" w:hAnsi="Arial"/>
                <w:sz w:val="18"/>
                <w:szCs w:val="18"/>
                <w:color w:val="auto"/>
              </w:rPr>
              <w:t>Changes in operating assets and liabilities, excluding the impact of acquisitions:</w:t>
            </w:r>
          </w:p>
        </w:tc>
        <w:tc>
          <w:tcPr>
            <w:tcW w:w="9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1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Accounts receivable</w:t>
            </w:r>
          </w:p>
        </w:tc>
        <w:tc>
          <w:tcPr>
            <w:tcW w:w="9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(60.9)</w:t>
            </w: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(140.8)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140" w:type="dxa"/>
            <w:vAlign w:val="bottom"/>
          </w:tcPr>
          <w:p>
            <w:pPr>
              <w:ind w:left="260"/>
              <w:spacing w:after="0"/>
              <w:rPr>
                <w:sz w:val="20"/>
                <w:szCs w:val="20"/>
                <w:color w:val="auto"/>
              </w:rPr>
            </w:pPr>
            <w:r>
              <w:rPr>
                <w:rFonts w:ascii="Arial" w:cs="Arial" w:eastAsia="Arial" w:hAnsi="Arial"/>
                <w:sz w:val="18"/>
                <w:szCs w:val="18"/>
                <w:color w:val="auto"/>
              </w:rPr>
              <w:t>Other assets</w:t>
            </w:r>
          </w:p>
        </w:tc>
        <w:tc>
          <w:tcPr>
            <w:tcW w:w="920" w:type="dxa"/>
            <w:vAlign w:val="bottom"/>
          </w:tcPr>
          <w:p>
            <w:pPr>
              <w:spacing w:after="0"/>
              <w:rPr>
                <w:sz w:val="19"/>
                <w:szCs w:val="19"/>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103.7</w:t>
            </w: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1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liabilities</w:t>
            </w:r>
          </w:p>
        </w:tc>
        <w:tc>
          <w:tcPr>
            <w:tcW w:w="92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(40.1)</w:t>
            </w:r>
          </w:p>
        </w:tc>
        <w:tc>
          <w:tcPr>
            <w:tcW w:w="180" w:type="dxa"/>
            <w:vAlign w:val="bottom"/>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40" w:type="dxa"/>
            <w:vAlign w:val="bottom"/>
            <w:tcBorders>
              <w:bottom w:val="single" w:sz="8" w:color="CFF0FC"/>
            </w:tcBorders>
          </w:tcPr>
          <w:p>
            <w:pPr>
              <w:ind w:left="520"/>
              <w:spacing w:after="0"/>
              <w:rPr>
                <w:sz w:val="20"/>
                <w:szCs w:val="20"/>
                <w:color w:val="auto"/>
              </w:rPr>
            </w:pPr>
            <w:r>
              <w:rPr>
                <w:rFonts w:ascii="Arial" w:cs="Arial" w:eastAsia="Arial" w:hAnsi="Arial"/>
                <w:sz w:val="18"/>
                <w:szCs w:val="18"/>
                <w:color w:val="auto"/>
              </w:rPr>
              <w:t>Cash provided by operating activities</w:t>
            </w:r>
          </w:p>
        </w:tc>
        <w:tc>
          <w:tcPr>
            <w:tcW w:w="9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495.4</w:t>
            </w:r>
          </w:p>
        </w:tc>
        <w:tc>
          <w:tcPr>
            <w:tcW w:w="180" w:type="dxa"/>
            <w:vAlign w:val="bottom"/>
            <w:tcBorders>
              <w:bottom w:val="single" w:sz="8" w:color="CFF0FC"/>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302.0</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1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814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9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140" w:type="dxa"/>
            <w:vAlign w:val="bottom"/>
            <w:shd w:val="clear" w:color="auto" w:fill="CFF0FC"/>
          </w:tcPr>
          <w:p>
            <w:pPr>
              <w:ind w:left="320"/>
              <w:spacing w:after="0"/>
              <w:rPr>
                <w:sz w:val="20"/>
                <w:szCs w:val="20"/>
                <w:color w:val="auto"/>
              </w:rPr>
            </w:pPr>
            <w:r>
              <w:rPr>
                <w:rFonts w:ascii="Arial" w:cs="Arial" w:eastAsia="Arial" w:hAnsi="Arial"/>
                <w:sz w:val="18"/>
                <w:szCs w:val="18"/>
                <w:color w:val="auto"/>
              </w:rPr>
              <w:t>Capital expenditures</w:t>
            </w:r>
          </w:p>
        </w:tc>
        <w:tc>
          <w:tcPr>
            <w:tcW w:w="9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(36.2)</w:t>
            </w: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140" w:type="dxa"/>
            <w:vAlign w:val="bottom"/>
          </w:tcPr>
          <w:p>
            <w:pPr>
              <w:ind w:left="320"/>
              <w:spacing w:after="0"/>
              <w:rPr>
                <w:sz w:val="20"/>
                <w:szCs w:val="20"/>
                <w:color w:val="auto"/>
              </w:rPr>
            </w:pPr>
            <w:r>
              <w:rPr>
                <w:rFonts w:ascii="Arial" w:cs="Arial" w:eastAsia="Arial" w:hAnsi="Arial"/>
                <w:sz w:val="18"/>
                <w:szCs w:val="18"/>
                <w:color w:val="auto"/>
              </w:rPr>
              <w:t>Acquisitions of businesses, net of cash acquired</w:t>
            </w:r>
          </w:p>
        </w:tc>
        <w:tc>
          <w:tcPr>
            <w:tcW w:w="920" w:type="dxa"/>
            <w:vAlign w:val="bottom"/>
          </w:tcPr>
          <w:p>
            <w:pPr>
              <w:spacing w:after="0"/>
              <w:rPr>
                <w:sz w:val="19"/>
                <w:szCs w:val="19"/>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86.1</w:t>
            </w: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140" w:type="dxa"/>
            <w:vAlign w:val="bottom"/>
            <w:shd w:val="clear" w:color="auto" w:fill="CFF0FC"/>
          </w:tcPr>
          <w:p>
            <w:pPr>
              <w:ind w:left="320"/>
              <w:spacing w:after="0"/>
              <w:rPr>
                <w:sz w:val="20"/>
                <w:szCs w:val="20"/>
                <w:color w:val="auto"/>
              </w:rPr>
            </w:pPr>
            <w:r>
              <w:rPr>
                <w:rFonts w:ascii="Arial" w:cs="Arial" w:eastAsia="Arial" w:hAnsi="Arial"/>
                <w:sz w:val="18"/>
                <w:szCs w:val="18"/>
                <w:color w:val="auto"/>
              </w:rPr>
              <w:t>Impact to cash resulting from deconsolidation of subsidiaries</w:t>
            </w:r>
          </w:p>
        </w:tc>
        <w:tc>
          <w:tcPr>
            <w:tcW w:w="9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(57.9)</w:t>
            </w: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140" w:type="dxa"/>
            <w:vAlign w:val="bottom"/>
            <w:tcBorders>
              <w:bottom w:val="single" w:sz="8" w:color="CFF0FC"/>
            </w:tcBorders>
          </w:tcPr>
          <w:p>
            <w:pPr>
              <w:ind w:left="320"/>
              <w:spacing w:after="0"/>
              <w:rPr>
                <w:sz w:val="20"/>
                <w:szCs w:val="20"/>
                <w:color w:val="auto"/>
              </w:rPr>
            </w:pPr>
            <w:r>
              <w:rPr>
                <w:rFonts w:ascii="Arial" w:cs="Arial" w:eastAsia="Arial" w:hAnsi="Arial"/>
                <w:sz w:val="18"/>
                <w:szCs w:val="18"/>
                <w:color w:val="auto"/>
              </w:rPr>
              <w:t>Proceeds from the sale of subsidiaries, investments and property and equipment</w:t>
            </w:r>
          </w:p>
        </w:tc>
        <w:tc>
          <w:tcPr>
            <w:tcW w:w="9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8.0</w:t>
            </w:r>
          </w:p>
        </w:tc>
        <w:tc>
          <w:tcPr>
            <w:tcW w:w="180" w:type="dxa"/>
            <w:vAlign w:val="bottom"/>
            <w:tcBorders>
              <w:bottom w:val="single" w:sz="8" w:color="CFF0FC"/>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40" w:type="dxa"/>
            <w:vAlign w:val="bottom"/>
            <w:shd w:val="clear" w:color="auto" w:fill="CFF0FC"/>
          </w:tcPr>
          <w:p>
            <w:pPr>
              <w:ind w:left="520"/>
              <w:spacing w:after="0"/>
              <w:rPr>
                <w:sz w:val="20"/>
                <w:szCs w:val="20"/>
                <w:color w:val="auto"/>
              </w:rPr>
            </w:pPr>
            <w:r>
              <w:rPr>
                <w:rFonts w:ascii="Arial" w:cs="Arial" w:eastAsia="Arial" w:hAnsi="Arial"/>
                <w:sz w:val="18"/>
                <w:szCs w:val="18"/>
                <w:color w:val="auto"/>
              </w:rPr>
              <w:t>Cash used in investing activities</w:t>
            </w:r>
          </w:p>
        </w:tc>
        <w:tc>
          <w:tcPr>
            <w:tcW w:w="92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(40.2)</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81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9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140" w:type="dxa"/>
            <w:vAlign w:val="bottom"/>
          </w:tcPr>
          <w:p>
            <w:pPr>
              <w:ind w:left="320"/>
              <w:spacing w:after="0"/>
              <w:rPr>
                <w:sz w:val="20"/>
                <w:szCs w:val="20"/>
                <w:color w:val="auto"/>
              </w:rPr>
            </w:pPr>
            <w:r>
              <w:rPr>
                <w:rFonts w:ascii="Arial" w:cs="Arial" w:eastAsia="Arial" w:hAnsi="Arial"/>
                <w:sz w:val="18"/>
                <w:szCs w:val="18"/>
                <w:color w:val="auto"/>
              </w:rPr>
              <w:t>Net change in short-term borrowings</w:t>
            </w:r>
          </w:p>
        </w:tc>
        <w:tc>
          <w:tcPr>
            <w:tcW w:w="9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w:t>
            </w: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140" w:type="dxa"/>
            <w:vAlign w:val="bottom"/>
            <w:shd w:val="clear" w:color="auto" w:fill="CFF0FC"/>
          </w:tcPr>
          <w:p>
            <w:pPr>
              <w:ind w:left="320"/>
              <w:spacing w:after="0"/>
              <w:rPr>
                <w:sz w:val="20"/>
                <w:szCs w:val="20"/>
                <w:color w:val="auto"/>
              </w:rPr>
            </w:pPr>
            <w:r>
              <w:rPr>
                <w:rFonts w:ascii="Arial" w:cs="Arial" w:eastAsia="Arial" w:hAnsi="Arial"/>
                <w:sz w:val="18"/>
                <w:szCs w:val="18"/>
                <w:color w:val="auto"/>
              </w:rPr>
              <w:t>Proceeds from long-term debt</w:t>
            </w:r>
          </w:p>
        </w:tc>
        <w:tc>
          <w:tcPr>
            <w:tcW w:w="920" w:type="dxa"/>
            <w:vAlign w:val="bottom"/>
            <w:shd w:val="clear" w:color="auto" w:fill="CFF0FC"/>
          </w:tcPr>
          <w:p>
            <w:pPr>
              <w:spacing w:after="0"/>
              <w:rPr>
                <w:sz w:val="19"/>
                <w:szCs w:val="19"/>
                <w:color w:val="auto"/>
              </w:rPr>
            </w:pPr>
          </w:p>
        </w:tc>
        <w:tc>
          <w:tcPr>
            <w:tcW w:w="6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9.0</w:t>
            </w: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583.3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140" w:type="dxa"/>
            <w:vAlign w:val="bottom"/>
          </w:tcPr>
          <w:p>
            <w:pPr>
              <w:ind w:left="320"/>
              <w:spacing w:after="0"/>
              <w:rPr>
                <w:sz w:val="20"/>
                <w:szCs w:val="20"/>
                <w:color w:val="auto"/>
              </w:rPr>
            </w:pPr>
            <w:r>
              <w:rPr>
                <w:rFonts w:ascii="Arial" w:cs="Arial" w:eastAsia="Arial" w:hAnsi="Arial"/>
                <w:sz w:val="18"/>
                <w:szCs w:val="18"/>
                <w:color w:val="auto"/>
              </w:rPr>
              <w:t>Repayments of long-term debt</w:t>
            </w:r>
          </w:p>
        </w:tc>
        <w:tc>
          <w:tcPr>
            <w:tcW w:w="9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(0.7)</w:t>
            </w: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(408.3)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140" w:type="dxa"/>
            <w:vAlign w:val="bottom"/>
            <w:shd w:val="clear" w:color="auto" w:fill="CFF0FC"/>
          </w:tcPr>
          <w:p>
            <w:pPr>
              <w:ind w:left="320"/>
              <w:spacing w:after="0"/>
              <w:rPr>
                <w:sz w:val="20"/>
                <w:szCs w:val="20"/>
                <w:color w:val="auto"/>
              </w:rPr>
            </w:pPr>
            <w:r>
              <w:rPr>
                <w:rFonts w:ascii="Arial" w:cs="Arial" w:eastAsia="Arial" w:hAnsi="Arial"/>
                <w:sz w:val="18"/>
                <w:szCs w:val="18"/>
                <w:color w:val="auto"/>
              </w:rPr>
              <w:t>Payments for debt issuance costs</w:t>
            </w:r>
          </w:p>
        </w:tc>
        <w:tc>
          <w:tcPr>
            <w:tcW w:w="920" w:type="dxa"/>
            <w:vAlign w:val="bottom"/>
            <w:shd w:val="clear" w:color="auto" w:fill="CFF0FC"/>
          </w:tcPr>
          <w:p>
            <w:pPr>
              <w:spacing w:after="0"/>
              <w:rPr>
                <w:sz w:val="19"/>
                <w:szCs w:val="19"/>
                <w:color w:val="auto"/>
              </w:rPr>
            </w:pPr>
          </w:p>
        </w:tc>
        <w:tc>
          <w:tcPr>
            <w:tcW w:w="6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140" w:type="dxa"/>
            <w:vAlign w:val="bottom"/>
          </w:tcPr>
          <w:p>
            <w:pPr>
              <w:ind w:left="320"/>
              <w:spacing w:after="0"/>
              <w:rPr>
                <w:sz w:val="20"/>
                <w:szCs w:val="20"/>
                <w:color w:val="auto"/>
              </w:rPr>
            </w:pPr>
            <w:r>
              <w:rPr>
                <w:rFonts w:ascii="Arial" w:cs="Arial" w:eastAsia="Arial" w:hAnsi="Arial"/>
                <w:sz w:val="18"/>
                <w:szCs w:val="18"/>
                <w:color w:val="auto"/>
              </w:rPr>
              <w:t>Payments of contingent consideration for acquisitions</w:t>
            </w:r>
          </w:p>
        </w:tc>
        <w:tc>
          <w:tcPr>
            <w:tcW w:w="9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(22.8)</w:t>
            </w: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140" w:type="dxa"/>
            <w:vAlign w:val="bottom"/>
            <w:shd w:val="clear" w:color="auto" w:fill="CFF0FC"/>
          </w:tcPr>
          <w:p>
            <w:pPr>
              <w:ind w:left="320"/>
              <w:spacing w:after="0"/>
              <w:rPr>
                <w:sz w:val="20"/>
                <w:szCs w:val="20"/>
                <w:color w:val="auto"/>
              </w:rPr>
            </w:pPr>
            <w:r>
              <w:rPr>
                <w:rFonts w:ascii="Arial" w:cs="Arial" w:eastAsia="Arial" w:hAnsi="Arial"/>
                <w:sz w:val="18"/>
                <w:szCs w:val="18"/>
                <w:color w:val="auto"/>
              </w:rPr>
              <w:t>Proceeds from share-based awards</w:t>
            </w:r>
          </w:p>
        </w:tc>
        <w:tc>
          <w:tcPr>
            <w:tcW w:w="920" w:type="dxa"/>
            <w:vAlign w:val="bottom"/>
            <w:shd w:val="clear" w:color="auto" w:fill="CFF0FC"/>
          </w:tcPr>
          <w:p>
            <w:pPr>
              <w:spacing w:after="0"/>
              <w:rPr>
                <w:sz w:val="19"/>
                <w:szCs w:val="19"/>
                <w:color w:val="auto"/>
              </w:rPr>
            </w:pPr>
          </w:p>
        </w:tc>
        <w:tc>
          <w:tcPr>
            <w:tcW w:w="6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6.3</w:t>
            </w: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140" w:type="dxa"/>
            <w:vAlign w:val="bottom"/>
          </w:tcPr>
          <w:p>
            <w:pPr>
              <w:ind w:left="320"/>
              <w:spacing w:after="0"/>
              <w:rPr>
                <w:sz w:val="20"/>
                <w:szCs w:val="20"/>
                <w:color w:val="auto"/>
              </w:rPr>
            </w:pPr>
            <w:r>
              <w:rPr>
                <w:rFonts w:ascii="Arial" w:cs="Arial" w:eastAsia="Arial" w:hAnsi="Arial"/>
                <w:sz w:val="18"/>
                <w:szCs w:val="18"/>
                <w:color w:val="auto"/>
              </w:rPr>
              <w:t>Payments to noncontrolling interests</w:t>
            </w:r>
          </w:p>
        </w:tc>
        <w:tc>
          <w:tcPr>
            <w:tcW w:w="9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(2.1)</w:t>
            </w: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140" w:type="dxa"/>
            <w:vAlign w:val="bottom"/>
            <w:shd w:val="clear" w:color="auto" w:fill="CFF0FC"/>
          </w:tcPr>
          <w:p>
            <w:pPr>
              <w:ind w:left="320"/>
              <w:spacing w:after="0"/>
              <w:rPr>
                <w:sz w:val="20"/>
                <w:szCs w:val="20"/>
                <w:color w:val="auto"/>
              </w:rPr>
            </w:pPr>
            <w:r>
              <w:rPr>
                <w:rFonts w:ascii="Arial" w:cs="Arial" w:eastAsia="Arial" w:hAnsi="Arial"/>
                <w:sz w:val="18"/>
                <w:szCs w:val="18"/>
                <w:color w:val="auto"/>
              </w:rPr>
              <w:t>Other share-based award transactions</w:t>
            </w:r>
          </w:p>
        </w:tc>
        <w:tc>
          <w:tcPr>
            <w:tcW w:w="9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w:t>
            </w: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140" w:type="dxa"/>
            <w:vAlign w:val="bottom"/>
          </w:tcPr>
          <w:p>
            <w:pPr>
              <w:ind w:left="320"/>
              <w:spacing w:after="0"/>
              <w:rPr>
                <w:sz w:val="20"/>
                <w:szCs w:val="20"/>
                <w:color w:val="auto"/>
              </w:rPr>
            </w:pPr>
            <w:r>
              <w:rPr>
                <w:rFonts w:ascii="Arial" w:cs="Arial" w:eastAsia="Arial" w:hAnsi="Arial"/>
                <w:sz w:val="18"/>
                <w:szCs w:val="18"/>
                <w:color w:val="auto"/>
              </w:rPr>
              <w:t>Repurchases of common stock</w:t>
            </w:r>
          </w:p>
        </w:tc>
        <w:tc>
          <w:tcPr>
            <w:tcW w:w="9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(152.0)</w:t>
            </w: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(299.2)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140" w:type="dxa"/>
            <w:vAlign w:val="bottom"/>
            <w:shd w:val="clear" w:color="auto" w:fill="CFF0FC"/>
          </w:tcPr>
          <w:p>
            <w:pPr>
              <w:ind w:left="320"/>
              <w:spacing w:after="0"/>
              <w:rPr>
                <w:sz w:val="20"/>
                <w:szCs w:val="20"/>
                <w:color w:val="auto"/>
              </w:rPr>
            </w:pPr>
            <w:r>
              <w:rPr>
                <w:rFonts w:ascii="Arial" w:cs="Arial" w:eastAsia="Arial" w:hAnsi="Arial"/>
                <w:sz w:val="18"/>
                <w:szCs w:val="18"/>
                <w:color w:val="auto"/>
              </w:rPr>
              <w:t>Dividends paid</w:t>
            </w:r>
          </w:p>
        </w:tc>
        <w:tc>
          <w:tcPr>
            <w:tcW w:w="9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(65.2)</w:t>
            </w: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140" w:type="dxa"/>
            <w:vAlign w:val="bottom"/>
            <w:tcBorders>
              <w:bottom w:val="single" w:sz="8" w:color="CFF0FC"/>
            </w:tcBorders>
          </w:tcPr>
          <w:p>
            <w:pPr>
              <w:ind w:left="320"/>
              <w:spacing w:after="0"/>
              <w:rPr>
                <w:sz w:val="20"/>
                <w:szCs w:val="20"/>
                <w:color w:val="auto"/>
              </w:rPr>
            </w:pPr>
            <w:r>
              <w:rPr>
                <w:rFonts w:ascii="Arial" w:cs="Arial" w:eastAsia="Arial" w:hAnsi="Arial"/>
                <w:sz w:val="18"/>
                <w:szCs w:val="18"/>
                <w:color w:val="auto"/>
              </w:rPr>
              <w:t>Miscellaneous, net</w:t>
            </w:r>
          </w:p>
        </w:tc>
        <w:tc>
          <w:tcPr>
            <w:tcW w:w="9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0.2</w:t>
            </w:r>
          </w:p>
        </w:tc>
        <w:tc>
          <w:tcPr>
            <w:tcW w:w="180" w:type="dxa"/>
            <w:vAlign w:val="bottom"/>
            <w:tcBorders>
              <w:bottom w:val="single" w:sz="8" w:color="CFF0FC"/>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40" w:type="dxa"/>
            <w:vAlign w:val="bottom"/>
            <w:shd w:val="clear" w:color="auto" w:fill="CFF0FC"/>
          </w:tcPr>
          <w:p>
            <w:pPr>
              <w:ind w:left="520"/>
              <w:spacing w:after="0"/>
              <w:rPr>
                <w:sz w:val="20"/>
                <w:szCs w:val="20"/>
                <w:color w:val="auto"/>
              </w:rPr>
            </w:pPr>
            <w:r>
              <w:rPr>
                <w:rFonts w:ascii="Arial" w:cs="Arial" w:eastAsia="Arial" w:hAnsi="Arial"/>
                <w:sz w:val="18"/>
                <w:szCs w:val="18"/>
                <w:color w:val="auto"/>
              </w:rPr>
              <w:t>Cash used in financing activities</w:t>
            </w:r>
          </w:p>
        </w:tc>
        <w:tc>
          <w:tcPr>
            <w:tcW w:w="92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(236.6)</w:t>
            </w:r>
          </w:p>
        </w:tc>
        <w:tc>
          <w:tcPr>
            <w:tcW w:w="180" w:type="dxa"/>
            <w:vAlign w:val="bottom"/>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(230.7)</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8140" w:type="dxa"/>
            <w:vAlign w:val="bottom"/>
            <w:shd w:val="clear" w:color="auto" w:fill="CFF0FC"/>
          </w:tcPr>
          <w:p>
            <w:pPr>
              <w:spacing w:after="0"/>
              <w:rPr>
                <w:sz w:val="20"/>
                <w:szCs w:val="20"/>
                <w:color w:val="auto"/>
              </w:rPr>
            </w:pPr>
            <w:r>
              <w:rPr>
                <w:rFonts w:ascii="Arial" w:cs="Arial" w:eastAsia="Arial" w:hAnsi="Arial"/>
                <w:sz w:val="18"/>
                <w:szCs w:val="18"/>
                <w:color w:val="auto"/>
              </w:rPr>
              <w:t>Effect of exchange rate changes on cash</w:t>
            </w:r>
          </w:p>
        </w:tc>
        <w:tc>
          <w:tcPr>
            <w:tcW w:w="92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(43.6)</w:t>
            </w:r>
          </w:p>
        </w:tc>
        <w:tc>
          <w:tcPr>
            <w:tcW w:w="180" w:type="dxa"/>
            <w:vAlign w:val="bottom"/>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23"/>
        </w:trPr>
        <w:tc>
          <w:tcPr>
            <w:tcW w:w="8160" w:type="dxa"/>
            <w:vAlign w:val="bottom"/>
            <w:gridSpan w:val="2"/>
          </w:tcPr>
          <w:p>
            <w:pPr>
              <w:spacing w:after="0"/>
              <w:rPr>
                <w:sz w:val="20"/>
                <w:szCs w:val="20"/>
                <w:color w:val="auto"/>
              </w:rPr>
            </w:pPr>
            <w:r>
              <w:rPr>
                <w:rFonts w:ascii="Arial" w:cs="Arial" w:eastAsia="Arial" w:hAnsi="Arial"/>
                <w:sz w:val="18"/>
                <w:szCs w:val="18"/>
                <w:color w:val="auto"/>
              </w:rPr>
              <w:t>Change in cash and cash equivalents</w:t>
            </w:r>
          </w:p>
        </w:tc>
        <w:tc>
          <w:tcPr>
            <w:tcW w:w="920" w:type="dxa"/>
            <w:vAlign w:val="bottom"/>
          </w:tcPr>
          <w:p>
            <w:pPr>
              <w:spacing w:after="0"/>
              <w:rPr>
                <w:sz w:val="19"/>
                <w:szCs w:val="19"/>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215.2</w:t>
            </w: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14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 beginning of period</w:t>
            </w:r>
          </w:p>
        </w:tc>
        <w:tc>
          <w:tcPr>
            <w:tcW w:w="92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591.9</w:t>
            </w:r>
          </w:p>
        </w:tc>
        <w:tc>
          <w:tcPr>
            <w:tcW w:w="180" w:type="dxa"/>
            <w:vAlign w:val="bottom"/>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689.0</w:t>
            </w:r>
          </w:p>
        </w:tc>
        <w:tc>
          <w:tcPr>
            <w:tcW w:w="0" w:type="dxa"/>
            <w:vAlign w:val="bottom"/>
          </w:tcPr>
          <w:p>
            <w:pPr>
              <w:spacing w:after="0"/>
              <w:rPr>
                <w:sz w:val="1"/>
                <w:szCs w:val="1"/>
                <w:color w:val="auto"/>
              </w:rPr>
            </w:pPr>
          </w:p>
        </w:tc>
      </w:tr>
      <w:tr>
        <w:trPr>
          <w:trHeight w:val="263"/>
        </w:trPr>
        <w:tc>
          <w:tcPr>
            <w:tcW w:w="8160" w:type="dxa"/>
            <w:vAlign w:val="bottom"/>
            <w:gridSpan w:val="2"/>
          </w:tcPr>
          <w:p>
            <w:pPr>
              <w:spacing w:after="0"/>
              <w:rPr>
                <w:sz w:val="20"/>
                <w:szCs w:val="20"/>
                <w:color w:val="auto"/>
              </w:rPr>
            </w:pPr>
            <w:r>
              <w:rPr>
                <w:rFonts w:ascii="Arial" w:cs="Arial" w:eastAsia="Arial" w:hAnsi="Arial"/>
                <w:sz w:val="18"/>
                <w:szCs w:val="18"/>
                <w:color w:val="auto"/>
              </w:rPr>
              <w:t>Cash and cash equivalents, end of period</w:t>
            </w:r>
          </w:p>
        </w:tc>
        <w:tc>
          <w:tcPr>
            <w:tcW w:w="92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807.1</w:t>
            </w:r>
          </w:p>
        </w:tc>
        <w:tc>
          <w:tcPr>
            <w:tcW w:w="180" w:type="dxa"/>
            <w:vAlign w:val="bottom"/>
          </w:tcPr>
          <w:p>
            <w:pPr>
              <w:spacing w:after="0"/>
              <w:rPr>
                <w:sz w:val="22"/>
                <w:szCs w:val="22"/>
                <w:color w:val="auto"/>
              </w:rPr>
            </w:pPr>
          </w:p>
        </w:tc>
        <w:tc>
          <w:tcPr>
            <w:tcW w:w="92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682.6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140" w:type="dxa"/>
            <w:vAlign w:val="bottom"/>
            <w:tcBorders>
              <w:top w:val="single" w:sz="8" w:color="CFF0FC"/>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8140" w:type="dxa"/>
            <w:vAlign w:val="bottom"/>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9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1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Interest paid</w:t>
            </w:r>
          </w:p>
        </w:tc>
        <w:tc>
          <w:tcPr>
            <w:tcW w:w="920" w:type="dxa"/>
            <w:vAlign w:val="bottom"/>
            <w:tcBorders>
              <w:bottom w:val="single" w:sz="8" w:color="auto"/>
            </w:tcBorders>
            <w:shd w:val="clear" w:color="auto" w:fill="CFF0FC"/>
          </w:tcPr>
          <w:p>
            <w:pPr>
              <w:jc w:val="right"/>
              <w:ind w:right="73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35.5</w:t>
            </w:r>
          </w:p>
        </w:tc>
        <w:tc>
          <w:tcPr>
            <w:tcW w:w="18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73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44.9</w:t>
            </w:r>
          </w:p>
        </w:tc>
        <w:tc>
          <w:tcPr>
            <w:tcW w:w="0" w:type="dxa"/>
            <w:vAlign w:val="bottom"/>
          </w:tcPr>
          <w:p>
            <w:pPr>
              <w:spacing w:after="0"/>
              <w:rPr>
                <w:sz w:val="1"/>
                <w:szCs w:val="1"/>
                <w:color w:val="auto"/>
              </w:rPr>
            </w:pPr>
          </w:p>
        </w:tc>
      </w:tr>
      <w:tr>
        <w:trPr>
          <w:trHeight w:val="20"/>
        </w:trPr>
        <w:tc>
          <w:tcPr>
            <w:tcW w:w="8160" w:type="dxa"/>
            <w:vAlign w:val="bottom"/>
            <w:gridSpan w:val="2"/>
            <w:vMerge w:val="restart"/>
          </w:tcPr>
          <w:p>
            <w:pPr>
              <w:spacing w:after="0"/>
              <w:rPr>
                <w:sz w:val="20"/>
                <w:szCs w:val="20"/>
                <w:color w:val="auto"/>
              </w:rPr>
            </w:pPr>
            <w:r>
              <w:rPr>
                <w:rFonts w:ascii="Arial" w:cs="Arial" w:eastAsia="Arial" w:hAnsi="Arial"/>
                <w:sz w:val="18"/>
                <w:szCs w:val="18"/>
                <w:color w:val="auto"/>
              </w:rPr>
              <w:t>Income taxes paid, net</w:t>
            </w:r>
          </w:p>
        </w:tc>
        <w:tc>
          <w:tcPr>
            <w:tcW w:w="9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160" w:type="dxa"/>
            <w:vAlign w:val="bottom"/>
            <w:gridSpan w:val="2"/>
            <w:vMerge w:val="continue"/>
          </w:tcPr>
          <w:p>
            <w:pPr>
              <w:spacing w:after="0"/>
              <w:rPr>
                <w:sz w:val="21"/>
                <w:szCs w:val="21"/>
                <w:color w:val="auto"/>
              </w:rPr>
            </w:pPr>
          </w:p>
        </w:tc>
        <w:tc>
          <w:tcPr>
            <w:tcW w:w="92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103.0</w:t>
            </w:r>
          </w:p>
        </w:tc>
        <w:tc>
          <w:tcPr>
            <w:tcW w:w="180" w:type="dxa"/>
            <w:vAlign w:val="bottom"/>
          </w:tcPr>
          <w:p>
            <w:pPr>
              <w:spacing w:after="0"/>
              <w:rPr>
                <w:sz w:val="21"/>
                <w:szCs w:val="21"/>
                <w:color w:val="auto"/>
              </w:rPr>
            </w:pPr>
          </w:p>
        </w:tc>
        <w:tc>
          <w:tcPr>
            <w:tcW w:w="92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164.2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140" w:type="dxa"/>
            <w:vAlign w:val="bottom"/>
            <w:tcBorders>
              <w:top w:val="single" w:sz="8" w:color="CFF0FC"/>
            </w:tcBorders>
            <w:shd w:val="clear" w:color="auto" w:fill="CFF0FC"/>
          </w:tcPr>
          <w:p>
            <w:pPr>
              <w:spacing w:after="0" w:line="195" w:lineRule="exact"/>
              <w:rPr>
                <w:sz w:val="20"/>
                <w:szCs w:val="20"/>
                <w:color w:val="auto"/>
              </w:rPr>
            </w:pPr>
            <w:r>
              <w:rPr>
                <w:rFonts w:ascii="Arial" w:cs="Arial" w:eastAsia="Arial" w:hAnsi="Arial"/>
                <w:sz w:val="18"/>
                <w:szCs w:val="18"/>
                <w:color w:val="auto"/>
              </w:rPr>
              <w:t>Non-cash operating activity:</w:t>
            </w:r>
          </w:p>
        </w:tc>
        <w:tc>
          <w:tcPr>
            <w:tcW w:w="920" w:type="dxa"/>
            <w:vAlign w:val="bottom"/>
            <w:tcBorders>
              <w:top w:val="single" w:sz="8" w:color="auto"/>
            </w:tcBorders>
            <w:shd w:val="clear" w:color="auto" w:fill="CFF0FC"/>
          </w:tcPr>
          <w:p>
            <w:pPr>
              <w:spacing w:after="0"/>
              <w:rPr>
                <w:sz w:val="17"/>
                <w:szCs w:val="17"/>
                <w:color w:val="auto"/>
              </w:rPr>
            </w:pPr>
          </w:p>
        </w:tc>
        <w:tc>
          <w:tcPr>
            <w:tcW w:w="62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620" w:type="dxa"/>
            <w:vAlign w:val="bottom"/>
            <w:tcBorders>
              <w:top w:val="single" w:sz="8" w:color="auto"/>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140" w:type="dxa"/>
            <w:vAlign w:val="bottom"/>
            <w:tcBorders>
              <w:bottom w:val="single" w:sz="8" w:color="CFF0FC"/>
            </w:tcBorders>
            <w:shd w:val="clear" w:color="auto" w:fill="CFF0FC"/>
          </w:tcPr>
          <w:p>
            <w:pPr>
              <w:ind w:left="220"/>
              <w:spacing w:after="0"/>
              <w:rPr>
                <w:sz w:val="20"/>
                <w:szCs w:val="20"/>
                <w:color w:val="auto"/>
              </w:rPr>
            </w:pPr>
            <w:r>
              <w:rPr>
                <w:rFonts w:ascii="Arial" w:cs="Arial" w:eastAsia="Arial" w:hAnsi="Arial"/>
                <w:sz w:val="18"/>
                <w:szCs w:val="18"/>
                <w:color w:val="auto"/>
              </w:rPr>
              <w:t>Right-of-use assets obtained in exchange for new operating lease liabilities</w:t>
            </w:r>
          </w:p>
        </w:tc>
        <w:tc>
          <w:tcPr>
            <w:tcW w:w="920" w:type="dxa"/>
            <w:vAlign w:val="bottom"/>
            <w:tcBorders>
              <w:bottom w:val="single" w:sz="8" w:color="auto"/>
            </w:tcBorders>
            <w:shd w:val="clear" w:color="auto" w:fill="CFF0FC"/>
          </w:tcPr>
          <w:p>
            <w:pPr>
              <w:jc w:val="right"/>
              <w:ind w:right="73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88.8</w:t>
            </w:r>
          </w:p>
        </w:tc>
        <w:tc>
          <w:tcPr>
            <w:tcW w:w="180" w:type="dxa"/>
            <w:vAlign w:val="bottom"/>
            <w:tcBorders>
              <w:bottom w:val="single" w:sz="8" w:color="CFF0FC"/>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ind w:right="73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 w:name="page7"/>
    <w:bookmarkEnd w:id="6"/>
    <w:p>
      <w:pPr>
        <w:ind w:left="4880"/>
        <w:spacing w:after="0"/>
        <w:rPr>
          <w:sz w:val="20"/>
          <w:szCs w:val="20"/>
          <w:color w:val="auto"/>
        </w:rPr>
      </w:pPr>
      <w:r>
        <w:rPr>
          <w:rFonts w:ascii="Arial" w:cs="Arial" w:eastAsia="Arial" w:hAnsi="Arial"/>
          <w:sz w:val="18"/>
          <w:szCs w:val="18"/>
          <w:b w:val="1"/>
          <w:bCs w:val="1"/>
          <w:color w:val="auto"/>
        </w:rPr>
        <w:t>ManpowerGroup Inc.</w:t>
      </w:r>
    </w:p>
    <w:p>
      <w:pPr>
        <w:spacing w:after="0" w:line="185"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Consolidated Statements of Shareholders' Equity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 and per share data)</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88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gridSpan w:val="5"/>
          </w:tcPr>
          <w:p>
            <w:pPr>
              <w:jc w:val="right"/>
              <w:spacing w:after="0"/>
              <w:rPr>
                <w:sz w:val="20"/>
                <w:szCs w:val="20"/>
                <w:color w:val="auto"/>
              </w:rPr>
            </w:pPr>
            <w:r>
              <w:rPr>
                <w:rFonts w:ascii="Arial" w:cs="Arial" w:eastAsia="Arial" w:hAnsi="Arial"/>
                <w:sz w:val="16"/>
                <w:szCs w:val="16"/>
                <w:b w:val="1"/>
                <w:bCs w:val="1"/>
                <w:color w:val="auto"/>
                <w:w w:val="94"/>
              </w:rPr>
              <w:t>ManpowerGroup Shareholders</w:t>
            </w:r>
          </w:p>
        </w:tc>
        <w:tc>
          <w:tcPr>
            <w:tcW w:w="13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07"/>
        </w:trPr>
        <w:tc>
          <w:tcPr>
            <w:tcW w:w="2880" w:type="dxa"/>
            <w:vAlign w:val="bottom"/>
          </w:tcPr>
          <w:p>
            <w:pPr>
              <w:spacing w:after="0"/>
              <w:rPr>
                <w:sz w:val="17"/>
                <w:szCs w:val="17"/>
                <w:color w:val="auto"/>
              </w:rPr>
            </w:pPr>
          </w:p>
        </w:tc>
        <w:tc>
          <w:tcPr>
            <w:tcW w:w="166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6"/>
                <w:szCs w:val="16"/>
                <w:b w:val="1"/>
                <w:bCs w:val="1"/>
                <w:color w:val="auto"/>
              </w:rPr>
              <w:t>Common Stock</w:t>
            </w:r>
          </w:p>
        </w:tc>
        <w:tc>
          <w:tcPr>
            <w:tcW w:w="46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1"/>
        </w:trPr>
        <w:tc>
          <w:tcPr>
            <w:tcW w:w="28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jc w:val="center"/>
              <w:ind w:right="119"/>
              <w:spacing w:after="0"/>
              <w:rPr>
                <w:sz w:val="20"/>
                <w:szCs w:val="20"/>
                <w:color w:val="auto"/>
              </w:rPr>
            </w:pPr>
            <w:r>
              <w:rPr>
                <w:rFonts w:ascii="Arial" w:cs="Arial" w:eastAsia="Arial" w:hAnsi="Arial"/>
                <w:sz w:val="16"/>
                <w:szCs w:val="16"/>
                <w:b w:val="1"/>
                <w:bCs w:val="1"/>
                <w:color w:val="auto"/>
                <w:w w:val="91"/>
              </w:rPr>
              <w:t>Accumulated</w:t>
            </w: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28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center"/>
              <w:ind w:right="159"/>
              <w:spacing w:after="0"/>
              <w:rPr>
                <w:sz w:val="20"/>
                <w:szCs w:val="20"/>
                <w:color w:val="auto"/>
              </w:rPr>
            </w:pPr>
            <w:r>
              <w:rPr>
                <w:rFonts w:ascii="Arial" w:cs="Arial" w:eastAsia="Arial" w:hAnsi="Arial"/>
                <w:sz w:val="16"/>
                <w:szCs w:val="16"/>
                <w:b w:val="1"/>
                <w:bCs w:val="1"/>
                <w:color w:val="auto"/>
                <w:w w:val="97"/>
              </w:rPr>
              <w:t>Capital in</w:t>
            </w: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jc w:val="center"/>
              <w:ind w:right="139"/>
              <w:spacing w:after="0"/>
              <w:rPr>
                <w:sz w:val="20"/>
                <w:szCs w:val="20"/>
                <w:color w:val="auto"/>
              </w:rPr>
            </w:pPr>
            <w:r>
              <w:rPr>
                <w:rFonts w:ascii="Arial" w:cs="Arial" w:eastAsia="Arial" w:hAnsi="Arial"/>
                <w:sz w:val="16"/>
                <w:szCs w:val="16"/>
                <w:b w:val="1"/>
                <w:bCs w:val="1"/>
                <w:color w:val="auto"/>
                <w:w w:val="98"/>
              </w:rPr>
              <w:t>Other</w:t>
            </w: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center"/>
              <w:ind w:right="139"/>
              <w:spacing w:after="0"/>
              <w:rPr>
                <w:sz w:val="20"/>
                <w:szCs w:val="20"/>
                <w:color w:val="auto"/>
              </w:rPr>
            </w:pPr>
            <w:r>
              <w:rPr>
                <w:rFonts w:ascii="Arial" w:cs="Arial" w:eastAsia="Arial" w:hAnsi="Arial"/>
                <w:sz w:val="16"/>
                <w:szCs w:val="16"/>
                <w:b w:val="1"/>
                <w:bCs w:val="1"/>
                <w:color w:val="auto"/>
                <w:w w:val="93"/>
              </w:rPr>
              <w:t>Non-</w:t>
            </w: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2880" w:type="dxa"/>
            <w:vAlign w:val="bottom"/>
          </w:tcPr>
          <w:p>
            <w:pPr>
              <w:spacing w:after="0"/>
              <w:rPr>
                <w:sz w:val="17"/>
                <w:szCs w:val="17"/>
                <w:color w:val="auto"/>
              </w:rPr>
            </w:pPr>
          </w:p>
        </w:tc>
        <w:tc>
          <w:tcPr>
            <w:tcW w:w="1140" w:type="dxa"/>
            <w:vAlign w:val="bottom"/>
          </w:tcPr>
          <w:p>
            <w:pPr>
              <w:jc w:val="right"/>
              <w:ind w:right="299"/>
              <w:spacing w:after="0"/>
              <w:rPr>
                <w:sz w:val="20"/>
                <w:szCs w:val="20"/>
                <w:color w:val="auto"/>
              </w:rPr>
            </w:pPr>
            <w:r>
              <w:rPr>
                <w:rFonts w:ascii="Arial" w:cs="Arial" w:eastAsia="Arial" w:hAnsi="Arial"/>
                <w:sz w:val="16"/>
                <w:szCs w:val="16"/>
                <w:b w:val="1"/>
                <w:bCs w:val="1"/>
                <w:color w:val="auto"/>
              </w:rPr>
              <w:t>Shares</w:t>
            </w:r>
          </w:p>
        </w:tc>
        <w:tc>
          <w:tcPr>
            <w:tcW w:w="5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center"/>
              <w:ind w:right="159"/>
              <w:spacing w:after="0"/>
              <w:rPr>
                <w:sz w:val="20"/>
                <w:szCs w:val="20"/>
                <w:color w:val="auto"/>
              </w:rPr>
            </w:pPr>
            <w:r>
              <w:rPr>
                <w:rFonts w:ascii="Arial" w:cs="Arial" w:eastAsia="Arial" w:hAnsi="Arial"/>
                <w:sz w:val="16"/>
                <w:szCs w:val="16"/>
                <w:b w:val="1"/>
                <w:bCs w:val="1"/>
                <w:color w:val="auto"/>
                <w:w w:val="82"/>
              </w:rPr>
              <w:t>Excess of</w:t>
            </w:r>
          </w:p>
        </w:tc>
        <w:tc>
          <w:tcPr>
            <w:tcW w:w="960" w:type="dxa"/>
            <w:vAlign w:val="bottom"/>
            <w:gridSpan w:val="2"/>
          </w:tcPr>
          <w:p>
            <w:pPr>
              <w:jc w:val="right"/>
              <w:ind w:right="119"/>
              <w:spacing w:after="0"/>
              <w:rPr>
                <w:sz w:val="20"/>
                <w:szCs w:val="20"/>
                <w:color w:val="auto"/>
              </w:rPr>
            </w:pPr>
            <w:r>
              <w:rPr>
                <w:rFonts w:ascii="Arial" w:cs="Arial" w:eastAsia="Arial" w:hAnsi="Arial"/>
                <w:sz w:val="16"/>
                <w:szCs w:val="16"/>
                <w:b w:val="1"/>
                <w:bCs w:val="1"/>
                <w:color w:val="auto"/>
              </w:rPr>
              <w:t>Retained</w:t>
            </w:r>
          </w:p>
        </w:tc>
        <w:tc>
          <w:tcPr>
            <w:tcW w:w="160" w:type="dxa"/>
            <w:vAlign w:val="bottom"/>
          </w:tcPr>
          <w:p>
            <w:pPr>
              <w:spacing w:after="0"/>
              <w:rPr>
                <w:sz w:val="17"/>
                <w:szCs w:val="17"/>
                <w:color w:val="auto"/>
              </w:rPr>
            </w:pPr>
          </w:p>
        </w:tc>
        <w:tc>
          <w:tcPr>
            <w:tcW w:w="1320" w:type="dxa"/>
            <w:vAlign w:val="bottom"/>
          </w:tcPr>
          <w:p>
            <w:pPr>
              <w:jc w:val="center"/>
              <w:ind w:right="119"/>
              <w:spacing w:after="0"/>
              <w:rPr>
                <w:sz w:val="20"/>
                <w:szCs w:val="20"/>
                <w:color w:val="auto"/>
              </w:rPr>
            </w:pPr>
            <w:r>
              <w:rPr>
                <w:rFonts w:ascii="Arial" w:cs="Arial" w:eastAsia="Arial" w:hAnsi="Arial"/>
                <w:sz w:val="16"/>
                <w:szCs w:val="16"/>
                <w:b w:val="1"/>
                <w:bCs w:val="1"/>
                <w:color w:val="auto"/>
                <w:w w:val="89"/>
              </w:rPr>
              <w:t>Comprehensive</w:t>
            </w:r>
          </w:p>
        </w:tc>
        <w:tc>
          <w:tcPr>
            <w:tcW w:w="880" w:type="dxa"/>
            <w:vAlign w:val="bottom"/>
            <w:gridSpan w:val="2"/>
          </w:tcPr>
          <w:p>
            <w:pPr>
              <w:jc w:val="right"/>
              <w:ind w:right="59"/>
              <w:spacing w:after="0"/>
              <w:rPr>
                <w:sz w:val="20"/>
                <w:szCs w:val="20"/>
                <w:color w:val="auto"/>
              </w:rPr>
            </w:pPr>
            <w:r>
              <w:rPr>
                <w:rFonts w:ascii="Arial" w:cs="Arial" w:eastAsia="Arial" w:hAnsi="Arial"/>
                <w:sz w:val="16"/>
                <w:szCs w:val="16"/>
                <w:b w:val="1"/>
                <w:bCs w:val="1"/>
                <w:color w:val="auto"/>
              </w:rPr>
              <w:t>Treasury</w:t>
            </w:r>
          </w:p>
        </w:tc>
        <w:tc>
          <w:tcPr>
            <w:tcW w:w="1120" w:type="dxa"/>
            <w:vAlign w:val="bottom"/>
            <w:gridSpan w:val="2"/>
          </w:tcPr>
          <w:p>
            <w:pPr>
              <w:jc w:val="center"/>
              <w:spacing w:after="0"/>
              <w:rPr>
                <w:sz w:val="20"/>
                <w:szCs w:val="20"/>
                <w:color w:val="auto"/>
              </w:rPr>
            </w:pPr>
            <w:r>
              <w:rPr>
                <w:rFonts w:ascii="Arial" w:cs="Arial" w:eastAsia="Arial" w:hAnsi="Arial"/>
                <w:sz w:val="16"/>
                <w:szCs w:val="16"/>
                <w:b w:val="1"/>
                <w:bCs w:val="1"/>
                <w:color w:val="auto"/>
                <w:w w:val="93"/>
              </w:rPr>
              <w:t>Controlling</w:t>
            </w: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13"/>
        </w:trPr>
        <w:tc>
          <w:tcPr>
            <w:tcW w:w="28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Issued</w:t>
            </w:r>
          </w:p>
        </w:tc>
        <w:tc>
          <w:tcPr>
            <w:tcW w:w="980" w:type="dxa"/>
            <w:vAlign w:val="bottom"/>
            <w:tcBorders>
              <w:bottom w:val="single" w:sz="8" w:color="auto"/>
            </w:tcBorders>
            <w:gridSpan w:val="2"/>
          </w:tcPr>
          <w:p>
            <w:pPr>
              <w:jc w:val="right"/>
              <w:ind w:right="79"/>
              <w:spacing w:after="0"/>
              <w:rPr>
                <w:sz w:val="20"/>
                <w:szCs w:val="20"/>
                <w:color w:val="auto"/>
              </w:rPr>
            </w:pPr>
            <w:r>
              <w:rPr>
                <w:rFonts w:ascii="Arial" w:cs="Arial" w:eastAsia="Arial" w:hAnsi="Arial"/>
                <w:sz w:val="16"/>
                <w:szCs w:val="16"/>
                <w:b w:val="1"/>
                <w:bCs w:val="1"/>
                <w:color w:val="auto"/>
              </w:rPr>
              <w:t>Par Value</w:t>
            </w: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b w:val="1"/>
                <w:bCs w:val="1"/>
                <w:color w:val="auto"/>
                <w:w w:val="93"/>
              </w:rPr>
              <w:t>Par Value</w:t>
            </w:r>
          </w:p>
        </w:tc>
        <w:tc>
          <w:tcPr>
            <w:tcW w:w="960" w:type="dxa"/>
            <w:vAlign w:val="bottom"/>
            <w:tcBorders>
              <w:bottom w:val="single" w:sz="8" w:color="auto"/>
            </w:tcBorders>
            <w:gridSpan w:val="2"/>
          </w:tcPr>
          <w:p>
            <w:pPr>
              <w:jc w:val="right"/>
              <w:ind w:right="119"/>
              <w:spacing w:after="0"/>
              <w:rPr>
                <w:sz w:val="20"/>
                <w:szCs w:val="20"/>
                <w:color w:val="auto"/>
              </w:rPr>
            </w:pPr>
            <w:r>
              <w:rPr>
                <w:rFonts w:ascii="Arial" w:cs="Arial" w:eastAsia="Arial" w:hAnsi="Arial"/>
                <w:sz w:val="16"/>
                <w:szCs w:val="16"/>
                <w:b w:val="1"/>
                <w:bCs w:val="1"/>
                <w:color w:val="auto"/>
              </w:rPr>
              <w:t>Earnings</w:t>
            </w: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w w:val="85"/>
              </w:rPr>
              <w:t>Loss</w:t>
            </w: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w w:val="96"/>
              </w:rPr>
              <w:t>Stock</w:t>
            </w: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ind w:right="159"/>
              <w:spacing w:after="0"/>
              <w:rPr>
                <w:sz w:val="20"/>
                <w:szCs w:val="20"/>
                <w:color w:val="auto"/>
              </w:rPr>
            </w:pPr>
            <w:r>
              <w:rPr>
                <w:rFonts w:ascii="Arial" w:cs="Arial" w:eastAsia="Arial" w:hAnsi="Arial"/>
                <w:sz w:val="16"/>
                <w:szCs w:val="16"/>
                <w:b w:val="1"/>
                <w:bCs w:val="1"/>
                <w:color w:val="auto"/>
                <w:w w:val="89"/>
              </w:rPr>
              <w:t>Interests</w:t>
            </w: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w w:val="99"/>
              </w:rPr>
              <w:t>Total</w:t>
            </w:r>
          </w:p>
        </w:tc>
      </w:tr>
      <w:tr>
        <w:trPr>
          <w:trHeight w:val="213"/>
        </w:trPr>
        <w:tc>
          <w:tcPr>
            <w:tcW w:w="2880" w:type="dxa"/>
            <w:vAlign w:val="bottom"/>
            <w:shd w:val="clear" w:color="auto" w:fill="CFF0FC"/>
          </w:tcPr>
          <w:p>
            <w:pPr>
              <w:spacing w:after="0"/>
              <w:rPr>
                <w:sz w:val="20"/>
                <w:szCs w:val="20"/>
                <w:color w:val="auto"/>
              </w:rPr>
            </w:pPr>
            <w:r>
              <w:rPr>
                <w:rFonts w:ascii="Arial" w:cs="Arial" w:eastAsia="Arial" w:hAnsi="Arial"/>
                <w:sz w:val="16"/>
                <w:szCs w:val="16"/>
                <w:color w:val="auto"/>
              </w:rPr>
              <w:t>Balance, December 31, 2018</w:t>
            </w:r>
          </w:p>
        </w:tc>
        <w:tc>
          <w:tcPr>
            <w:tcW w:w="114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116,795,899</w:t>
            </w:r>
          </w:p>
        </w:tc>
        <w:tc>
          <w:tcPr>
            <w:tcW w:w="520" w:type="dxa"/>
            <w:vAlign w:val="bottom"/>
            <w:shd w:val="clear" w:color="auto" w:fill="CFF0FC"/>
          </w:tcPr>
          <w:p>
            <w:pPr>
              <w:jc w:val="right"/>
              <w:ind w:right="259"/>
              <w:spacing w:after="0"/>
              <w:rPr>
                <w:sz w:val="20"/>
                <w:szCs w:val="20"/>
                <w:color w:val="auto"/>
              </w:rPr>
            </w:pPr>
            <w:r>
              <w:rPr>
                <w:rFonts w:ascii="Arial" w:cs="Arial" w:eastAsia="Arial" w:hAnsi="Arial"/>
                <w:sz w:val="16"/>
                <w:szCs w:val="16"/>
                <w:color w:val="auto"/>
              </w:rPr>
              <w:t>$</w:t>
            </w:r>
          </w:p>
        </w:tc>
        <w:tc>
          <w:tcPr>
            <w:tcW w:w="4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1.2</w:t>
            </w: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3,337.5</w:t>
            </w:r>
          </w:p>
        </w:tc>
        <w:tc>
          <w:tcPr>
            <w:tcW w:w="24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3,157.7</w:t>
            </w: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(399.8)</w:t>
            </w: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(3,471.7)</w:t>
            </w:r>
          </w:p>
        </w:tc>
        <w:tc>
          <w:tcPr>
            <w:tcW w:w="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73.6</w:t>
            </w: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2,698.5</w:t>
            </w:r>
          </w:p>
        </w:tc>
      </w:tr>
      <w:tr>
        <w:trPr>
          <w:trHeight w:val="213"/>
        </w:trPr>
        <w:tc>
          <w:tcPr>
            <w:tcW w:w="2880" w:type="dxa"/>
            <w:vAlign w:val="bottom"/>
          </w:tcPr>
          <w:p>
            <w:pPr>
              <w:ind w:left="260"/>
              <w:spacing w:after="0"/>
              <w:rPr>
                <w:sz w:val="20"/>
                <w:szCs w:val="20"/>
                <w:color w:val="auto"/>
              </w:rPr>
            </w:pPr>
            <w:r>
              <w:rPr>
                <w:rFonts w:ascii="Arial" w:cs="Arial" w:eastAsia="Arial" w:hAnsi="Arial"/>
                <w:sz w:val="16"/>
                <w:szCs w:val="16"/>
                <w:color w:val="auto"/>
              </w:rPr>
              <w:t>Net earnings</w:t>
            </w:r>
          </w:p>
        </w:tc>
        <w:tc>
          <w:tcPr>
            <w:tcW w:w="1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53.5</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53.5</w:t>
            </w:r>
          </w:p>
        </w:tc>
      </w:tr>
      <w:tr>
        <w:trPr>
          <w:trHeight w:val="219"/>
        </w:trPr>
        <w:tc>
          <w:tcPr>
            <w:tcW w:w="28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Other comprehensive loss</w:t>
            </w:r>
          </w:p>
        </w:tc>
        <w:tc>
          <w:tcPr>
            <w:tcW w:w="11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w:t>
            </w: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w:t>
            </w:r>
          </w:p>
        </w:tc>
      </w:tr>
      <w:tr>
        <w:trPr>
          <w:trHeight w:val="213"/>
        </w:trPr>
        <w:tc>
          <w:tcPr>
            <w:tcW w:w="2880" w:type="dxa"/>
            <w:vAlign w:val="bottom"/>
          </w:tcPr>
          <w:p>
            <w:pPr>
              <w:ind w:left="260"/>
              <w:spacing w:after="0"/>
              <w:rPr>
                <w:sz w:val="20"/>
                <w:szCs w:val="20"/>
                <w:color w:val="auto"/>
              </w:rPr>
            </w:pPr>
            <w:r>
              <w:rPr>
                <w:rFonts w:ascii="Arial" w:cs="Arial" w:eastAsia="Arial" w:hAnsi="Arial"/>
                <w:sz w:val="16"/>
                <w:szCs w:val="16"/>
                <w:color w:val="auto"/>
              </w:rPr>
              <w:t>Issuances under equity plans</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247,325</w:t>
            </w: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0.4</w:t>
            </w: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(5.3)</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(4.9)</w:t>
            </w:r>
          </w:p>
        </w:tc>
      </w:tr>
      <w:tr>
        <w:trPr>
          <w:trHeight w:val="219"/>
        </w:trPr>
        <w:tc>
          <w:tcPr>
            <w:tcW w:w="2880" w:type="dxa"/>
            <w:vAlign w:val="bottom"/>
            <w:shd w:val="clear" w:color="auto" w:fill="CFF0FC"/>
          </w:tcPr>
          <w:p>
            <w:pPr>
              <w:ind w:left="260"/>
              <w:spacing w:after="0"/>
              <w:rPr>
                <w:sz w:val="20"/>
                <w:szCs w:val="20"/>
                <w:color w:val="auto"/>
              </w:rPr>
            </w:pPr>
            <w:r>
              <w:rPr>
                <w:rFonts w:ascii="Arial" w:cs="Arial" w:eastAsia="Arial" w:hAnsi="Arial"/>
                <w:sz w:val="16"/>
                <w:szCs w:val="16"/>
                <w:color w:val="auto"/>
                <w:w w:val="99"/>
              </w:rPr>
              <w:t>Share-based compensation expense</w:t>
            </w:r>
          </w:p>
        </w:tc>
        <w:tc>
          <w:tcPr>
            <w:tcW w:w="11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4.6</w:t>
            </w:r>
          </w:p>
        </w:tc>
        <w:tc>
          <w:tcPr>
            <w:tcW w:w="2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w:t>
            </w:r>
          </w:p>
        </w:tc>
      </w:tr>
      <w:tr>
        <w:trPr>
          <w:trHeight w:val="213"/>
        </w:trPr>
        <w:tc>
          <w:tcPr>
            <w:tcW w:w="2880" w:type="dxa"/>
            <w:vAlign w:val="bottom"/>
          </w:tcPr>
          <w:p>
            <w:pPr>
              <w:ind w:left="260"/>
              <w:spacing w:after="0"/>
              <w:rPr>
                <w:sz w:val="20"/>
                <w:szCs w:val="20"/>
                <w:color w:val="auto"/>
              </w:rPr>
            </w:pPr>
            <w:r>
              <w:rPr>
                <w:rFonts w:ascii="Arial" w:cs="Arial" w:eastAsia="Arial" w:hAnsi="Arial"/>
                <w:sz w:val="16"/>
                <w:szCs w:val="16"/>
                <w:color w:val="auto"/>
              </w:rPr>
              <w:t>Repurchases of common stock</w:t>
            </w:r>
          </w:p>
        </w:tc>
        <w:tc>
          <w:tcPr>
            <w:tcW w:w="1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(101.0)</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(101.0)</w:t>
            </w:r>
          </w:p>
        </w:tc>
      </w:tr>
      <w:tr>
        <w:trPr>
          <w:trHeight w:val="216"/>
        </w:trPr>
        <w:tc>
          <w:tcPr>
            <w:tcW w:w="2880" w:type="dxa"/>
            <w:vAlign w:val="bottom"/>
            <w:tcBorders>
              <w:bottom w:val="single" w:sz="8" w:color="auto"/>
            </w:tcBorders>
            <w:shd w:val="clear" w:color="auto" w:fill="CFF0FC"/>
          </w:tcPr>
          <w:p>
            <w:pPr>
              <w:ind w:left="260"/>
              <w:spacing w:after="0"/>
              <w:rPr>
                <w:sz w:val="20"/>
                <w:szCs w:val="20"/>
                <w:color w:val="auto"/>
              </w:rPr>
            </w:pPr>
            <w:r>
              <w:rPr>
                <w:rFonts w:ascii="Arial" w:cs="Arial" w:eastAsia="Arial" w:hAnsi="Arial"/>
                <w:sz w:val="16"/>
                <w:szCs w:val="16"/>
                <w:color w:val="auto"/>
              </w:rPr>
              <w:t>Noncontrolling interest transactions</w:t>
            </w:r>
          </w:p>
        </w:tc>
        <w:tc>
          <w:tcPr>
            <w:tcW w:w="1140" w:type="dxa"/>
            <w:vAlign w:val="bottom"/>
            <w:tcBorders>
              <w:bottom w:val="single" w:sz="8" w:color="auto"/>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0.5</w:t>
            </w:r>
          </w:p>
        </w:tc>
        <w:tc>
          <w:tcPr>
            <w:tcW w:w="24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0.7</w:t>
            </w:r>
          </w:p>
        </w:tc>
        <w:tc>
          <w:tcPr>
            <w:tcW w:w="18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w:t>
            </w:r>
          </w:p>
        </w:tc>
      </w:tr>
      <w:tr>
        <w:trPr>
          <w:trHeight w:val="210"/>
        </w:trPr>
        <w:tc>
          <w:tcPr>
            <w:tcW w:w="2880" w:type="dxa"/>
            <w:vAlign w:val="bottom"/>
          </w:tcPr>
          <w:p>
            <w:pPr>
              <w:spacing w:after="0"/>
              <w:rPr>
                <w:sz w:val="20"/>
                <w:szCs w:val="20"/>
                <w:color w:val="auto"/>
              </w:rPr>
            </w:pPr>
            <w:r>
              <w:rPr>
                <w:rFonts w:ascii="Arial" w:cs="Arial" w:eastAsia="Arial" w:hAnsi="Arial"/>
                <w:sz w:val="16"/>
                <w:szCs w:val="16"/>
                <w:color w:val="auto"/>
              </w:rPr>
              <w:t>Balance, March 31, 2019</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117,043,224</w:t>
            </w:r>
          </w:p>
        </w:tc>
        <w:tc>
          <w:tcPr>
            <w:tcW w:w="520" w:type="dxa"/>
            <w:vAlign w:val="bottom"/>
          </w:tcPr>
          <w:p>
            <w:pPr>
              <w:spacing w:after="0"/>
              <w:rPr>
                <w:sz w:val="18"/>
                <w:szCs w:val="18"/>
                <w:color w:val="auto"/>
              </w:rPr>
            </w:pPr>
          </w:p>
        </w:tc>
        <w:tc>
          <w:tcPr>
            <w:tcW w:w="460" w:type="dxa"/>
            <w:vAlign w:val="bottom"/>
          </w:tcPr>
          <w:p>
            <w:pPr>
              <w:jc w:val="right"/>
              <w:ind w:right="39"/>
              <w:spacing w:after="0"/>
              <w:rPr>
                <w:sz w:val="20"/>
                <w:szCs w:val="20"/>
                <w:color w:val="auto"/>
              </w:rPr>
            </w:pPr>
            <w:r>
              <w:rPr>
                <w:rFonts w:ascii="Arial" w:cs="Arial" w:eastAsia="Arial" w:hAnsi="Arial"/>
                <w:sz w:val="16"/>
                <w:szCs w:val="16"/>
                <w:color w:val="auto"/>
              </w:rPr>
              <w:t>1.2</w:t>
            </w:r>
          </w:p>
        </w:tc>
        <w:tc>
          <w:tcPr>
            <w:tcW w:w="180" w:type="dxa"/>
            <w:vAlign w:val="bottom"/>
          </w:tcPr>
          <w:p>
            <w:pPr>
              <w:spacing w:after="0"/>
              <w:rPr>
                <w:sz w:val="18"/>
                <w:szCs w:val="18"/>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3,343.0</w:t>
            </w:r>
          </w:p>
        </w:tc>
        <w:tc>
          <w:tcPr>
            <w:tcW w:w="240" w:type="dxa"/>
            <w:vAlign w:val="bottom"/>
          </w:tcPr>
          <w:p>
            <w:pPr>
              <w:spacing w:after="0"/>
              <w:rPr>
                <w:sz w:val="18"/>
                <w:szCs w:val="18"/>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3,211.2</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(401.8)</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(3,578.0)</w:t>
            </w:r>
          </w:p>
        </w:tc>
        <w:tc>
          <w:tcPr>
            <w:tcW w:w="200" w:type="dxa"/>
            <w:vAlign w:val="bottom"/>
          </w:tcPr>
          <w:p>
            <w:pPr>
              <w:spacing w:after="0"/>
              <w:rPr>
                <w:sz w:val="18"/>
                <w:szCs w:val="18"/>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74.3</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2,649.9</w:t>
            </w:r>
          </w:p>
        </w:tc>
      </w:tr>
      <w:tr>
        <w:trPr>
          <w:trHeight w:val="219"/>
        </w:trPr>
        <w:tc>
          <w:tcPr>
            <w:tcW w:w="28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Net earnings</w:t>
            </w:r>
          </w:p>
        </w:tc>
        <w:tc>
          <w:tcPr>
            <w:tcW w:w="11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127.3</w:t>
            </w:r>
          </w:p>
        </w:tc>
        <w:tc>
          <w:tcPr>
            <w:tcW w:w="1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127.3</w:t>
            </w:r>
          </w:p>
        </w:tc>
      </w:tr>
      <w:tr>
        <w:trPr>
          <w:trHeight w:val="213"/>
        </w:trPr>
        <w:tc>
          <w:tcPr>
            <w:tcW w:w="2880" w:type="dxa"/>
            <w:vAlign w:val="bottom"/>
          </w:tcPr>
          <w:p>
            <w:pPr>
              <w:ind w:left="260"/>
              <w:spacing w:after="0"/>
              <w:rPr>
                <w:sz w:val="20"/>
                <w:szCs w:val="20"/>
                <w:color w:val="auto"/>
              </w:rPr>
            </w:pPr>
            <w:r>
              <w:rPr>
                <w:rFonts w:ascii="Arial" w:cs="Arial" w:eastAsia="Arial" w:hAnsi="Arial"/>
                <w:sz w:val="16"/>
                <w:szCs w:val="16"/>
                <w:color w:val="auto"/>
              </w:rPr>
              <w:t>Other comprehensive loss</w:t>
            </w:r>
          </w:p>
        </w:tc>
        <w:tc>
          <w:tcPr>
            <w:tcW w:w="1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(14.7)</w:t>
            </w: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(14.7)</w:t>
            </w:r>
          </w:p>
        </w:tc>
      </w:tr>
      <w:tr>
        <w:trPr>
          <w:trHeight w:val="219"/>
        </w:trPr>
        <w:tc>
          <w:tcPr>
            <w:tcW w:w="28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Issuances under equity plans</w:t>
            </w:r>
          </w:p>
        </w:tc>
        <w:tc>
          <w:tcPr>
            <w:tcW w:w="114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120,244</w:t>
            </w:r>
          </w:p>
        </w:tc>
        <w:tc>
          <w:tcPr>
            <w:tcW w:w="5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3.9</w:t>
            </w:r>
          </w:p>
        </w:tc>
        <w:tc>
          <w:tcPr>
            <w:tcW w:w="2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w:t>
            </w: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w:t>
            </w:r>
          </w:p>
        </w:tc>
      </w:tr>
      <w:tr>
        <w:trPr>
          <w:trHeight w:val="213"/>
        </w:trPr>
        <w:tc>
          <w:tcPr>
            <w:tcW w:w="2880" w:type="dxa"/>
            <w:vAlign w:val="bottom"/>
          </w:tcPr>
          <w:p>
            <w:pPr>
              <w:ind w:left="260"/>
              <w:spacing w:after="0"/>
              <w:rPr>
                <w:sz w:val="20"/>
                <w:szCs w:val="20"/>
                <w:color w:val="auto"/>
              </w:rPr>
            </w:pPr>
            <w:r>
              <w:rPr>
                <w:rFonts w:ascii="Arial" w:cs="Arial" w:eastAsia="Arial" w:hAnsi="Arial"/>
                <w:sz w:val="16"/>
                <w:szCs w:val="16"/>
                <w:color w:val="auto"/>
                <w:w w:val="99"/>
              </w:rPr>
              <w:t>Share-based compensation expense</w:t>
            </w:r>
          </w:p>
        </w:tc>
        <w:tc>
          <w:tcPr>
            <w:tcW w:w="1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8.3</w:t>
            </w: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8.3</w:t>
            </w:r>
          </w:p>
        </w:tc>
      </w:tr>
      <w:tr>
        <w:trPr>
          <w:trHeight w:val="219"/>
        </w:trPr>
        <w:tc>
          <w:tcPr>
            <w:tcW w:w="28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Dividends</w:t>
            </w:r>
          </w:p>
        </w:tc>
        <w:tc>
          <w:tcPr>
            <w:tcW w:w="11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(65.2)</w:t>
            </w:r>
          </w:p>
        </w:tc>
        <w:tc>
          <w:tcPr>
            <w:tcW w:w="1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(65.2)</w:t>
            </w:r>
          </w:p>
        </w:tc>
      </w:tr>
      <w:tr>
        <w:trPr>
          <w:trHeight w:val="213"/>
        </w:trPr>
        <w:tc>
          <w:tcPr>
            <w:tcW w:w="2880" w:type="dxa"/>
            <w:vAlign w:val="bottom"/>
            <w:tcBorders>
              <w:bottom w:val="single" w:sz="8" w:color="auto"/>
            </w:tcBorders>
          </w:tcPr>
          <w:p>
            <w:pPr>
              <w:ind w:left="260"/>
              <w:spacing w:after="0"/>
              <w:rPr>
                <w:sz w:val="20"/>
                <w:szCs w:val="20"/>
                <w:color w:val="auto"/>
              </w:rPr>
            </w:pPr>
            <w:r>
              <w:rPr>
                <w:rFonts w:ascii="Arial" w:cs="Arial" w:eastAsia="Arial" w:hAnsi="Arial"/>
                <w:sz w:val="16"/>
                <w:szCs w:val="16"/>
                <w:color w:val="auto"/>
              </w:rPr>
              <w:t>Noncontrolling interest transactions</w:t>
            </w:r>
          </w:p>
        </w:tc>
        <w:tc>
          <w:tcPr>
            <w:tcW w:w="11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(0.8)</w:t>
            </w:r>
          </w:p>
        </w:tc>
        <w:tc>
          <w:tcPr>
            <w:tcW w:w="2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w:t>
            </w: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w:t>
            </w:r>
          </w:p>
        </w:tc>
      </w:tr>
      <w:tr>
        <w:trPr>
          <w:trHeight w:val="213"/>
        </w:trPr>
        <w:tc>
          <w:tcPr>
            <w:tcW w:w="2880" w:type="dxa"/>
            <w:vAlign w:val="bottom"/>
            <w:shd w:val="clear" w:color="auto" w:fill="CFF0FC"/>
          </w:tcPr>
          <w:p>
            <w:pPr>
              <w:spacing w:after="0"/>
              <w:rPr>
                <w:sz w:val="20"/>
                <w:szCs w:val="20"/>
                <w:color w:val="auto"/>
              </w:rPr>
            </w:pPr>
            <w:r>
              <w:rPr>
                <w:rFonts w:ascii="Arial" w:cs="Arial" w:eastAsia="Arial" w:hAnsi="Arial"/>
                <w:sz w:val="16"/>
                <w:szCs w:val="16"/>
                <w:color w:val="auto"/>
              </w:rPr>
              <w:t>Balance, June 30, 2019</w:t>
            </w:r>
          </w:p>
        </w:tc>
        <w:tc>
          <w:tcPr>
            <w:tcW w:w="114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117,163,468</w:t>
            </w:r>
          </w:p>
        </w:tc>
        <w:tc>
          <w:tcPr>
            <w:tcW w:w="520" w:type="dxa"/>
            <w:vAlign w:val="bottom"/>
            <w:shd w:val="clear" w:color="auto" w:fill="CFF0FC"/>
          </w:tcPr>
          <w:p>
            <w:pPr>
              <w:spacing w:after="0"/>
              <w:rPr>
                <w:sz w:val="18"/>
                <w:szCs w:val="18"/>
                <w:color w:val="auto"/>
              </w:rPr>
            </w:pPr>
          </w:p>
        </w:tc>
        <w:tc>
          <w:tcPr>
            <w:tcW w:w="4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1.2</w:t>
            </w: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3,354.4</w:t>
            </w:r>
          </w:p>
        </w:tc>
        <w:tc>
          <w:tcPr>
            <w:tcW w:w="240" w:type="dxa"/>
            <w:vAlign w:val="bottom"/>
            <w:shd w:val="clear" w:color="auto" w:fill="CFF0FC"/>
          </w:tcPr>
          <w:p>
            <w:pPr>
              <w:spacing w:after="0"/>
              <w:rPr>
                <w:sz w:val="18"/>
                <w:szCs w:val="18"/>
                <w:color w:val="auto"/>
              </w:rPr>
            </w:pPr>
          </w:p>
        </w:tc>
        <w:tc>
          <w:tcPr>
            <w:tcW w:w="7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3,273.3</w:t>
            </w:r>
          </w:p>
        </w:tc>
        <w:tc>
          <w:tcPr>
            <w:tcW w:w="16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(416.5)</w:t>
            </w: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(3,579.9)</w:t>
            </w: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62.0</w:t>
            </w:r>
          </w:p>
        </w:tc>
        <w:tc>
          <w:tcPr>
            <w:tcW w:w="18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2,694.5</w:t>
            </w:r>
          </w:p>
        </w:tc>
      </w:tr>
      <w:tr>
        <w:trPr>
          <w:trHeight w:val="213"/>
        </w:trPr>
        <w:tc>
          <w:tcPr>
            <w:tcW w:w="2880" w:type="dxa"/>
            <w:vAlign w:val="bottom"/>
          </w:tcPr>
          <w:p>
            <w:pPr>
              <w:ind w:left="260"/>
              <w:spacing w:after="0"/>
              <w:rPr>
                <w:sz w:val="20"/>
                <w:szCs w:val="20"/>
                <w:color w:val="auto"/>
              </w:rPr>
            </w:pPr>
            <w:r>
              <w:rPr>
                <w:rFonts w:ascii="Arial" w:cs="Arial" w:eastAsia="Arial" w:hAnsi="Arial"/>
                <w:sz w:val="16"/>
                <w:szCs w:val="16"/>
                <w:color w:val="auto"/>
              </w:rPr>
              <w:t>Net earnings</w:t>
            </w:r>
          </w:p>
        </w:tc>
        <w:tc>
          <w:tcPr>
            <w:tcW w:w="1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146.1</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146.1</w:t>
            </w:r>
          </w:p>
        </w:tc>
      </w:tr>
      <w:tr>
        <w:trPr>
          <w:trHeight w:val="219"/>
        </w:trPr>
        <w:tc>
          <w:tcPr>
            <w:tcW w:w="28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Other comprehensive loss</w:t>
            </w:r>
          </w:p>
        </w:tc>
        <w:tc>
          <w:tcPr>
            <w:tcW w:w="11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(36.0)</w:t>
            </w: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(36.0)</w:t>
            </w:r>
          </w:p>
        </w:tc>
      </w:tr>
      <w:tr>
        <w:trPr>
          <w:trHeight w:val="213"/>
        </w:trPr>
        <w:tc>
          <w:tcPr>
            <w:tcW w:w="2880" w:type="dxa"/>
            <w:vAlign w:val="bottom"/>
          </w:tcPr>
          <w:p>
            <w:pPr>
              <w:ind w:left="260"/>
              <w:spacing w:after="0"/>
              <w:rPr>
                <w:sz w:val="20"/>
                <w:szCs w:val="20"/>
                <w:color w:val="auto"/>
              </w:rPr>
            </w:pPr>
            <w:r>
              <w:rPr>
                <w:rFonts w:ascii="Arial" w:cs="Arial" w:eastAsia="Arial" w:hAnsi="Arial"/>
                <w:sz w:val="16"/>
                <w:szCs w:val="16"/>
                <w:color w:val="auto"/>
              </w:rPr>
              <w:t>Issuances under equity plans</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13,881</w:t>
            </w: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0.7</w:t>
            </w: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(0.1)</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0.6</w:t>
            </w:r>
          </w:p>
        </w:tc>
      </w:tr>
      <w:tr>
        <w:trPr>
          <w:trHeight w:val="219"/>
        </w:trPr>
        <w:tc>
          <w:tcPr>
            <w:tcW w:w="2880" w:type="dxa"/>
            <w:vAlign w:val="bottom"/>
            <w:shd w:val="clear" w:color="auto" w:fill="CFF0FC"/>
          </w:tcPr>
          <w:p>
            <w:pPr>
              <w:ind w:left="260"/>
              <w:spacing w:after="0"/>
              <w:rPr>
                <w:sz w:val="20"/>
                <w:szCs w:val="20"/>
                <w:color w:val="auto"/>
              </w:rPr>
            </w:pPr>
            <w:r>
              <w:rPr>
                <w:rFonts w:ascii="Arial" w:cs="Arial" w:eastAsia="Arial" w:hAnsi="Arial"/>
                <w:sz w:val="16"/>
                <w:szCs w:val="16"/>
                <w:color w:val="auto"/>
                <w:w w:val="99"/>
              </w:rPr>
              <w:t>Share-based compensation expense</w:t>
            </w:r>
          </w:p>
        </w:tc>
        <w:tc>
          <w:tcPr>
            <w:tcW w:w="11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5.9</w:t>
            </w:r>
          </w:p>
        </w:tc>
        <w:tc>
          <w:tcPr>
            <w:tcW w:w="2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5.9</w:t>
            </w:r>
          </w:p>
        </w:tc>
      </w:tr>
      <w:tr>
        <w:trPr>
          <w:trHeight w:val="213"/>
        </w:trPr>
        <w:tc>
          <w:tcPr>
            <w:tcW w:w="2880" w:type="dxa"/>
            <w:vAlign w:val="bottom"/>
          </w:tcPr>
          <w:p>
            <w:pPr>
              <w:ind w:left="260"/>
              <w:spacing w:after="0"/>
              <w:rPr>
                <w:sz w:val="20"/>
                <w:szCs w:val="20"/>
                <w:color w:val="auto"/>
              </w:rPr>
            </w:pPr>
            <w:r>
              <w:rPr>
                <w:rFonts w:ascii="Arial" w:cs="Arial" w:eastAsia="Arial" w:hAnsi="Arial"/>
                <w:sz w:val="16"/>
                <w:szCs w:val="16"/>
                <w:color w:val="auto"/>
              </w:rPr>
              <w:t>Repurchases of common stock</w:t>
            </w:r>
          </w:p>
        </w:tc>
        <w:tc>
          <w:tcPr>
            <w:tcW w:w="1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(51.0)</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(51.0)</w:t>
            </w:r>
          </w:p>
        </w:tc>
      </w:tr>
      <w:tr>
        <w:trPr>
          <w:trHeight w:val="216"/>
        </w:trPr>
        <w:tc>
          <w:tcPr>
            <w:tcW w:w="2880" w:type="dxa"/>
            <w:vAlign w:val="bottom"/>
            <w:tcBorders>
              <w:bottom w:val="single" w:sz="8" w:color="auto"/>
            </w:tcBorders>
            <w:shd w:val="clear" w:color="auto" w:fill="CFF0FC"/>
          </w:tcPr>
          <w:p>
            <w:pPr>
              <w:ind w:left="260"/>
              <w:spacing w:after="0"/>
              <w:rPr>
                <w:sz w:val="20"/>
                <w:szCs w:val="20"/>
                <w:color w:val="auto"/>
              </w:rPr>
            </w:pPr>
            <w:r>
              <w:rPr>
                <w:rFonts w:ascii="Arial" w:cs="Arial" w:eastAsia="Arial" w:hAnsi="Arial"/>
                <w:sz w:val="16"/>
                <w:szCs w:val="16"/>
                <w:color w:val="auto"/>
              </w:rPr>
              <w:t>Noncontrolling interest transactions</w:t>
            </w:r>
          </w:p>
        </w:tc>
        <w:tc>
          <w:tcPr>
            <w:tcW w:w="1140" w:type="dxa"/>
            <w:vAlign w:val="bottom"/>
            <w:tcBorders>
              <w:bottom w:val="single" w:sz="8" w:color="auto"/>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(44.0)</w:t>
            </w:r>
          </w:p>
        </w:tc>
        <w:tc>
          <w:tcPr>
            <w:tcW w:w="18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(44.0)</w:t>
            </w:r>
          </w:p>
        </w:tc>
      </w:tr>
      <w:tr>
        <w:trPr>
          <w:trHeight w:val="210"/>
        </w:trPr>
        <w:tc>
          <w:tcPr>
            <w:tcW w:w="28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Balance, September 30, 2019</w:t>
            </w: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117,177,349</w:t>
            </w:r>
          </w:p>
        </w:tc>
        <w:tc>
          <w:tcPr>
            <w:tcW w:w="5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1.2</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3,361.0</w:t>
            </w:r>
          </w:p>
        </w:tc>
        <w:tc>
          <w:tcPr>
            <w:tcW w:w="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3,419.4</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(452.5)</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(3,631.0)</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18.0</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2,716.1</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7" w:name="page8"/>
    <w:bookmarkEnd w:id="7"/>
    <w:p>
      <w:pPr>
        <w:ind w:left="4880"/>
        <w:spacing w:after="0"/>
        <w:rPr>
          <w:sz w:val="20"/>
          <w:szCs w:val="20"/>
          <w:color w:val="auto"/>
        </w:rPr>
      </w:pPr>
      <w:r>
        <w:rPr>
          <w:rFonts w:ascii="Arial" w:cs="Arial" w:eastAsia="Arial" w:hAnsi="Arial"/>
          <w:sz w:val="18"/>
          <w:szCs w:val="18"/>
          <w:b w:val="1"/>
          <w:bCs w:val="1"/>
          <w:color w:val="auto"/>
        </w:rPr>
        <w:t>ManpowerGroup Inc.</w:t>
      </w:r>
    </w:p>
    <w:p>
      <w:pPr>
        <w:spacing w:after="0" w:line="185"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Consolidated Statements of Shareholders' Equity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 and per share data)</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90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w w:val="91"/>
              </w:rPr>
              <w:t>ManpowerGroup Shareholders</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07"/>
        </w:trPr>
        <w:tc>
          <w:tcPr>
            <w:tcW w:w="2900" w:type="dxa"/>
            <w:vAlign w:val="bottom"/>
          </w:tcPr>
          <w:p>
            <w:pPr>
              <w:spacing w:after="0"/>
              <w:rPr>
                <w:sz w:val="17"/>
                <w:szCs w:val="17"/>
                <w:color w:val="auto"/>
              </w:rPr>
            </w:pPr>
          </w:p>
        </w:tc>
        <w:tc>
          <w:tcPr>
            <w:tcW w:w="164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6"/>
                <w:szCs w:val="16"/>
                <w:b w:val="1"/>
                <w:bCs w:val="1"/>
                <w:color w:val="auto"/>
              </w:rPr>
              <w:t>Common Stock</w:t>
            </w:r>
          </w:p>
        </w:tc>
        <w:tc>
          <w:tcPr>
            <w:tcW w:w="46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1"/>
        </w:trPr>
        <w:tc>
          <w:tcPr>
            <w:tcW w:w="29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center"/>
              <w:ind w:right="139"/>
              <w:spacing w:after="0"/>
              <w:rPr>
                <w:sz w:val="20"/>
                <w:szCs w:val="20"/>
                <w:color w:val="auto"/>
              </w:rPr>
            </w:pPr>
            <w:r>
              <w:rPr>
                <w:rFonts w:ascii="Arial" w:cs="Arial" w:eastAsia="Arial" w:hAnsi="Arial"/>
                <w:sz w:val="16"/>
                <w:szCs w:val="16"/>
                <w:b w:val="1"/>
                <w:bCs w:val="1"/>
                <w:color w:val="auto"/>
                <w:w w:val="91"/>
              </w:rPr>
              <w:t>Accumulated</w:t>
            </w: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29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center"/>
              <w:ind w:right="139"/>
              <w:spacing w:after="0"/>
              <w:rPr>
                <w:sz w:val="20"/>
                <w:szCs w:val="20"/>
                <w:color w:val="auto"/>
              </w:rPr>
            </w:pPr>
            <w:r>
              <w:rPr>
                <w:rFonts w:ascii="Arial" w:cs="Arial" w:eastAsia="Arial" w:hAnsi="Arial"/>
                <w:sz w:val="16"/>
                <w:szCs w:val="16"/>
                <w:b w:val="1"/>
                <w:bCs w:val="1"/>
                <w:color w:val="auto"/>
                <w:w w:val="94"/>
              </w:rPr>
              <w:t>Capital in</w:t>
            </w: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center"/>
              <w:ind w:right="119"/>
              <w:spacing w:after="0"/>
              <w:rPr>
                <w:sz w:val="20"/>
                <w:szCs w:val="20"/>
                <w:color w:val="auto"/>
              </w:rPr>
            </w:pPr>
            <w:r>
              <w:rPr>
                <w:rFonts w:ascii="Arial" w:cs="Arial" w:eastAsia="Arial" w:hAnsi="Arial"/>
                <w:sz w:val="16"/>
                <w:szCs w:val="16"/>
                <w:b w:val="1"/>
                <w:bCs w:val="1"/>
                <w:color w:val="auto"/>
                <w:w w:val="98"/>
              </w:rPr>
              <w:t>Other</w:t>
            </w: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ind w:right="299"/>
              <w:spacing w:after="0"/>
              <w:rPr>
                <w:sz w:val="20"/>
                <w:szCs w:val="20"/>
                <w:color w:val="auto"/>
              </w:rPr>
            </w:pPr>
            <w:r>
              <w:rPr>
                <w:rFonts w:ascii="Arial" w:cs="Arial" w:eastAsia="Arial" w:hAnsi="Arial"/>
                <w:sz w:val="16"/>
                <w:szCs w:val="16"/>
                <w:b w:val="1"/>
                <w:bCs w:val="1"/>
                <w:color w:val="auto"/>
              </w:rPr>
              <w:t>Non-</w:t>
            </w: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2900" w:type="dxa"/>
            <w:vAlign w:val="bottom"/>
          </w:tcPr>
          <w:p>
            <w:pPr>
              <w:spacing w:after="0"/>
              <w:rPr>
                <w:sz w:val="17"/>
                <w:szCs w:val="17"/>
                <w:color w:val="auto"/>
              </w:rPr>
            </w:pPr>
          </w:p>
        </w:tc>
        <w:tc>
          <w:tcPr>
            <w:tcW w:w="1100" w:type="dxa"/>
            <w:vAlign w:val="bottom"/>
          </w:tcPr>
          <w:p>
            <w:pPr>
              <w:jc w:val="right"/>
              <w:ind w:right="279"/>
              <w:spacing w:after="0"/>
              <w:rPr>
                <w:sz w:val="20"/>
                <w:szCs w:val="20"/>
                <w:color w:val="auto"/>
              </w:rPr>
            </w:pPr>
            <w:r>
              <w:rPr>
                <w:rFonts w:ascii="Arial" w:cs="Arial" w:eastAsia="Arial" w:hAnsi="Arial"/>
                <w:sz w:val="16"/>
                <w:szCs w:val="16"/>
                <w:b w:val="1"/>
                <w:bCs w:val="1"/>
                <w:color w:val="auto"/>
              </w:rPr>
              <w:t>Shares</w:t>
            </w:r>
          </w:p>
        </w:tc>
        <w:tc>
          <w:tcPr>
            <w:tcW w:w="5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center"/>
              <w:ind w:right="139"/>
              <w:spacing w:after="0"/>
              <w:rPr>
                <w:sz w:val="20"/>
                <w:szCs w:val="20"/>
                <w:color w:val="auto"/>
              </w:rPr>
            </w:pPr>
            <w:r>
              <w:rPr>
                <w:rFonts w:ascii="Arial" w:cs="Arial" w:eastAsia="Arial" w:hAnsi="Arial"/>
                <w:sz w:val="16"/>
                <w:szCs w:val="16"/>
                <w:b w:val="1"/>
                <w:bCs w:val="1"/>
                <w:color w:val="auto"/>
                <w:w w:val="85"/>
              </w:rPr>
              <w:t>Excess of</w:t>
            </w:r>
          </w:p>
        </w:tc>
        <w:tc>
          <w:tcPr>
            <w:tcW w:w="140" w:type="dxa"/>
            <w:vAlign w:val="bottom"/>
          </w:tcPr>
          <w:p>
            <w:pPr>
              <w:spacing w:after="0"/>
              <w:rPr>
                <w:sz w:val="17"/>
                <w:szCs w:val="17"/>
                <w:color w:val="auto"/>
              </w:rPr>
            </w:pPr>
          </w:p>
        </w:tc>
        <w:tc>
          <w:tcPr>
            <w:tcW w:w="900" w:type="dxa"/>
            <w:vAlign w:val="bottom"/>
          </w:tcPr>
          <w:p>
            <w:pPr>
              <w:jc w:val="right"/>
              <w:ind w:right="179"/>
              <w:spacing w:after="0"/>
              <w:rPr>
                <w:sz w:val="20"/>
                <w:szCs w:val="20"/>
                <w:color w:val="auto"/>
              </w:rPr>
            </w:pPr>
            <w:r>
              <w:rPr>
                <w:rFonts w:ascii="Arial" w:cs="Arial" w:eastAsia="Arial" w:hAnsi="Arial"/>
                <w:sz w:val="16"/>
                <w:szCs w:val="16"/>
                <w:b w:val="1"/>
                <w:bCs w:val="1"/>
                <w:color w:val="auto"/>
                <w:w w:val="91"/>
              </w:rPr>
              <w:t>Retained</w:t>
            </w:r>
          </w:p>
        </w:tc>
        <w:tc>
          <w:tcPr>
            <w:tcW w:w="1240" w:type="dxa"/>
            <w:vAlign w:val="bottom"/>
            <w:gridSpan w:val="2"/>
          </w:tcPr>
          <w:p>
            <w:pPr>
              <w:jc w:val="center"/>
              <w:ind w:right="39"/>
              <w:spacing w:after="0"/>
              <w:rPr>
                <w:sz w:val="20"/>
                <w:szCs w:val="20"/>
                <w:color w:val="auto"/>
              </w:rPr>
            </w:pPr>
            <w:r>
              <w:rPr>
                <w:rFonts w:ascii="Arial" w:cs="Arial" w:eastAsia="Arial" w:hAnsi="Arial"/>
                <w:sz w:val="16"/>
                <w:szCs w:val="16"/>
                <w:b w:val="1"/>
                <w:bCs w:val="1"/>
                <w:color w:val="auto"/>
                <w:w w:val="89"/>
              </w:rPr>
              <w:t>Comprehensive</w:t>
            </w:r>
          </w:p>
        </w:tc>
        <w:tc>
          <w:tcPr>
            <w:tcW w:w="140" w:type="dxa"/>
            <w:vAlign w:val="bottom"/>
          </w:tcPr>
          <w:p>
            <w:pPr>
              <w:spacing w:after="0"/>
              <w:rPr>
                <w:sz w:val="17"/>
                <w:szCs w:val="17"/>
                <w:color w:val="auto"/>
              </w:rPr>
            </w:pPr>
          </w:p>
        </w:tc>
        <w:tc>
          <w:tcPr>
            <w:tcW w:w="840" w:type="dxa"/>
            <w:vAlign w:val="bottom"/>
          </w:tcPr>
          <w:p>
            <w:pPr>
              <w:jc w:val="right"/>
              <w:ind w:right="119"/>
              <w:spacing w:after="0"/>
              <w:rPr>
                <w:sz w:val="20"/>
                <w:szCs w:val="20"/>
                <w:color w:val="auto"/>
              </w:rPr>
            </w:pPr>
            <w:r>
              <w:rPr>
                <w:rFonts w:ascii="Arial" w:cs="Arial" w:eastAsia="Arial" w:hAnsi="Arial"/>
                <w:sz w:val="16"/>
                <w:szCs w:val="16"/>
                <w:b w:val="1"/>
                <w:bCs w:val="1"/>
                <w:color w:val="auto"/>
                <w:w w:val="91"/>
              </w:rPr>
              <w:t>Treasury</w:t>
            </w:r>
          </w:p>
        </w:tc>
        <w:tc>
          <w:tcPr>
            <w:tcW w:w="1020" w:type="dxa"/>
            <w:vAlign w:val="bottom"/>
            <w:gridSpan w:val="2"/>
          </w:tcPr>
          <w:p>
            <w:pPr>
              <w:ind w:left="80"/>
              <w:spacing w:after="0"/>
              <w:rPr>
                <w:sz w:val="20"/>
                <w:szCs w:val="20"/>
                <w:color w:val="auto"/>
              </w:rPr>
            </w:pPr>
            <w:r>
              <w:rPr>
                <w:rFonts w:ascii="Arial" w:cs="Arial" w:eastAsia="Arial" w:hAnsi="Arial"/>
                <w:sz w:val="16"/>
                <w:szCs w:val="16"/>
                <w:b w:val="1"/>
                <w:bCs w:val="1"/>
                <w:color w:val="auto"/>
              </w:rPr>
              <w:t>Controlling</w:t>
            </w: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13"/>
        </w:trPr>
        <w:tc>
          <w:tcPr>
            <w:tcW w:w="29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Issued</w:t>
            </w:r>
          </w:p>
        </w:tc>
        <w:tc>
          <w:tcPr>
            <w:tcW w:w="1000" w:type="dxa"/>
            <w:vAlign w:val="bottom"/>
            <w:tcBorders>
              <w:bottom w:val="single" w:sz="8" w:color="auto"/>
            </w:tcBorders>
            <w:gridSpan w:val="2"/>
          </w:tcPr>
          <w:p>
            <w:pPr>
              <w:jc w:val="right"/>
              <w:ind w:right="99"/>
              <w:spacing w:after="0"/>
              <w:rPr>
                <w:sz w:val="20"/>
                <w:szCs w:val="20"/>
                <w:color w:val="auto"/>
              </w:rPr>
            </w:pPr>
            <w:r>
              <w:rPr>
                <w:rFonts w:ascii="Arial" w:cs="Arial" w:eastAsia="Arial" w:hAnsi="Arial"/>
                <w:sz w:val="16"/>
                <w:szCs w:val="16"/>
                <w:b w:val="1"/>
                <w:bCs w:val="1"/>
                <w:color w:val="auto"/>
              </w:rPr>
              <w:t>Par Value</w:t>
            </w: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b w:val="1"/>
                <w:bCs w:val="1"/>
                <w:color w:val="auto"/>
                <w:w w:val="93"/>
              </w:rPr>
              <w:t>Par Value</w:t>
            </w: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w w:val="90"/>
              </w:rPr>
              <w:t>Earnings</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b w:val="1"/>
                <w:bCs w:val="1"/>
                <w:color w:val="auto"/>
                <w:w w:val="85"/>
              </w:rPr>
              <w:t>Loss</w:t>
            </w: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Stock</w:t>
            </w: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w w:val="89"/>
              </w:rPr>
              <w:t>Interests</w:t>
            </w: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Total</w:t>
            </w:r>
          </w:p>
        </w:tc>
      </w:tr>
      <w:tr>
        <w:trPr>
          <w:trHeight w:val="213"/>
        </w:trPr>
        <w:tc>
          <w:tcPr>
            <w:tcW w:w="2900" w:type="dxa"/>
            <w:vAlign w:val="bottom"/>
            <w:shd w:val="clear" w:color="auto" w:fill="CFF0FC"/>
          </w:tcPr>
          <w:p>
            <w:pPr>
              <w:spacing w:after="0"/>
              <w:rPr>
                <w:sz w:val="20"/>
                <w:szCs w:val="20"/>
                <w:color w:val="auto"/>
              </w:rPr>
            </w:pPr>
            <w:r>
              <w:rPr>
                <w:rFonts w:ascii="Arial" w:cs="Arial" w:eastAsia="Arial" w:hAnsi="Arial"/>
                <w:sz w:val="16"/>
                <w:szCs w:val="16"/>
                <w:color w:val="auto"/>
              </w:rPr>
              <w:t>Balance, December 31, 2017</w:t>
            </w:r>
          </w:p>
        </w:tc>
        <w:tc>
          <w:tcPr>
            <w:tcW w:w="11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116,303,729</w:t>
            </w:r>
          </w:p>
        </w:tc>
        <w:tc>
          <w:tcPr>
            <w:tcW w:w="540" w:type="dxa"/>
            <w:vAlign w:val="bottom"/>
            <w:shd w:val="clear" w:color="auto" w:fill="CFF0FC"/>
          </w:tcPr>
          <w:p>
            <w:pPr>
              <w:jc w:val="right"/>
              <w:ind w:right="299"/>
              <w:spacing w:after="0"/>
              <w:rPr>
                <w:sz w:val="20"/>
                <w:szCs w:val="20"/>
                <w:color w:val="auto"/>
              </w:rPr>
            </w:pPr>
            <w:r>
              <w:rPr>
                <w:rFonts w:ascii="Arial" w:cs="Arial" w:eastAsia="Arial" w:hAnsi="Arial"/>
                <w:sz w:val="16"/>
                <w:szCs w:val="16"/>
                <w:color w:val="auto"/>
              </w:rPr>
              <w:t>$</w:t>
            </w:r>
          </w:p>
        </w:tc>
        <w:tc>
          <w:tcPr>
            <w:tcW w:w="4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1.2</w:t>
            </w: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3,302.6</w:t>
            </w: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2,713.0</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(288.2)</w:t>
            </w: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(2,953.7)</w:t>
            </w:r>
          </w:p>
        </w:tc>
        <w:tc>
          <w:tcPr>
            <w:tcW w:w="160" w:type="dxa"/>
            <w:vAlign w:val="bottom"/>
            <w:shd w:val="clear" w:color="auto" w:fill="CFF0FC"/>
          </w:tcPr>
          <w:p>
            <w:pPr>
              <w:ind w:left="60"/>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82.7</w:t>
            </w:r>
          </w:p>
        </w:tc>
        <w:tc>
          <w:tcPr>
            <w:tcW w:w="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2,857.6</w:t>
            </w:r>
          </w:p>
        </w:tc>
      </w:tr>
      <w:tr>
        <w:trPr>
          <w:trHeight w:val="206"/>
        </w:trPr>
        <w:tc>
          <w:tcPr>
            <w:tcW w:w="2900" w:type="dxa"/>
            <w:vAlign w:val="bottom"/>
          </w:tcPr>
          <w:p>
            <w:pPr>
              <w:ind w:left="260"/>
              <w:spacing w:after="0"/>
              <w:rPr>
                <w:sz w:val="20"/>
                <w:szCs w:val="20"/>
                <w:color w:val="auto"/>
              </w:rPr>
            </w:pPr>
            <w:r>
              <w:rPr>
                <w:rFonts w:ascii="Arial" w:cs="Arial" w:eastAsia="Arial" w:hAnsi="Arial"/>
                <w:sz w:val="16"/>
                <w:szCs w:val="16"/>
                <w:color w:val="auto"/>
                <w:w w:val="94"/>
              </w:rPr>
              <w:t>Unrealized gain reclassified due to new</w:t>
            </w:r>
          </w:p>
        </w:tc>
        <w:tc>
          <w:tcPr>
            <w:tcW w:w="1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9"/>
        </w:trPr>
        <w:tc>
          <w:tcPr>
            <w:tcW w:w="2900" w:type="dxa"/>
            <w:vAlign w:val="bottom"/>
          </w:tcPr>
          <w:p>
            <w:pPr>
              <w:ind w:left="260"/>
              <w:spacing w:after="0"/>
              <w:rPr>
                <w:sz w:val="20"/>
                <w:szCs w:val="20"/>
                <w:color w:val="auto"/>
              </w:rPr>
            </w:pPr>
            <w:r>
              <w:rPr>
                <w:rFonts w:ascii="Arial" w:cs="Arial" w:eastAsia="Arial" w:hAnsi="Arial"/>
                <w:sz w:val="16"/>
                <w:szCs w:val="16"/>
                <w:color w:val="auto"/>
              </w:rPr>
              <w:t>accounting guidance on investments</w:t>
            </w:r>
          </w:p>
        </w:tc>
        <w:tc>
          <w:tcPr>
            <w:tcW w:w="1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ind w:right="99"/>
              <w:spacing w:after="0"/>
              <w:rPr>
                <w:sz w:val="20"/>
                <w:szCs w:val="20"/>
                <w:color w:val="auto"/>
              </w:rPr>
            </w:pPr>
            <w:r>
              <w:rPr>
                <w:rFonts w:ascii="Arial" w:cs="Arial" w:eastAsia="Arial" w:hAnsi="Arial"/>
                <w:sz w:val="16"/>
                <w:szCs w:val="16"/>
                <w:color w:val="auto"/>
              </w:rPr>
              <w:t>15.3</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(15.3)</w:t>
            </w: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219"/>
        </w:trPr>
        <w:tc>
          <w:tcPr>
            <w:tcW w:w="29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Net earnings</w:t>
            </w:r>
          </w:p>
        </w:tc>
        <w:tc>
          <w:tcPr>
            <w:tcW w:w="11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97.0</w:t>
            </w: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97.0</w:t>
            </w:r>
          </w:p>
        </w:tc>
      </w:tr>
      <w:tr>
        <w:trPr>
          <w:trHeight w:val="213"/>
        </w:trPr>
        <w:tc>
          <w:tcPr>
            <w:tcW w:w="2900" w:type="dxa"/>
            <w:vAlign w:val="bottom"/>
          </w:tcPr>
          <w:p>
            <w:pPr>
              <w:ind w:left="260"/>
              <w:spacing w:after="0"/>
              <w:rPr>
                <w:sz w:val="20"/>
                <w:szCs w:val="20"/>
                <w:color w:val="auto"/>
              </w:rPr>
            </w:pPr>
            <w:r>
              <w:rPr>
                <w:rFonts w:ascii="Arial" w:cs="Arial" w:eastAsia="Arial" w:hAnsi="Arial"/>
                <w:sz w:val="16"/>
                <w:szCs w:val="16"/>
                <w:color w:val="auto"/>
              </w:rPr>
              <w:t>Other comprehensive income</w:t>
            </w:r>
          </w:p>
        </w:tc>
        <w:tc>
          <w:tcPr>
            <w:tcW w:w="1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39.4</w:t>
            </w: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39.4</w:t>
            </w:r>
          </w:p>
        </w:tc>
      </w:tr>
      <w:tr>
        <w:trPr>
          <w:trHeight w:val="219"/>
        </w:trPr>
        <w:tc>
          <w:tcPr>
            <w:tcW w:w="29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Issuances under equity plans</w:t>
            </w:r>
          </w:p>
        </w:tc>
        <w:tc>
          <w:tcPr>
            <w:tcW w:w="11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437,703</w:t>
            </w:r>
          </w:p>
        </w:tc>
        <w:tc>
          <w:tcPr>
            <w:tcW w:w="5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2.9</w:t>
            </w: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(16.7)</w:t>
            </w: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(13.8)</w:t>
            </w:r>
          </w:p>
        </w:tc>
      </w:tr>
      <w:tr>
        <w:trPr>
          <w:trHeight w:val="213"/>
        </w:trPr>
        <w:tc>
          <w:tcPr>
            <w:tcW w:w="2900" w:type="dxa"/>
            <w:vAlign w:val="bottom"/>
          </w:tcPr>
          <w:p>
            <w:pPr>
              <w:ind w:left="260"/>
              <w:spacing w:after="0"/>
              <w:rPr>
                <w:sz w:val="20"/>
                <w:szCs w:val="20"/>
                <w:color w:val="auto"/>
              </w:rPr>
            </w:pPr>
            <w:r>
              <w:rPr>
                <w:rFonts w:ascii="Arial" w:cs="Arial" w:eastAsia="Arial" w:hAnsi="Arial"/>
                <w:sz w:val="16"/>
                <w:szCs w:val="16"/>
                <w:color w:val="auto"/>
              </w:rPr>
              <w:t>Share-based compensation expense</w:t>
            </w:r>
          </w:p>
        </w:tc>
        <w:tc>
          <w:tcPr>
            <w:tcW w:w="1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7.5</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7.5</w:t>
            </w:r>
          </w:p>
        </w:tc>
      </w:tr>
      <w:tr>
        <w:trPr>
          <w:trHeight w:val="219"/>
        </w:trPr>
        <w:tc>
          <w:tcPr>
            <w:tcW w:w="29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Repurchases of common stock</w:t>
            </w:r>
          </w:p>
        </w:tc>
        <w:tc>
          <w:tcPr>
            <w:tcW w:w="11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(50.1)</w:t>
            </w: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(50.1)</w:t>
            </w:r>
          </w:p>
        </w:tc>
      </w:tr>
      <w:tr>
        <w:trPr>
          <w:trHeight w:val="213"/>
        </w:trPr>
        <w:tc>
          <w:tcPr>
            <w:tcW w:w="2900" w:type="dxa"/>
            <w:vAlign w:val="bottom"/>
            <w:tcBorders>
              <w:bottom w:val="single" w:sz="8" w:color="auto"/>
            </w:tcBorders>
          </w:tcPr>
          <w:p>
            <w:pPr>
              <w:ind w:left="260"/>
              <w:spacing w:after="0"/>
              <w:rPr>
                <w:sz w:val="20"/>
                <w:szCs w:val="20"/>
                <w:color w:val="auto"/>
              </w:rPr>
            </w:pPr>
            <w:r>
              <w:rPr>
                <w:rFonts w:ascii="Arial" w:cs="Arial" w:eastAsia="Arial" w:hAnsi="Arial"/>
                <w:sz w:val="16"/>
                <w:szCs w:val="16"/>
                <w:color w:val="auto"/>
              </w:rPr>
              <w:t>Noncontrolling interest transactions</w:t>
            </w:r>
          </w:p>
        </w:tc>
        <w:tc>
          <w:tcPr>
            <w:tcW w:w="1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0.3</w:t>
            </w: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1.1</w:t>
            </w: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1.4</w:t>
            </w:r>
          </w:p>
        </w:tc>
      </w:tr>
      <w:tr>
        <w:trPr>
          <w:trHeight w:val="213"/>
        </w:trPr>
        <w:tc>
          <w:tcPr>
            <w:tcW w:w="2900" w:type="dxa"/>
            <w:vAlign w:val="bottom"/>
            <w:shd w:val="clear" w:color="auto" w:fill="CFF0FC"/>
          </w:tcPr>
          <w:p>
            <w:pPr>
              <w:spacing w:after="0"/>
              <w:rPr>
                <w:sz w:val="20"/>
                <w:szCs w:val="20"/>
                <w:color w:val="auto"/>
              </w:rPr>
            </w:pPr>
            <w:r>
              <w:rPr>
                <w:rFonts w:ascii="Arial" w:cs="Arial" w:eastAsia="Arial" w:hAnsi="Arial"/>
                <w:sz w:val="16"/>
                <w:szCs w:val="16"/>
                <w:color w:val="auto"/>
              </w:rPr>
              <w:t>Balance, March 31, 2018</w:t>
            </w:r>
          </w:p>
        </w:tc>
        <w:tc>
          <w:tcPr>
            <w:tcW w:w="11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116,741,432</w:t>
            </w:r>
          </w:p>
        </w:tc>
        <w:tc>
          <w:tcPr>
            <w:tcW w:w="540" w:type="dxa"/>
            <w:vAlign w:val="bottom"/>
            <w:shd w:val="clear" w:color="auto" w:fill="CFF0FC"/>
          </w:tcPr>
          <w:p>
            <w:pPr>
              <w:spacing w:after="0"/>
              <w:rPr>
                <w:sz w:val="18"/>
                <w:szCs w:val="18"/>
                <w:color w:val="auto"/>
              </w:rPr>
            </w:pPr>
          </w:p>
        </w:tc>
        <w:tc>
          <w:tcPr>
            <w:tcW w:w="4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1.2</w:t>
            </w: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3,313.3</w:t>
            </w: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2,825.3</w:t>
            </w:r>
          </w:p>
        </w:tc>
        <w:tc>
          <w:tcPr>
            <w:tcW w:w="1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(264.1)</w:t>
            </w: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(3,020.5)</w:t>
            </w: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83.8</w:t>
            </w: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2,939.0</w:t>
            </w:r>
          </w:p>
        </w:tc>
      </w:tr>
      <w:tr>
        <w:trPr>
          <w:trHeight w:val="213"/>
        </w:trPr>
        <w:tc>
          <w:tcPr>
            <w:tcW w:w="2900" w:type="dxa"/>
            <w:vAlign w:val="bottom"/>
          </w:tcPr>
          <w:p>
            <w:pPr>
              <w:ind w:left="260"/>
              <w:spacing w:after="0"/>
              <w:rPr>
                <w:sz w:val="20"/>
                <w:szCs w:val="20"/>
                <w:color w:val="auto"/>
              </w:rPr>
            </w:pPr>
            <w:r>
              <w:rPr>
                <w:rFonts w:ascii="Arial" w:cs="Arial" w:eastAsia="Arial" w:hAnsi="Arial"/>
                <w:sz w:val="16"/>
                <w:szCs w:val="16"/>
                <w:color w:val="auto"/>
              </w:rPr>
              <w:t>Net earnings</w:t>
            </w:r>
          </w:p>
        </w:tc>
        <w:tc>
          <w:tcPr>
            <w:tcW w:w="1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ind w:right="99"/>
              <w:spacing w:after="0"/>
              <w:rPr>
                <w:sz w:val="20"/>
                <w:szCs w:val="20"/>
                <w:color w:val="auto"/>
              </w:rPr>
            </w:pPr>
            <w:r>
              <w:rPr>
                <w:rFonts w:ascii="Arial" w:cs="Arial" w:eastAsia="Arial" w:hAnsi="Arial"/>
                <w:sz w:val="16"/>
                <w:szCs w:val="16"/>
                <w:color w:val="auto"/>
              </w:rPr>
              <w:t>143.4</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143.4</w:t>
            </w:r>
          </w:p>
        </w:tc>
      </w:tr>
      <w:tr>
        <w:trPr>
          <w:trHeight w:val="219"/>
        </w:trPr>
        <w:tc>
          <w:tcPr>
            <w:tcW w:w="29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Other comprehensive loss</w:t>
            </w:r>
          </w:p>
        </w:tc>
        <w:tc>
          <w:tcPr>
            <w:tcW w:w="11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(111.8)</w:t>
            </w: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(111.8)</w:t>
            </w:r>
          </w:p>
        </w:tc>
      </w:tr>
      <w:tr>
        <w:trPr>
          <w:trHeight w:val="213"/>
        </w:trPr>
        <w:tc>
          <w:tcPr>
            <w:tcW w:w="2900" w:type="dxa"/>
            <w:vAlign w:val="bottom"/>
          </w:tcPr>
          <w:p>
            <w:pPr>
              <w:ind w:left="260"/>
              <w:spacing w:after="0"/>
              <w:rPr>
                <w:sz w:val="20"/>
                <w:szCs w:val="20"/>
                <w:color w:val="auto"/>
              </w:rPr>
            </w:pPr>
            <w:r>
              <w:rPr>
                <w:rFonts w:ascii="Arial" w:cs="Arial" w:eastAsia="Arial" w:hAnsi="Arial"/>
                <w:sz w:val="16"/>
                <w:szCs w:val="16"/>
                <w:color w:val="auto"/>
              </w:rPr>
              <w:t>Issuances under equity plans</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36,792</w:t>
            </w: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(0.1)</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(0.5)</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(0.6)</w:t>
            </w:r>
          </w:p>
        </w:tc>
      </w:tr>
      <w:tr>
        <w:trPr>
          <w:trHeight w:val="219"/>
        </w:trPr>
        <w:tc>
          <w:tcPr>
            <w:tcW w:w="29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Share-based compensation expense</w:t>
            </w:r>
          </w:p>
        </w:tc>
        <w:tc>
          <w:tcPr>
            <w:tcW w:w="11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5.3</w:t>
            </w: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5.3</w:t>
            </w:r>
          </w:p>
        </w:tc>
      </w:tr>
      <w:tr>
        <w:trPr>
          <w:trHeight w:val="213"/>
        </w:trPr>
        <w:tc>
          <w:tcPr>
            <w:tcW w:w="2900" w:type="dxa"/>
            <w:vAlign w:val="bottom"/>
          </w:tcPr>
          <w:p>
            <w:pPr>
              <w:ind w:left="260"/>
              <w:spacing w:after="0"/>
              <w:rPr>
                <w:sz w:val="20"/>
                <w:szCs w:val="20"/>
                <w:color w:val="auto"/>
              </w:rPr>
            </w:pPr>
            <w:r>
              <w:rPr>
                <w:rFonts w:ascii="Arial" w:cs="Arial" w:eastAsia="Arial" w:hAnsi="Arial"/>
                <w:sz w:val="16"/>
                <w:szCs w:val="16"/>
                <w:color w:val="auto"/>
              </w:rPr>
              <w:t>Dividends</w:t>
            </w:r>
          </w:p>
        </w:tc>
        <w:tc>
          <w:tcPr>
            <w:tcW w:w="1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(66.0)</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(66.0)</w:t>
            </w:r>
          </w:p>
        </w:tc>
      </w:tr>
      <w:tr>
        <w:trPr>
          <w:trHeight w:val="219"/>
        </w:trPr>
        <w:tc>
          <w:tcPr>
            <w:tcW w:w="29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Repurchases of common stock</w:t>
            </w:r>
          </w:p>
        </w:tc>
        <w:tc>
          <w:tcPr>
            <w:tcW w:w="11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(63.1)</w:t>
            </w: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(63.1)</w:t>
            </w:r>
          </w:p>
        </w:tc>
      </w:tr>
      <w:tr>
        <w:trPr>
          <w:trHeight w:val="213"/>
        </w:trPr>
        <w:tc>
          <w:tcPr>
            <w:tcW w:w="2900" w:type="dxa"/>
            <w:vAlign w:val="bottom"/>
            <w:tcBorders>
              <w:bottom w:val="single" w:sz="8" w:color="auto"/>
            </w:tcBorders>
          </w:tcPr>
          <w:p>
            <w:pPr>
              <w:ind w:left="260"/>
              <w:spacing w:after="0"/>
              <w:rPr>
                <w:sz w:val="20"/>
                <w:szCs w:val="20"/>
                <w:color w:val="auto"/>
              </w:rPr>
            </w:pPr>
            <w:r>
              <w:rPr>
                <w:rFonts w:ascii="Arial" w:cs="Arial" w:eastAsia="Arial" w:hAnsi="Arial"/>
                <w:sz w:val="16"/>
                <w:szCs w:val="16"/>
                <w:color w:val="auto"/>
              </w:rPr>
              <w:t>Noncontrolling interest transactions</w:t>
            </w:r>
          </w:p>
        </w:tc>
        <w:tc>
          <w:tcPr>
            <w:tcW w:w="1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1.6</w:t>
            </w: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w:t>
            </w: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1.3</w:t>
            </w:r>
          </w:p>
        </w:tc>
      </w:tr>
      <w:tr>
        <w:trPr>
          <w:trHeight w:val="213"/>
        </w:trPr>
        <w:tc>
          <w:tcPr>
            <w:tcW w:w="2900" w:type="dxa"/>
            <w:vAlign w:val="bottom"/>
            <w:shd w:val="clear" w:color="auto" w:fill="CFF0FC"/>
          </w:tcPr>
          <w:p>
            <w:pPr>
              <w:spacing w:after="0"/>
              <w:rPr>
                <w:sz w:val="20"/>
                <w:szCs w:val="20"/>
                <w:color w:val="auto"/>
              </w:rPr>
            </w:pPr>
            <w:r>
              <w:rPr>
                <w:rFonts w:ascii="Arial" w:cs="Arial" w:eastAsia="Arial" w:hAnsi="Arial"/>
                <w:sz w:val="16"/>
                <w:szCs w:val="16"/>
                <w:color w:val="auto"/>
              </w:rPr>
              <w:t>Balance, June 30, 2018</w:t>
            </w:r>
          </w:p>
        </w:tc>
        <w:tc>
          <w:tcPr>
            <w:tcW w:w="11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116,778,224</w:t>
            </w:r>
          </w:p>
        </w:tc>
        <w:tc>
          <w:tcPr>
            <w:tcW w:w="540" w:type="dxa"/>
            <w:vAlign w:val="bottom"/>
            <w:shd w:val="clear" w:color="auto" w:fill="CFF0FC"/>
          </w:tcPr>
          <w:p>
            <w:pPr>
              <w:spacing w:after="0"/>
              <w:rPr>
                <w:sz w:val="18"/>
                <w:szCs w:val="18"/>
                <w:color w:val="auto"/>
              </w:rPr>
            </w:pPr>
          </w:p>
        </w:tc>
        <w:tc>
          <w:tcPr>
            <w:tcW w:w="4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1.2</w:t>
            </w: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3,320.1</w:t>
            </w: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2,902.7</w:t>
            </w:r>
          </w:p>
        </w:tc>
        <w:tc>
          <w:tcPr>
            <w:tcW w:w="1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(375.9)</w:t>
            </w: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(3,084.1)</w:t>
            </w: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83.5</w:t>
            </w: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2,847.5</w:t>
            </w:r>
          </w:p>
        </w:tc>
      </w:tr>
      <w:tr>
        <w:trPr>
          <w:trHeight w:val="213"/>
        </w:trPr>
        <w:tc>
          <w:tcPr>
            <w:tcW w:w="2900" w:type="dxa"/>
            <w:vAlign w:val="bottom"/>
          </w:tcPr>
          <w:p>
            <w:pPr>
              <w:ind w:left="260"/>
              <w:spacing w:after="0"/>
              <w:rPr>
                <w:sz w:val="20"/>
                <w:szCs w:val="20"/>
                <w:color w:val="auto"/>
              </w:rPr>
            </w:pPr>
            <w:r>
              <w:rPr>
                <w:rFonts w:ascii="Arial" w:cs="Arial" w:eastAsia="Arial" w:hAnsi="Arial"/>
                <w:sz w:val="16"/>
                <w:szCs w:val="16"/>
                <w:color w:val="auto"/>
              </w:rPr>
              <w:t>Net earnings</w:t>
            </w:r>
          </w:p>
        </w:tc>
        <w:tc>
          <w:tcPr>
            <w:tcW w:w="1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ind w:right="99"/>
              <w:spacing w:after="0"/>
              <w:rPr>
                <w:sz w:val="20"/>
                <w:szCs w:val="20"/>
                <w:color w:val="auto"/>
              </w:rPr>
            </w:pPr>
            <w:r>
              <w:rPr>
                <w:rFonts w:ascii="Arial" w:cs="Arial" w:eastAsia="Arial" w:hAnsi="Arial"/>
                <w:sz w:val="16"/>
                <w:szCs w:val="16"/>
                <w:color w:val="auto"/>
              </w:rPr>
              <w:t>158.0</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158.0</w:t>
            </w:r>
          </w:p>
        </w:tc>
      </w:tr>
      <w:tr>
        <w:trPr>
          <w:trHeight w:val="219"/>
        </w:trPr>
        <w:tc>
          <w:tcPr>
            <w:tcW w:w="29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Other comprehensive loss</w:t>
            </w:r>
          </w:p>
        </w:tc>
        <w:tc>
          <w:tcPr>
            <w:tcW w:w="11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(17.3)</w:t>
            </w: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(17.3)</w:t>
            </w:r>
          </w:p>
        </w:tc>
      </w:tr>
      <w:tr>
        <w:trPr>
          <w:trHeight w:val="213"/>
        </w:trPr>
        <w:tc>
          <w:tcPr>
            <w:tcW w:w="2900" w:type="dxa"/>
            <w:vAlign w:val="bottom"/>
          </w:tcPr>
          <w:p>
            <w:pPr>
              <w:ind w:left="260"/>
              <w:spacing w:after="0"/>
              <w:rPr>
                <w:sz w:val="20"/>
                <w:szCs w:val="20"/>
                <w:color w:val="auto"/>
              </w:rPr>
            </w:pPr>
            <w:r>
              <w:rPr>
                <w:rFonts w:ascii="Arial" w:cs="Arial" w:eastAsia="Arial" w:hAnsi="Arial"/>
                <w:sz w:val="16"/>
                <w:szCs w:val="16"/>
                <w:color w:val="auto"/>
              </w:rPr>
              <w:t>Issuances under equity plans</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9,096</w:t>
            </w: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0.1</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0.1</w:t>
            </w:r>
          </w:p>
        </w:tc>
      </w:tr>
      <w:tr>
        <w:trPr>
          <w:trHeight w:val="219"/>
        </w:trPr>
        <w:tc>
          <w:tcPr>
            <w:tcW w:w="29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Share-based compensation expense</w:t>
            </w:r>
          </w:p>
        </w:tc>
        <w:tc>
          <w:tcPr>
            <w:tcW w:w="11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6.7</w:t>
            </w: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6.7</w:t>
            </w:r>
          </w:p>
        </w:tc>
      </w:tr>
      <w:tr>
        <w:trPr>
          <w:trHeight w:val="213"/>
        </w:trPr>
        <w:tc>
          <w:tcPr>
            <w:tcW w:w="2900" w:type="dxa"/>
            <w:vAlign w:val="bottom"/>
          </w:tcPr>
          <w:p>
            <w:pPr>
              <w:ind w:left="260"/>
              <w:spacing w:after="0"/>
              <w:rPr>
                <w:sz w:val="20"/>
                <w:szCs w:val="20"/>
                <w:color w:val="auto"/>
              </w:rPr>
            </w:pPr>
            <w:r>
              <w:rPr>
                <w:rFonts w:ascii="Arial" w:cs="Arial" w:eastAsia="Arial" w:hAnsi="Arial"/>
                <w:sz w:val="16"/>
                <w:szCs w:val="16"/>
                <w:color w:val="auto"/>
              </w:rPr>
              <w:t>Repurchases of common stock</w:t>
            </w:r>
          </w:p>
        </w:tc>
        <w:tc>
          <w:tcPr>
            <w:tcW w:w="1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(186.0)</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(186.0)</w:t>
            </w:r>
          </w:p>
        </w:tc>
      </w:tr>
      <w:tr>
        <w:trPr>
          <w:trHeight w:val="216"/>
        </w:trPr>
        <w:tc>
          <w:tcPr>
            <w:tcW w:w="2900" w:type="dxa"/>
            <w:vAlign w:val="bottom"/>
            <w:tcBorders>
              <w:bottom w:val="single" w:sz="8" w:color="auto"/>
            </w:tcBorders>
            <w:shd w:val="clear" w:color="auto" w:fill="CFF0FC"/>
          </w:tcPr>
          <w:p>
            <w:pPr>
              <w:ind w:left="260"/>
              <w:spacing w:after="0"/>
              <w:rPr>
                <w:sz w:val="20"/>
                <w:szCs w:val="20"/>
                <w:color w:val="auto"/>
              </w:rPr>
            </w:pPr>
            <w:r>
              <w:rPr>
                <w:rFonts w:ascii="Arial" w:cs="Arial" w:eastAsia="Arial" w:hAnsi="Arial"/>
                <w:sz w:val="16"/>
                <w:szCs w:val="16"/>
                <w:color w:val="auto"/>
              </w:rPr>
              <w:t>Noncontrolling interest transactions</w:t>
            </w:r>
          </w:p>
        </w:tc>
        <w:tc>
          <w:tcPr>
            <w:tcW w:w="1100" w:type="dxa"/>
            <w:vAlign w:val="bottom"/>
            <w:tcBorders>
              <w:bottom w:val="single" w:sz="8" w:color="auto"/>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1.2</w:t>
            </w:r>
          </w:p>
        </w:tc>
        <w:tc>
          <w:tcPr>
            <w:tcW w:w="22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1.2</w:t>
            </w:r>
          </w:p>
        </w:tc>
      </w:tr>
      <w:tr>
        <w:trPr>
          <w:trHeight w:val="210"/>
        </w:trPr>
        <w:tc>
          <w:tcPr>
            <w:tcW w:w="29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Balance, September 30, 2018</w:t>
            </w: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116,787,320</w:t>
            </w:r>
          </w:p>
        </w:tc>
        <w:tc>
          <w:tcPr>
            <w:tcW w:w="5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1.2</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3,326.9</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3,060.7</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(393.2)</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(3,270.1)</w:t>
            </w:r>
          </w:p>
        </w:tc>
        <w:tc>
          <w:tcPr>
            <w:tcW w:w="16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84.7</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2,810.2</w:t>
            </w: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three and nine months ended September 30, 2019 and 2018</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millions, except share and per share data)</w:t>
      </w:r>
    </w:p>
    <w:p>
      <w:pPr>
        <w:spacing w:after="0" w:line="170" w:lineRule="exact"/>
        <w:rPr>
          <w:sz w:val="20"/>
          <w:szCs w:val="20"/>
          <w:color w:val="auto"/>
        </w:rPr>
      </w:pPr>
    </w:p>
    <w:p>
      <w:pPr>
        <w:ind w:left="260" w:hanging="252"/>
        <w:spacing w:after="0"/>
        <w:tabs>
          <w:tab w:leader="none" w:pos="26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Basis of Presentation and Accounting Policies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185"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Certain information and footnote disclosures normally included in the financial statements prepared in accordance with United States Generally Accepted Accounting Principles ("GAAP") have been condensed or omitted pursuant to the rules and regulations of the Securities and Exchange Commission, although we believe that the disclosures are adequate to make the information presented not misleading. These Consolidated Financial Statements should be read in conjunction with the Consolidated Financial Statements included in our 2018 Annual Report on Form 10-K.</w:t>
      </w:r>
    </w:p>
    <w:p>
      <w:pPr>
        <w:spacing w:after="0" w:line="131" w:lineRule="exact"/>
        <w:rPr>
          <w:sz w:val="20"/>
          <w:szCs w:val="20"/>
          <w:color w:val="auto"/>
        </w:rPr>
      </w:pPr>
    </w:p>
    <w:p>
      <w:pPr>
        <w:ind w:right="480"/>
        <w:spacing w:after="0" w:line="308" w:lineRule="auto"/>
        <w:rPr>
          <w:sz w:val="20"/>
          <w:szCs w:val="20"/>
          <w:color w:val="auto"/>
        </w:rPr>
      </w:pPr>
      <w:r>
        <w:rPr>
          <w:rFonts w:ascii="Arial" w:cs="Arial" w:eastAsia="Arial" w:hAnsi="Arial"/>
          <w:sz w:val="17"/>
          <w:szCs w:val="17"/>
          <w:color w:val="auto"/>
        </w:rPr>
        <w:t>The information furnished reflects all adjustments that, in the opinion of management, were necessary for a fair statement of the Consolidated Financial Statements for the periods presented. Such adjustments were of a normal recurring nature, unless otherwise disclosed.</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w:t>
      </w:r>
    </w:p>
    <w:p>
      <w:pPr>
        <w:spacing w:after="0" w:line="185" w:lineRule="exact"/>
        <w:rPr>
          <w:sz w:val="20"/>
          <w:szCs w:val="20"/>
          <w:color w:val="auto"/>
        </w:rPr>
      </w:pPr>
    </w:p>
    <w:p>
      <w:pPr>
        <w:jc w:val="both"/>
        <w:ind w:right="400"/>
        <w:spacing w:after="0" w:line="264" w:lineRule="auto"/>
        <w:rPr>
          <w:sz w:val="20"/>
          <w:szCs w:val="20"/>
          <w:color w:val="auto"/>
        </w:rPr>
      </w:pPr>
      <w:r>
        <w:rPr>
          <w:rFonts w:ascii="Arial" w:cs="Arial" w:eastAsia="Arial" w:hAnsi="Arial"/>
          <w:sz w:val="18"/>
          <w:szCs w:val="18"/>
          <w:color w:val="auto"/>
        </w:rPr>
        <w:t>We determine whether a contract is or contains a lease at contract inception. Right-of-use (“ROU”) assets and long-term lease liabilities are presented as separate line items on our Consolidated Balance Sheets. Current operating lease liabilities are included in accrued expenses on our Consolidated Balance Sheets.</w:t>
      </w:r>
    </w:p>
    <w:p>
      <w:pPr>
        <w:spacing w:after="0" w:line="141"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ROU assets represent our right to use an underlying asset for the lease term and lease liabilities represent our obligation to make lease payments arising from the lease. Lease liabilities are recognized at commencement date based on the present value of remaining lease payments over the lease term. As the rate implicit in the lease is not readily determinable in most of our leases, we use our incremental borrowing rate. We determine our incremental borrowing rate at the commencement date using our unsecured borrowing rate, adjusted for collaterization, lease term, economic environment, currency and other factors. ROU assets are recognized at commencement date at the value of the related lease liabilities, adjusted for any prepayments, lease incentives received, and initial direct costs incurred. Our lease terms include options to renew or not terminate the lease when it is reasonably certain that we will exercise that option.</w:t>
      </w:r>
    </w:p>
    <w:p>
      <w:pPr>
        <w:spacing w:after="0" w:line="138"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Lease expenses for operating leases are recognized on a straight-line basis over the lease term and recorded in selling and administrative expenses on the Consolidated Statements of Operations.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Payroll Tax Credit</w:t>
      </w:r>
    </w:p>
    <w:p>
      <w:pPr>
        <w:spacing w:after="0" w:line="185"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In April 2019, we sold a portion of our French payroll tax credits earned in 2018 for net proceeds of $103.5 (€92.0). In April 2018, we sold substantially all of our French payroll tax credits earned in 2017 for net proceeds of $234.5 (€190.9). We derecognized these receivables and the additional interest upon the sale date as the terms of the agreement are such that the transaction qualifies for sale treatment in accordance with the accounting guidance on the transfer and servicing of assets. The discount on the sale of these receivables was recorded in cost of services as a reduction of the payroll tax credits.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 and Intangible Assets</w:t>
      </w:r>
    </w:p>
    <w:p>
      <w:pPr>
        <w:spacing w:after="0" w:line="185"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In accordance with the accounting guidance on goodwill and other intangible assets, we perform an annual impairment test of goodwill at our reporting unit level and indefinite-lived assets at our unit of account level during the third quarter, or more frequently if events or circumstances change that would more likely than not reduce the fair value of the reporting units below their carrying value.</w:t>
      </w:r>
    </w:p>
    <w:p>
      <w:pPr>
        <w:spacing w:after="0" w:line="14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performed our annual impairment test of our goodwill and indefinite-lived intangible assets during the third quarter of 2019 and determined that there was no impairment of our goodwill or our indefinite-lived intangible assets.</w:t>
      </w:r>
    </w:p>
    <w:p>
      <w:pPr>
        <w:spacing w:after="0" w:line="14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determined the fair value of the reporting unit by utilizing an income approach derived from a discounted cash flow methodology. The income approach is developed from management’s forecasted cash flow data. Significant assumptions used in our annual</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9" w:name="page10"/>
    <w:bookmarkEnd w:id="9"/>
    <w:p>
      <w:pPr>
        <w:ind w:right="320"/>
        <w:spacing w:after="0" w:line="259" w:lineRule="auto"/>
        <w:rPr>
          <w:sz w:val="20"/>
          <w:szCs w:val="20"/>
          <w:color w:val="auto"/>
        </w:rPr>
      </w:pPr>
      <w:r>
        <w:rPr>
          <w:rFonts w:ascii="Arial" w:cs="Arial" w:eastAsia="Arial" w:hAnsi="Arial"/>
          <w:sz w:val="18"/>
          <w:szCs w:val="18"/>
          <w:color w:val="auto"/>
        </w:rPr>
        <w:t>goodwill impairment test included: expected future revenue growth rates, operating unit profit (“OUP”) margins, working capital levels, discount rates ranging from 9.9% to 13.1% and a terminal value multiple. The expected future revenue growth rates and OUP margins were determined after taking into consideration our historical revenue growth rates and OUP margins, our assessment of future market potential, and our expectations of future business performance.</w:t>
      </w:r>
    </w:p>
    <w:p>
      <w:pPr>
        <w:spacing w:after="0" w:line="160"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For the second quarter of 2019, in connection with the preparation of our quarterly financial statements, we assessed the changes in circumstances that occurred during the quarter to determine if it was more likely than not that the fair value of any reporting unit was below its carrying amount. We identified several factors related to our Germany reporting unit that led us to conclude that it was more likely than not that the fair value of the reporting unit was below its carrying amount. These factors included a further downward trend in the performance of the business due to current market conditions, a more cautious outlook for the business stemming from the impact of changes to temporary staffing regulations in Germany, and the recording of a valuation allowance against our Germany deferred tax assets during the second quarter. As we determined that it was more likely than not that the fair value of the Germany reporting unit was below its carrying amount, we performed an interim impairment test on this reporting unit as of June 30, 2019. As a result of our interim test, we recognized a non-cash impairment loss of $60.2 during the second quarter of 2019. The Germany reporting unit is included in the Northern Europe segment.</w:t>
      </w:r>
    </w:p>
    <w:p>
      <w:pPr>
        <w:spacing w:after="0" w:line="15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In addition, during the second quarter of 2019, we recorded a goodwill impairment charge of $3.8 related to our New Zealand operations as a result of not meeting profitability expectations.</w:t>
      </w:r>
    </w:p>
    <w:p>
      <w:pPr>
        <w:spacing w:after="0" w:line="130" w:lineRule="exact"/>
        <w:rPr>
          <w:sz w:val="20"/>
          <w:szCs w:val="20"/>
          <w:color w:val="auto"/>
        </w:rPr>
      </w:pPr>
    </w:p>
    <w:p>
      <w:pPr>
        <w:ind w:left="260" w:hanging="252"/>
        <w:spacing w:after="0"/>
        <w:tabs>
          <w:tab w:leader="none" w:pos="26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Recent Accounting Standards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Standards Effective as of January 1, 2019</w:t>
      </w:r>
    </w:p>
    <w:p>
      <w:pPr>
        <w:spacing w:after="0" w:line="185"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In February 2016, the Financial Accounting Standards Board ("FASB") issued new accounting guidance on leases, ASU No. 2016-02, Leases (Topic 842), which we adopted on January 1, 2019. The new guidance requires that a lessee recognize ROU assets and lease liabilities on the balance sheet for leases with lease terms longer than 12 months. The recognition, measurement and presentation of lease expenses and cash flows depend on the classification by the lessee as a finance or operating lease. We determined that no cumulative effect adjustment to retained earnings was necessary upon adoption. As of the transition date, the ROU asset and total lease liability (current and long-term) were $458.1 and $458.7, respectively.</w:t>
      </w:r>
    </w:p>
    <w:p>
      <w:pPr>
        <w:spacing w:after="0" w:line="13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elected the package of three practical expedients which lessened the transitional burden of implementing the new guidance. Accordingly, we did not reassess: 1) whether any expired or existing contracts are or contain leases; 2) the lease classification for any expired or existing leases; or 3) the initial direct costs for any existing leases. We have also elected the practical expedient to not separate lease and non-lease components. Lastly, we have elected to apply the short-term lease exception for all underlying asset classes.</w:t>
      </w:r>
    </w:p>
    <w:p>
      <w:pPr>
        <w:spacing w:after="0" w:line="160"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In August 2017, the FASB issued new guidance on hedge accounting. The amendments in this guidance include the elimination of the concept of recognizing periodic hedge ineffectiveness for cash flow and net investment hedges, recognition and presentation of changes in the fair value of the hedging instrument, recognition and presentation of components excluded from an entity's hedge effectiveness assessment, addition of the ability to elect to perform subsequent effectiveness assessments qualitatively, and addition of new disclosure requirements. We adopted this guidance effective January 1, 2019. There was no impact of this adoption on our Consolidated Financial Statements. See Note 13 to the Consolidated Financial Statements for the modified disclosures.</w:t>
      </w:r>
    </w:p>
    <w:p>
      <w:pPr>
        <w:spacing w:after="0" w:line="118"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In February 2018, the FASB issued new guidance on reporting comprehensive income. The new guidance allows a reclassification from accumulated other comprehensive income to retained earnings for stranded tax effects resulting from the United States Tax Cuts and Jobs Act of 2017 ("Tax Act"). The guidance was effective for us as of January 1, 2019. We elected not to adopt this optional reclassification.</w:t>
      </w:r>
    </w:p>
    <w:p>
      <w:pPr>
        <w:spacing w:after="0" w:line="141" w:lineRule="exact"/>
        <w:rPr>
          <w:sz w:val="20"/>
          <w:szCs w:val="20"/>
          <w:color w:val="auto"/>
        </w:rPr>
      </w:pPr>
    </w:p>
    <w:p>
      <w:pPr>
        <w:jc w:val="both"/>
        <w:ind w:right="580"/>
        <w:spacing w:after="0" w:line="312" w:lineRule="auto"/>
        <w:rPr>
          <w:sz w:val="20"/>
          <w:szCs w:val="20"/>
          <w:color w:val="auto"/>
        </w:rPr>
      </w:pPr>
      <w:r>
        <w:rPr>
          <w:rFonts w:ascii="Arial" w:cs="Arial" w:eastAsia="Arial" w:hAnsi="Arial"/>
          <w:sz w:val="16"/>
          <w:szCs w:val="16"/>
          <w:color w:val="auto"/>
        </w:rPr>
        <w:t>In June 2018, the FASB issued new guidance on the accounting for share-based payment awards. The guidance makes the accounting for share-based payment awards issued to nonemployees largely consistent with the accounting for share-based payment awards issued to employees. We adopted this guidance effective January 1, 2019. There was no impact of this adoption on our Consolidated Financial Statements.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10" w:name="page11"/>
    <w:bookmarkEnd w:id="10"/>
    <w:p>
      <w:pPr>
        <w:spacing w:after="0"/>
        <w:rPr>
          <w:sz w:val="20"/>
          <w:szCs w:val="20"/>
          <w:color w:val="auto"/>
        </w:rPr>
      </w:pPr>
      <w:r>
        <w:rPr>
          <w:rFonts w:ascii="Arial" w:cs="Arial" w:eastAsia="Arial" w:hAnsi="Arial"/>
          <w:sz w:val="18"/>
          <w:szCs w:val="18"/>
          <w:i w:val="1"/>
          <w:iCs w:val="1"/>
          <w:color w:val="auto"/>
        </w:rPr>
        <w:t>Recently Issued Accounting Standards</w:t>
      </w:r>
    </w:p>
    <w:p>
      <w:pPr>
        <w:spacing w:after="0" w:line="19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June 2016, the FASB issued new accounting guidance on financial instruments. The new guidance requires application of an impairment model known as the current expected credit loss (“CECL”) model to certain financial instruments. Using the CECL model, an entity recognizes an allowance for expected credit losses based on historical experience, current conditions, and forecasted information rather than the current methodology of delaying recognition of credit losses until it is probable loss has been incurred. The new guidance is effective for us in 2020. We do not expect the adoption of this guidance to have a material impact on our Consolidated Financial Statements.</w:t>
      </w:r>
    </w:p>
    <w:p>
      <w:pPr>
        <w:spacing w:after="0" w:line="148" w:lineRule="exact"/>
        <w:rPr>
          <w:sz w:val="20"/>
          <w:szCs w:val="20"/>
          <w:color w:val="auto"/>
        </w:rPr>
      </w:pPr>
    </w:p>
    <w:p>
      <w:pPr>
        <w:jc w:val="both"/>
        <w:ind w:right="140"/>
        <w:spacing w:after="0" w:line="312" w:lineRule="auto"/>
        <w:rPr>
          <w:sz w:val="20"/>
          <w:szCs w:val="20"/>
          <w:color w:val="auto"/>
        </w:rPr>
      </w:pPr>
      <w:r>
        <w:rPr>
          <w:rFonts w:ascii="Arial" w:cs="Arial" w:eastAsia="Arial" w:hAnsi="Arial"/>
          <w:sz w:val="16"/>
          <w:szCs w:val="16"/>
          <w:color w:val="auto"/>
        </w:rPr>
        <w:t>In August 2018, the FASB issued new guidance on disclosures related to fair value measurements. The guidance is intended to improve the effectiveness of the notes to financial statements by facilitating clearer communication, and it includes multiple new, eliminated and modified disclosure requirements. The guidance is effective for us in 2020. The adoption of this guidance will have no impact on our Consolidated Financial Statements.</w:t>
      </w:r>
    </w:p>
    <w:p>
      <w:pPr>
        <w:spacing w:after="0" w:line="106"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In August 2018, the FASB issued new guidance on the accounting for internal-use software. The guidance aligns the accounting for costs incurred to implement a cloud computing arrangement that is a service arrangement with the guidance on capitalizing costs associated with developing or obtaining internal-use software. The guidance is effective for us in 2020. We are assessing the impact of the adoption of this guidance on our Consolidated Financial Statements.</w:t>
      </w:r>
    </w:p>
    <w:p>
      <w:pPr>
        <w:spacing w:after="0" w:line="160"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In August 2018, the FASB issued new guidance on disclosures related to defined benefit plans. The guidance amends the current disclosure requirements to add, remove and clarify disclosure requirements for defined benefit pension and other postretirement plans. The guidance is effective for us in 2020. The adoption of this guidance will have no impact on our Consolidated Financial Statements</w:t>
      </w:r>
      <w:r>
        <w:rPr>
          <w:rFonts w:ascii="Arial" w:cs="Arial" w:eastAsia="Arial" w:hAnsi="Arial"/>
          <w:sz w:val="18"/>
          <w:szCs w:val="18"/>
          <w:color w:val="282A32"/>
        </w:rPr>
        <w:t>.</w:t>
      </w:r>
    </w:p>
    <w:p>
      <w:pPr>
        <w:spacing w:after="0" w:line="141" w:lineRule="exact"/>
        <w:rPr>
          <w:sz w:val="20"/>
          <w:szCs w:val="20"/>
          <w:color w:val="auto"/>
        </w:rPr>
      </w:pPr>
    </w:p>
    <w:p>
      <w:pPr>
        <w:ind w:left="260" w:hanging="252"/>
        <w:spacing w:after="0"/>
        <w:tabs>
          <w:tab w:leader="none" w:pos="26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Revenue Recognition</w:t>
      </w:r>
    </w:p>
    <w:p>
      <w:pPr>
        <w:spacing w:after="0" w:line="18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For certain client contracts where we recognize revenues over time, we recognize the amount that we have the right to invoice, which corresponds directly to the value provided to the client of our performance to date.</w:t>
      </w:r>
    </w:p>
    <w:p>
      <w:pPr>
        <w:spacing w:after="0" w:line="14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do not disclose the amount of unsatisfied performance obligations for client contracts with an original expected length of one year or less and those client contracts for which we recognize revenues at the amount to which we have the right to invoice for services performed. We have other contracts with revenues expected to be recognized subsequent to September 30, 2019, related to remaining performance obligations, which are not material.</w:t>
      </w:r>
    </w:p>
    <w:p>
      <w:pPr>
        <w:spacing w:after="0" w:line="125"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We record accounts receivable when our right to consideration becomes unconditional. Contract assets primarily relate to our rights to consideration for services provided that they are conditional on satisfaction of future performance obligations. We record contract liabilities (deferred revenue) when payments are made or due prior to the related performance obligations being satisfied. The current portion of our contract liabilities is included in accrued liabilities in our Consolidated Balance Sheets. We do not have any material contract assets or long-term contract liabilities.</w:t>
      </w:r>
    </w:p>
    <w:p>
      <w:pPr>
        <w:spacing w:after="0" w:line="131"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color w:val="auto"/>
        </w:rPr>
        <w:t>Our deferred revenue was $36.8 at September 30, 2019 and $42.8 at December 31, 2018. The decrease is due to $41.5 of revenues recognized related to amounts that were included in the December 31, 2018 balance, partially offset by payments or amounts due in advance of satisfying our performance obligations in the nine months ended September 30, 2019.</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517" w:right="299" w:bottom="1440" w:gutter="0" w:footer="0" w:header="0"/>
        </w:sectPr>
      </w:pPr>
    </w:p>
    <w:bookmarkStart w:id="11" w:name="page12"/>
    <w:bookmarkEnd w:id="11"/>
    <w:p>
      <w:pPr>
        <w:ind w:right="120"/>
        <w:spacing w:after="0" w:line="277" w:lineRule="auto"/>
        <w:rPr>
          <w:sz w:val="20"/>
          <w:szCs w:val="20"/>
          <w:color w:val="auto"/>
        </w:rPr>
      </w:pPr>
      <w:r>
        <w:rPr>
          <w:rFonts w:ascii="Arial" w:cs="Arial" w:eastAsia="Arial" w:hAnsi="Arial"/>
          <w:sz w:val="18"/>
          <w:szCs w:val="18"/>
          <w:color w:val="auto"/>
        </w:rPr>
        <w:t>In the following table, revenue is disaggregated by service types for each of our reportable segments. See Note 3 to the Consolidated Financial Statements in our 2018 Annual Report on Form10-K for descriptions of revenue service types.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4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5"/>
          </w:tcPr>
          <w:p>
            <w:pPr>
              <w:jc w:val="right"/>
              <w:ind w:right="28"/>
              <w:spacing w:after="0"/>
              <w:rPr>
                <w:sz w:val="20"/>
                <w:szCs w:val="20"/>
                <w:color w:val="auto"/>
              </w:rPr>
            </w:pPr>
            <w:r>
              <w:rPr>
                <w:rFonts w:ascii="Arial" w:cs="Arial" w:eastAsia="Arial" w:hAnsi="Arial"/>
                <w:sz w:val="14"/>
                <w:szCs w:val="14"/>
                <w:b w:val="1"/>
                <w:bCs w:val="1"/>
                <w:color w:val="auto"/>
                <w:w w:val="94"/>
              </w:rPr>
              <w:t>3 Months Ended September 30,</w:t>
            </w: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r>
      <w:tr>
        <w:trPr>
          <w:trHeight w:val="223"/>
        </w:trPr>
        <w:tc>
          <w:tcPr>
            <w:tcW w:w="14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w w:val="89"/>
              </w:rPr>
              <w:t>2018</w:t>
            </w:r>
          </w:p>
        </w:tc>
        <w:tc>
          <w:tcPr>
            <w:tcW w:w="2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r>
      <w:tr>
        <w:trPr>
          <w:trHeight w:val="137"/>
        </w:trPr>
        <w:tc>
          <w:tcPr>
            <w:tcW w:w="1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jc w:val="center"/>
              <w:ind w:right="148"/>
              <w:spacing w:after="0" w:line="137" w:lineRule="exact"/>
              <w:rPr>
                <w:sz w:val="20"/>
                <w:szCs w:val="20"/>
                <w:color w:val="auto"/>
              </w:rPr>
            </w:pPr>
            <w:r>
              <w:rPr>
                <w:rFonts w:ascii="Arial" w:cs="Arial" w:eastAsia="Arial" w:hAnsi="Arial"/>
                <w:sz w:val="14"/>
                <w:szCs w:val="14"/>
                <w:color w:val="auto"/>
                <w:w w:val="94"/>
              </w:rPr>
              <w:t>Outcome-</w:t>
            </w: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jc w:val="center"/>
              <w:ind w:right="148"/>
              <w:spacing w:after="0" w:line="137" w:lineRule="exact"/>
              <w:rPr>
                <w:sz w:val="20"/>
                <w:szCs w:val="20"/>
                <w:color w:val="auto"/>
              </w:rPr>
            </w:pPr>
            <w:r>
              <w:rPr>
                <w:rFonts w:ascii="Arial" w:cs="Arial" w:eastAsia="Arial" w:hAnsi="Arial"/>
                <w:sz w:val="14"/>
                <w:szCs w:val="14"/>
                <w:color w:val="auto"/>
                <w:w w:val="94"/>
              </w:rPr>
              <w:t>Outcome-</w:t>
            </w: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49"/>
        </w:trPr>
        <w:tc>
          <w:tcPr>
            <w:tcW w:w="1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jc w:val="center"/>
              <w:ind w:right="148"/>
              <w:spacing w:after="0" w:line="149" w:lineRule="exact"/>
              <w:rPr>
                <w:sz w:val="20"/>
                <w:szCs w:val="20"/>
                <w:color w:val="auto"/>
              </w:rPr>
            </w:pPr>
            <w:r>
              <w:rPr>
                <w:rFonts w:ascii="Arial" w:cs="Arial" w:eastAsia="Arial" w:hAnsi="Arial"/>
                <w:sz w:val="14"/>
                <w:szCs w:val="14"/>
                <w:color w:val="auto"/>
                <w:w w:val="85"/>
              </w:rPr>
              <w:t>Based</w:t>
            </w: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center"/>
              <w:ind w:right="128"/>
              <w:spacing w:after="0" w:line="149" w:lineRule="exact"/>
              <w:rPr>
                <w:sz w:val="20"/>
                <w:szCs w:val="20"/>
                <w:color w:val="auto"/>
              </w:rPr>
            </w:pPr>
            <w:r>
              <w:rPr>
                <w:rFonts w:ascii="Arial" w:cs="Arial" w:eastAsia="Arial" w:hAnsi="Arial"/>
                <w:sz w:val="14"/>
                <w:szCs w:val="14"/>
                <w:color w:val="auto"/>
                <w:w w:val="90"/>
              </w:rPr>
              <w:t>Based</w:t>
            </w: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r>
      <w:tr>
        <w:trPr>
          <w:trHeight w:val="149"/>
        </w:trPr>
        <w:tc>
          <w:tcPr>
            <w:tcW w:w="1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center"/>
              <w:ind w:right="188"/>
              <w:spacing w:after="0" w:line="149" w:lineRule="exact"/>
              <w:rPr>
                <w:sz w:val="20"/>
                <w:szCs w:val="20"/>
                <w:color w:val="auto"/>
              </w:rPr>
            </w:pPr>
            <w:r>
              <w:rPr>
                <w:rFonts w:ascii="Arial" w:cs="Arial" w:eastAsia="Arial" w:hAnsi="Arial"/>
                <w:sz w:val="14"/>
                <w:szCs w:val="14"/>
                <w:color w:val="auto"/>
                <w:w w:val="96"/>
              </w:rPr>
              <w:t>Staffing</w:t>
            </w:r>
          </w:p>
        </w:tc>
        <w:tc>
          <w:tcPr>
            <w:tcW w:w="220" w:type="dxa"/>
            <w:vAlign w:val="bottom"/>
          </w:tcPr>
          <w:p>
            <w:pPr>
              <w:spacing w:after="0"/>
              <w:rPr>
                <w:sz w:val="12"/>
                <w:szCs w:val="12"/>
                <w:color w:val="auto"/>
              </w:rPr>
            </w:pPr>
          </w:p>
        </w:tc>
        <w:tc>
          <w:tcPr>
            <w:tcW w:w="840" w:type="dxa"/>
            <w:vAlign w:val="bottom"/>
          </w:tcPr>
          <w:p>
            <w:pPr>
              <w:jc w:val="center"/>
              <w:ind w:right="148"/>
              <w:spacing w:after="0" w:line="149" w:lineRule="exact"/>
              <w:rPr>
                <w:sz w:val="20"/>
                <w:szCs w:val="20"/>
                <w:color w:val="auto"/>
              </w:rPr>
            </w:pPr>
            <w:r>
              <w:rPr>
                <w:rFonts w:ascii="Arial" w:cs="Arial" w:eastAsia="Arial" w:hAnsi="Arial"/>
                <w:sz w:val="14"/>
                <w:szCs w:val="14"/>
                <w:color w:val="auto"/>
                <w:w w:val="93"/>
              </w:rPr>
              <w:t>Solutions</w:t>
            </w: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center"/>
              <w:ind w:right="168"/>
              <w:spacing w:after="0" w:line="149" w:lineRule="exact"/>
              <w:rPr>
                <w:sz w:val="20"/>
                <w:szCs w:val="20"/>
                <w:color w:val="auto"/>
              </w:rPr>
            </w:pPr>
            <w:r>
              <w:rPr>
                <w:rFonts w:ascii="Arial" w:cs="Arial" w:eastAsia="Arial" w:hAnsi="Arial"/>
                <w:sz w:val="14"/>
                <w:szCs w:val="14"/>
                <w:color w:val="auto"/>
                <w:w w:val="96"/>
              </w:rPr>
              <w:t>Staffing</w:t>
            </w:r>
          </w:p>
        </w:tc>
        <w:tc>
          <w:tcPr>
            <w:tcW w:w="200" w:type="dxa"/>
            <w:vAlign w:val="bottom"/>
          </w:tcPr>
          <w:p>
            <w:pPr>
              <w:spacing w:after="0"/>
              <w:rPr>
                <w:sz w:val="12"/>
                <w:szCs w:val="12"/>
                <w:color w:val="auto"/>
              </w:rPr>
            </w:pPr>
          </w:p>
        </w:tc>
        <w:tc>
          <w:tcPr>
            <w:tcW w:w="800" w:type="dxa"/>
            <w:vAlign w:val="bottom"/>
          </w:tcPr>
          <w:p>
            <w:pPr>
              <w:jc w:val="center"/>
              <w:ind w:right="148"/>
              <w:spacing w:after="0" w:line="149" w:lineRule="exact"/>
              <w:rPr>
                <w:sz w:val="20"/>
                <w:szCs w:val="20"/>
                <w:color w:val="auto"/>
              </w:rPr>
            </w:pPr>
            <w:r>
              <w:rPr>
                <w:rFonts w:ascii="Arial" w:cs="Arial" w:eastAsia="Arial" w:hAnsi="Arial"/>
                <w:sz w:val="14"/>
                <w:szCs w:val="14"/>
                <w:color w:val="auto"/>
                <w:w w:val="93"/>
              </w:rPr>
              <w:t>Solutions</w:t>
            </w: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r>
      <w:tr>
        <w:trPr>
          <w:trHeight w:val="149"/>
        </w:trPr>
        <w:tc>
          <w:tcPr>
            <w:tcW w:w="1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center"/>
              <w:ind w:right="168"/>
              <w:spacing w:after="0" w:line="149" w:lineRule="exact"/>
              <w:rPr>
                <w:sz w:val="20"/>
                <w:szCs w:val="20"/>
                <w:color w:val="auto"/>
              </w:rPr>
            </w:pPr>
            <w:r>
              <w:rPr>
                <w:rFonts w:ascii="Arial" w:cs="Arial" w:eastAsia="Arial" w:hAnsi="Arial"/>
                <w:sz w:val="14"/>
                <w:szCs w:val="14"/>
                <w:color w:val="auto"/>
                <w:w w:val="85"/>
              </w:rPr>
              <w:t>and</w:t>
            </w:r>
          </w:p>
        </w:tc>
        <w:tc>
          <w:tcPr>
            <w:tcW w:w="220" w:type="dxa"/>
            <w:vAlign w:val="bottom"/>
          </w:tcPr>
          <w:p>
            <w:pPr>
              <w:spacing w:after="0"/>
              <w:rPr>
                <w:sz w:val="12"/>
                <w:szCs w:val="12"/>
                <w:color w:val="auto"/>
              </w:rPr>
            </w:pPr>
          </w:p>
        </w:tc>
        <w:tc>
          <w:tcPr>
            <w:tcW w:w="840" w:type="dxa"/>
            <w:vAlign w:val="bottom"/>
          </w:tcPr>
          <w:p>
            <w:pPr>
              <w:jc w:val="center"/>
              <w:ind w:right="148"/>
              <w:spacing w:after="0" w:line="149" w:lineRule="exact"/>
              <w:rPr>
                <w:sz w:val="20"/>
                <w:szCs w:val="20"/>
                <w:color w:val="auto"/>
              </w:rPr>
            </w:pPr>
            <w:r>
              <w:rPr>
                <w:rFonts w:ascii="Arial" w:cs="Arial" w:eastAsia="Arial" w:hAnsi="Arial"/>
                <w:sz w:val="14"/>
                <w:szCs w:val="14"/>
                <w:color w:val="auto"/>
                <w:w w:val="94"/>
              </w:rPr>
              <w:t>and</w:t>
            </w:r>
          </w:p>
        </w:tc>
        <w:tc>
          <w:tcPr>
            <w:tcW w:w="200" w:type="dxa"/>
            <w:vAlign w:val="bottom"/>
          </w:tcPr>
          <w:p>
            <w:pPr>
              <w:spacing w:after="0"/>
              <w:rPr>
                <w:sz w:val="12"/>
                <w:szCs w:val="12"/>
                <w:color w:val="auto"/>
              </w:rPr>
            </w:pPr>
          </w:p>
        </w:tc>
        <w:tc>
          <w:tcPr>
            <w:tcW w:w="840" w:type="dxa"/>
            <w:vAlign w:val="bottom"/>
          </w:tcPr>
          <w:p>
            <w:pPr>
              <w:jc w:val="right"/>
              <w:ind w:right="128"/>
              <w:spacing w:after="0" w:line="149" w:lineRule="exact"/>
              <w:rPr>
                <w:sz w:val="20"/>
                <w:szCs w:val="20"/>
                <w:color w:val="auto"/>
              </w:rPr>
            </w:pPr>
            <w:r>
              <w:rPr>
                <w:rFonts w:ascii="Arial" w:cs="Arial" w:eastAsia="Arial" w:hAnsi="Arial"/>
                <w:sz w:val="14"/>
                <w:szCs w:val="14"/>
                <w:color w:val="auto"/>
                <w:w w:val="90"/>
              </w:rPr>
              <w:t>Permanent</w:t>
            </w: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center"/>
              <w:ind w:right="148"/>
              <w:spacing w:after="0" w:line="149" w:lineRule="exact"/>
              <w:rPr>
                <w:sz w:val="20"/>
                <w:szCs w:val="20"/>
                <w:color w:val="auto"/>
              </w:rPr>
            </w:pPr>
            <w:r>
              <w:rPr>
                <w:rFonts w:ascii="Arial" w:cs="Arial" w:eastAsia="Arial" w:hAnsi="Arial"/>
                <w:sz w:val="14"/>
                <w:szCs w:val="14"/>
                <w:color w:val="auto"/>
                <w:w w:val="85"/>
              </w:rPr>
              <w:t>and</w:t>
            </w:r>
          </w:p>
        </w:tc>
        <w:tc>
          <w:tcPr>
            <w:tcW w:w="200" w:type="dxa"/>
            <w:vAlign w:val="bottom"/>
          </w:tcPr>
          <w:p>
            <w:pPr>
              <w:spacing w:after="0"/>
              <w:rPr>
                <w:sz w:val="12"/>
                <w:szCs w:val="12"/>
                <w:color w:val="auto"/>
              </w:rPr>
            </w:pPr>
          </w:p>
        </w:tc>
        <w:tc>
          <w:tcPr>
            <w:tcW w:w="800" w:type="dxa"/>
            <w:vAlign w:val="bottom"/>
          </w:tcPr>
          <w:p>
            <w:pPr>
              <w:jc w:val="center"/>
              <w:ind w:right="128"/>
              <w:spacing w:after="0" w:line="149" w:lineRule="exact"/>
              <w:rPr>
                <w:sz w:val="20"/>
                <w:szCs w:val="20"/>
                <w:color w:val="auto"/>
              </w:rPr>
            </w:pPr>
            <w:r>
              <w:rPr>
                <w:rFonts w:ascii="Arial" w:cs="Arial" w:eastAsia="Arial" w:hAnsi="Arial"/>
                <w:sz w:val="14"/>
                <w:szCs w:val="14"/>
                <w:color w:val="auto"/>
                <w:w w:val="85"/>
              </w:rPr>
              <w:t>and</w:t>
            </w:r>
          </w:p>
        </w:tc>
        <w:tc>
          <w:tcPr>
            <w:tcW w:w="180" w:type="dxa"/>
            <w:vAlign w:val="bottom"/>
          </w:tcPr>
          <w:p>
            <w:pPr>
              <w:spacing w:after="0"/>
              <w:rPr>
                <w:sz w:val="12"/>
                <w:szCs w:val="12"/>
                <w:color w:val="auto"/>
              </w:rPr>
            </w:pPr>
          </w:p>
        </w:tc>
        <w:tc>
          <w:tcPr>
            <w:tcW w:w="820" w:type="dxa"/>
            <w:vAlign w:val="bottom"/>
          </w:tcPr>
          <w:p>
            <w:pPr>
              <w:jc w:val="center"/>
              <w:ind w:right="128"/>
              <w:spacing w:after="0" w:line="149" w:lineRule="exact"/>
              <w:rPr>
                <w:sz w:val="20"/>
                <w:szCs w:val="20"/>
                <w:color w:val="auto"/>
              </w:rPr>
            </w:pPr>
            <w:r>
              <w:rPr>
                <w:rFonts w:ascii="Arial" w:cs="Arial" w:eastAsia="Arial" w:hAnsi="Arial"/>
                <w:sz w:val="14"/>
                <w:szCs w:val="14"/>
                <w:color w:val="auto"/>
                <w:w w:val="90"/>
              </w:rPr>
              <w:t>Permanent</w:t>
            </w: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r>
      <w:tr>
        <w:trPr>
          <w:trHeight w:val="167"/>
        </w:trPr>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center"/>
              <w:ind w:right="188"/>
              <w:spacing w:after="0"/>
              <w:rPr>
                <w:sz w:val="20"/>
                <w:szCs w:val="20"/>
                <w:color w:val="auto"/>
              </w:rPr>
            </w:pPr>
            <w:r>
              <w:rPr>
                <w:rFonts w:ascii="Arial" w:cs="Arial" w:eastAsia="Arial" w:hAnsi="Arial"/>
                <w:sz w:val="14"/>
                <w:szCs w:val="14"/>
                <w:color w:val="auto"/>
                <w:w w:val="98"/>
              </w:rPr>
              <w:t>Interim</w:t>
            </w:r>
          </w:p>
        </w:tc>
        <w:tc>
          <w:tcPr>
            <w:tcW w:w="220" w:type="dxa"/>
            <w:vAlign w:val="bottom"/>
          </w:tcPr>
          <w:p>
            <w:pPr>
              <w:spacing w:after="0"/>
              <w:rPr>
                <w:sz w:val="14"/>
                <w:szCs w:val="14"/>
                <w:color w:val="auto"/>
              </w:rPr>
            </w:pPr>
          </w:p>
        </w:tc>
        <w:tc>
          <w:tcPr>
            <w:tcW w:w="840" w:type="dxa"/>
            <w:vAlign w:val="bottom"/>
          </w:tcPr>
          <w:p>
            <w:pPr>
              <w:jc w:val="center"/>
              <w:ind w:right="148"/>
              <w:spacing w:after="0"/>
              <w:rPr>
                <w:sz w:val="20"/>
                <w:szCs w:val="20"/>
                <w:color w:val="auto"/>
              </w:rPr>
            </w:pPr>
            <w:r>
              <w:rPr>
                <w:rFonts w:ascii="Arial" w:cs="Arial" w:eastAsia="Arial" w:hAnsi="Arial"/>
                <w:sz w:val="14"/>
                <w:szCs w:val="14"/>
                <w:color w:val="auto"/>
                <w:w w:val="93"/>
              </w:rPr>
              <w:t>Consulting</w:t>
            </w:r>
          </w:p>
        </w:tc>
        <w:tc>
          <w:tcPr>
            <w:tcW w:w="1040" w:type="dxa"/>
            <w:vAlign w:val="bottom"/>
            <w:gridSpan w:val="2"/>
          </w:tcPr>
          <w:p>
            <w:pPr>
              <w:jc w:val="right"/>
              <w:ind w:right="88"/>
              <w:spacing w:after="0"/>
              <w:rPr>
                <w:sz w:val="20"/>
                <w:szCs w:val="20"/>
                <w:color w:val="auto"/>
              </w:rPr>
            </w:pPr>
            <w:r>
              <w:rPr>
                <w:rFonts w:ascii="Arial" w:cs="Arial" w:eastAsia="Arial" w:hAnsi="Arial"/>
                <w:sz w:val="14"/>
                <w:szCs w:val="14"/>
                <w:color w:val="auto"/>
              </w:rPr>
              <w:t>Recruitment</w:t>
            </w:r>
          </w:p>
        </w:tc>
        <w:tc>
          <w:tcPr>
            <w:tcW w:w="260" w:type="dxa"/>
            <w:vAlign w:val="bottom"/>
          </w:tcPr>
          <w:p>
            <w:pPr>
              <w:spacing w:after="0"/>
              <w:rPr>
                <w:sz w:val="14"/>
                <w:szCs w:val="14"/>
                <w:color w:val="auto"/>
              </w:rPr>
            </w:pPr>
          </w:p>
        </w:tc>
        <w:tc>
          <w:tcPr>
            <w:tcW w:w="660" w:type="dxa"/>
            <w:vAlign w:val="bottom"/>
          </w:tcPr>
          <w:p>
            <w:pPr>
              <w:jc w:val="right"/>
              <w:ind w:right="188"/>
              <w:spacing w:after="0"/>
              <w:rPr>
                <w:sz w:val="20"/>
                <w:szCs w:val="20"/>
                <w:color w:val="auto"/>
              </w:rPr>
            </w:pPr>
            <w:r>
              <w:rPr>
                <w:rFonts w:ascii="Arial" w:cs="Arial" w:eastAsia="Arial" w:hAnsi="Arial"/>
                <w:sz w:val="14"/>
                <w:szCs w:val="14"/>
                <w:color w:val="auto"/>
              </w:rPr>
              <w:t>Other</w:t>
            </w:r>
          </w:p>
        </w:tc>
        <w:tc>
          <w:tcPr>
            <w:tcW w:w="340" w:type="dxa"/>
            <w:vAlign w:val="bottom"/>
          </w:tcPr>
          <w:p>
            <w:pPr>
              <w:spacing w:after="0"/>
              <w:rPr>
                <w:sz w:val="14"/>
                <w:szCs w:val="14"/>
                <w:color w:val="auto"/>
              </w:rPr>
            </w:pPr>
          </w:p>
        </w:tc>
        <w:tc>
          <w:tcPr>
            <w:tcW w:w="860" w:type="dxa"/>
            <w:vAlign w:val="bottom"/>
            <w:gridSpan w:val="2"/>
          </w:tcPr>
          <w:p>
            <w:pPr>
              <w:ind w:left="100"/>
              <w:spacing w:after="0"/>
              <w:rPr>
                <w:sz w:val="20"/>
                <w:szCs w:val="20"/>
                <w:color w:val="auto"/>
              </w:rPr>
            </w:pPr>
            <w:r>
              <w:rPr>
                <w:rFonts w:ascii="Arial" w:cs="Arial" w:eastAsia="Arial" w:hAnsi="Arial"/>
                <w:sz w:val="14"/>
                <w:szCs w:val="14"/>
                <w:color w:val="auto"/>
              </w:rPr>
              <w:t>Total</w:t>
            </w:r>
          </w:p>
        </w:tc>
        <w:tc>
          <w:tcPr>
            <w:tcW w:w="100" w:type="dxa"/>
            <w:vAlign w:val="bottom"/>
          </w:tcPr>
          <w:p>
            <w:pPr>
              <w:spacing w:after="0"/>
              <w:rPr>
                <w:sz w:val="14"/>
                <w:szCs w:val="14"/>
                <w:color w:val="auto"/>
              </w:rPr>
            </w:pPr>
          </w:p>
        </w:tc>
        <w:tc>
          <w:tcPr>
            <w:tcW w:w="780" w:type="dxa"/>
            <w:vAlign w:val="bottom"/>
          </w:tcPr>
          <w:p>
            <w:pPr>
              <w:jc w:val="center"/>
              <w:ind w:right="168"/>
              <w:spacing w:after="0"/>
              <w:rPr>
                <w:sz w:val="20"/>
                <w:szCs w:val="20"/>
                <w:color w:val="auto"/>
              </w:rPr>
            </w:pPr>
            <w:r>
              <w:rPr>
                <w:rFonts w:ascii="Arial" w:cs="Arial" w:eastAsia="Arial" w:hAnsi="Arial"/>
                <w:sz w:val="14"/>
                <w:szCs w:val="14"/>
                <w:color w:val="auto"/>
                <w:w w:val="98"/>
              </w:rPr>
              <w:t>Interim</w:t>
            </w:r>
          </w:p>
        </w:tc>
        <w:tc>
          <w:tcPr>
            <w:tcW w:w="1000" w:type="dxa"/>
            <w:vAlign w:val="bottom"/>
            <w:gridSpan w:val="2"/>
          </w:tcPr>
          <w:p>
            <w:pPr>
              <w:jc w:val="center"/>
              <w:spacing w:after="0"/>
              <w:rPr>
                <w:sz w:val="20"/>
                <w:szCs w:val="20"/>
                <w:color w:val="auto"/>
              </w:rPr>
            </w:pPr>
            <w:r>
              <w:rPr>
                <w:rFonts w:ascii="Arial" w:cs="Arial" w:eastAsia="Arial" w:hAnsi="Arial"/>
                <w:sz w:val="14"/>
                <w:szCs w:val="14"/>
                <w:color w:val="auto"/>
                <w:w w:val="96"/>
              </w:rPr>
              <w:t>Consulting</w:t>
            </w:r>
          </w:p>
        </w:tc>
        <w:tc>
          <w:tcPr>
            <w:tcW w:w="1000" w:type="dxa"/>
            <w:vAlign w:val="bottom"/>
            <w:gridSpan w:val="2"/>
          </w:tcPr>
          <w:p>
            <w:pPr>
              <w:jc w:val="center"/>
              <w:spacing w:after="0"/>
              <w:rPr>
                <w:sz w:val="20"/>
                <w:szCs w:val="20"/>
                <w:color w:val="auto"/>
              </w:rPr>
            </w:pPr>
            <w:r>
              <w:rPr>
                <w:rFonts w:ascii="Arial" w:cs="Arial" w:eastAsia="Arial" w:hAnsi="Arial"/>
                <w:sz w:val="14"/>
                <w:szCs w:val="14"/>
                <w:color w:val="auto"/>
                <w:w w:val="95"/>
              </w:rPr>
              <w:t>Recruitment</w:t>
            </w:r>
          </w:p>
        </w:tc>
        <w:tc>
          <w:tcPr>
            <w:tcW w:w="260" w:type="dxa"/>
            <w:vAlign w:val="bottom"/>
          </w:tcPr>
          <w:p>
            <w:pPr>
              <w:spacing w:after="0"/>
              <w:rPr>
                <w:sz w:val="14"/>
                <w:szCs w:val="14"/>
                <w:color w:val="auto"/>
              </w:rPr>
            </w:pPr>
          </w:p>
        </w:tc>
        <w:tc>
          <w:tcPr>
            <w:tcW w:w="740" w:type="dxa"/>
            <w:vAlign w:val="bottom"/>
          </w:tcPr>
          <w:p>
            <w:pPr>
              <w:jc w:val="right"/>
              <w:ind w:right="268"/>
              <w:spacing w:after="0"/>
              <w:rPr>
                <w:sz w:val="20"/>
                <w:szCs w:val="20"/>
                <w:color w:val="auto"/>
              </w:rPr>
            </w:pPr>
            <w:r>
              <w:rPr>
                <w:rFonts w:ascii="Arial" w:cs="Arial" w:eastAsia="Arial" w:hAnsi="Arial"/>
                <w:sz w:val="14"/>
                <w:szCs w:val="14"/>
                <w:color w:val="auto"/>
              </w:rPr>
              <w:t>Other</w:t>
            </w:r>
          </w:p>
        </w:tc>
        <w:tc>
          <w:tcPr>
            <w:tcW w:w="260" w:type="dxa"/>
            <w:vAlign w:val="bottom"/>
          </w:tcPr>
          <w:p>
            <w:pPr>
              <w:spacing w:after="0"/>
              <w:rPr>
                <w:sz w:val="14"/>
                <w:szCs w:val="14"/>
                <w:color w:val="auto"/>
              </w:rPr>
            </w:pPr>
          </w:p>
        </w:tc>
        <w:tc>
          <w:tcPr>
            <w:tcW w:w="700" w:type="dxa"/>
            <w:vAlign w:val="bottom"/>
          </w:tcPr>
          <w:p>
            <w:pPr>
              <w:jc w:val="right"/>
              <w:ind w:right="248"/>
              <w:spacing w:after="0"/>
              <w:rPr>
                <w:sz w:val="20"/>
                <w:szCs w:val="20"/>
                <w:color w:val="auto"/>
              </w:rPr>
            </w:pPr>
            <w:r>
              <w:rPr>
                <w:rFonts w:ascii="Arial" w:cs="Arial" w:eastAsia="Arial" w:hAnsi="Arial"/>
                <w:sz w:val="14"/>
                <w:szCs w:val="14"/>
                <w:color w:val="auto"/>
              </w:rPr>
              <w:t>Total</w:t>
            </w:r>
          </w:p>
        </w:tc>
      </w:tr>
      <w:tr>
        <w:trPr>
          <w:trHeight w:val="156"/>
        </w:trPr>
        <w:tc>
          <w:tcPr>
            <w:tcW w:w="144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Americas:</w:t>
            </w:r>
          </w:p>
        </w:tc>
        <w:tc>
          <w:tcPr>
            <w:tcW w:w="120" w:type="dxa"/>
            <w:vAlign w:val="bottom"/>
            <w:tcBorders>
              <w:top w:val="single" w:sz="8" w:color="auto"/>
            </w:tcBorders>
            <w:shd w:val="clear" w:color="auto" w:fill="CFF0FC"/>
          </w:tcPr>
          <w:p>
            <w:pPr>
              <w:spacing w:after="0"/>
              <w:rPr>
                <w:sz w:val="13"/>
                <w:szCs w:val="13"/>
                <w:color w:val="auto"/>
              </w:rPr>
            </w:pPr>
          </w:p>
        </w:tc>
        <w:tc>
          <w:tcPr>
            <w:tcW w:w="800" w:type="dxa"/>
            <w:vAlign w:val="bottom"/>
            <w:tcBorders>
              <w:top w:val="single" w:sz="8" w:color="auto"/>
            </w:tcBorders>
            <w:shd w:val="clear" w:color="auto" w:fill="CFF0FC"/>
          </w:tcPr>
          <w:p>
            <w:pPr>
              <w:spacing w:after="0"/>
              <w:rPr>
                <w:sz w:val="13"/>
                <w:szCs w:val="13"/>
                <w:color w:val="auto"/>
              </w:rPr>
            </w:pPr>
          </w:p>
        </w:tc>
        <w:tc>
          <w:tcPr>
            <w:tcW w:w="220" w:type="dxa"/>
            <w:vAlign w:val="bottom"/>
            <w:tcBorders>
              <w:top w:val="single" w:sz="8" w:color="auto"/>
            </w:tcBorders>
            <w:shd w:val="clear" w:color="auto" w:fill="CFF0FC"/>
          </w:tcPr>
          <w:p>
            <w:pPr>
              <w:spacing w:after="0"/>
              <w:rPr>
                <w:sz w:val="13"/>
                <w:szCs w:val="13"/>
                <w:color w:val="auto"/>
              </w:rPr>
            </w:pPr>
          </w:p>
        </w:tc>
        <w:tc>
          <w:tcPr>
            <w:tcW w:w="840" w:type="dxa"/>
            <w:vAlign w:val="bottom"/>
            <w:tcBorders>
              <w:top w:val="single" w:sz="8" w:color="auto"/>
            </w:tcBorders>
            <w:shd w:val="clear" w:color="auto" w:fill="CFF0FC"/>
          </w:tcPr>
          <w:p>
            <w:pPr>
              <w:spacing w:after="0"/>
              <w:rPr>
                <w:sz w:val="13"/>
                <w:szCs w:val="13"/>
                <w:color w:val="auto"/>
              </w:rPr>
            </w:pPr>
          </w:p>
        </w:tc>
        <w:tc>
          <w:tcPr>
            <w:tcW w:w="200" w:type="dxa"/>
            <w:vAlign w:val="bottom"/>
            <w:tcBorders>
              <w:top w:val="single" w:sz="8" w:color="auto"/>
            </w:tcBorders>
            <w:shd w:val="clear" w:color="auto" w:fill="CFF0FC"/>
          </w:tcPr>
          <w:p>
            <w:pPr>
              <w:spacing w:after="0"/>
              <w:rPr>
                <w:sz w:val="13"/>
                <w:szCs w:val="13"/>
                <w:color w:val="auto"/>
              </w:rPr>
            </w:pPr>
          </w:p>
        </w:tc>
        <w:tc>
          <w:tcPr>
            <w:tcW w:w="840" w:type="dxa"/>
            <w:vAlign w:val="bottom"/>
            <w:tcBorders>
              <w:top w:val="single" w:sz="8" w:color="auto"/>
            </w:tcBorders>
            <w:shd w:val="clear" w:color="auto" w:fill="CFF0FC"/>
          </w:tcPr>
          <w:p>
            <w:pPr>
              <w:spacing w:after="0"/>
              <w:rPr>
                <w:sz w:val="13"/>
                <w:szCs w:val="13"/>
                <w:color w:val="auto"/>
              </w:rPr>
            </w:pPr>
          </w:p>
        </w:tc>
        <w:tc>
          <w:tcPr>
            <w:tcW w:w="260" w:type="dxa"/>
            <w:vAlign w:val="bottom"/>
            <w:tcBorders>
              <w:top w:val="single" w:sz="8" w:color="auto"/>
            </w:tcBorders>
            <w:shd w:val="clear" w:color="auto" w:fill="CFF0FC"/>
          </w:tcPr>
          <w:p>
            <w:pPr>
              <w:spacing w:after="0"/>
              <w:rPr>
                <w:sz w:val="13"/>
                <w:szCs w:val="13"/>
                <w:color w:val="auto"/>
              </w:rPr>
            </w:pPr>
          </w:p>
        </w:tc>
        <w:tc>
          <w:tcPr>
            <w:tcW w:w="660" w:type="dxa"/>
            <w:vAlign w:val="bottom"/>
            <w:tcBorders>
              <w:top w:val="single" w:sz="8" w:color="auto"/>
            </w:tcBorders>
            <w:shd w:val="clear" w:color="auto" w:fill="CFF0FC"/>
          </w:tcPr>
          <w:p>
            <w:pPr>
              <w:spacing w:after="0"/>
              <w:rPr>
                <w:sz w:val="13"/>
                <w:szCs w:val="13"/>
                <w:color w:val="auto"/>
              </w:rPr>
            </w:pPr>
          </w:p>
        </w:tc>
        <w:tc>
          <w:tcPr>
            <w:tcW w:w="340" w:type="dxa"/>
            <w:vAlign w:val="bottom"/>
            <w:tcBorders>
              <w:top w:val="single" w:sz="8" w:color="auto"/>
            </w:tcBorders>
            <w:shd w:val="clear" w:color="auto" w:fill="CFF0FC"/>
          </w:tcPr>
          <w:p>
            <w:pPr>
              <w:spacing w:after="0"/>
              <w:rPr>
                <w:sz w:val="13"/>
                <w:szCs w:val="13"/>
                <w:color w:val="auto"/>
              </w:rPr>
            </w:pPr>
          </w:p>
        </w:tc>
        <w:tc>
          <w:tcPr>
            <w:tcW w:w="74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780" w:type="dxa"/>
            <w:vAlign w:val="bottom"/>
            <w:tcBorders>
              <w:top w:val="single" w:sz="8" w:color="auto"/>
            </w:tcBorders>
            <w:shd w:val="clear" w:color="auto" w:fill="CFF0FC"/>
          </w:tcPr>
          <w:p>
            <w:pPr>
              <w:spacing w:after="0"/>
              <w:rPr>
                <w:sz w:val="13"/>
                <w:szCs w:val="13"/>
                <w:color w:val="auto"/>
              </w:rPr>
            </w:pPr>
          </w:p>
        </w:tc>
        <w:tc>
          <w:tcPr>
            <w:tcW w:w="200" w:type="dxa"/>
            <w:vAlign w:val="bottom"/>
            <w:tcBorders>
              <w:top w:val="single" w:sz="8" w:color="auto"/>
            </w:tcBorders>
            <w:shd w:val="clear" w:color="auto" w:fill="CFF0FC"/>
          </w:tcPr>
          <w:p>
            <w:pPr>
              <w:spacing w:after="0"/>
              <w:rPr>
                <w:sz w:val="13"/>
                <w:szCs w:val="13"/>
                <w:color w:val="auto"/>
              </w:rPr>
            </w:pPr>
          </w:p>
        </w:tc>
        <w:tc>
          <w:tcPr>
            <w:tcW w:w="800" w:type="dxa"/>
            <w:vAlign w:val="bottom"/>
            <w:tcBorders>
              <w:top w:val="single" w:sz="8" w:color="auto"/>
            </w:tcBorders>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spacing w:after="0"/>
              <w:rPr>
                <w:sz w:val="13"/>
                <w:szCs w:val="13"/>
                <w:color w:val="auto"/>
              </w:rPr>
            </w:pPr>
          </w:p>
        </w:tc>
        <w:tc>
          <w:tcPr>
            <w:tcW w:w="820" w:type="dxa"/>
            <w:vAlign w:val="bottom"/>
            <w:tcBorders>
              <w:top w:val="single" w:sz="8" w:color="auto"/>
            </w:tcBorders>
            <w:shd w:val="clear" w:color="auto" w:fill="CFF0FC"/>
          </w:tcPr>
          <w:p>
            <w:pPr>
              <w:spacing w:after="0"/>
              <w:rPr>
                <w:sz w:val="13"/>
                <w:szCs w:val="13"/>
                <w:color w:val="auto"/>
              </w:rPr>
            </w:pPr>
          </w:p>
        </w:tc>
        <w:tc>
          <w:tcPr>
            <w:tcW w:w="260" w:type="dxa"/>
            <w:vAlign w:val="bottom"/>
            <w:tcBorders>
              <w:top w:val="single" w:sz="8" w:color="auto"/>
            </w:tcBorders>
            <w:shd w:val="clear" w:color="auto" w:fill="CFF0FC"/>
          </w:tcPr>
          <w:p>
            <w:pPr>
              <w:spacing w:after="0"/>
              <w:rPr>
                <w:sz w:val="13"/>
                <w:szCs w:val="13"/>
                <w:color w:val="auto"/>
              </w:rPr>
            </w:pPr>
          </w:p>
        </w:tc>
        <w:tc>
          <w:tcPr>
            <w:tcW w:w="740" w:type="dxa"/>
            <w:vAlign w:val="bottom"/>
            <w:tcBorders>
              <w:top w:val="single" w:sz="8" w:color="auto"/>
            </w:tcBorders>
            <w:shd w:val="clear" w:color="auto" w:fill="CFF0FC"/>
          </w:tcPr>
          <w:p>
            <w:pPr>
              <w:spacing w:after="0"/>
              <w:rPr>
                <w:sz w:val="13"/>
                <w:szCs w:val="13"/>
                <w:color w:val="auto"/>
              </w:rPr>
            </w:pPr>
          </w:p>
        </w:tc>
        <w:tc>
          <w:tcPr>
            <w:tcW w:w="260" w:type="dxa"/>
            <w:vAlign w:val="bottom"/>
            <w:tcBorders>
              <w:top w:val="single" w:sz="8" w:color="auto"/>
            </w:tcBorders>
            <w:shd w:val="clear" w:color="auto" w:fill="CFF0FC"/>
          </w:tcPr>
          <w:p>
            <w:pPr>
              <w:spacing w:after="0"/>
              <w:rPr>
                <w:sz w:val="13"/>
                <w:szCs w:val="13"/>
                <w:color w:val="auto"/>
              </w:rPr>
            </w:pPr>
          </w:p>
        </w:tc>
        <w:tc>
          <w:tcPr>
            <w:tcW w:w="700" w:type="dxa"/>
            <w:vAlign w:val="bottom"/>
            <w:tcBorders>
              <w:top w:val="single" w:sz="8" w:color="auto"/>
            </w:tcBorders>
            <w:shd w:val="clear" w:color="auto" w:fill="CFF0FC"/>
          </w:tcPr>
          <w:p>
            <w:pPr>
              <w:spacing w:after="0"/>
              <w:rPr>
                <w:sz w:val="13"/>
                <w:szCs w:val="13"/>
                <w:color w:val="auto"/>
              </w:rPr>
            </w:pPr>
          </w:p>
        </w:tc>
      </w:tr>
      <w:tr>
        <w:trPr>
          <w:trHeight w:val="162"/>
        </w:trPr>
        <w:tc>
          <w:tcPr>
            <w:tcW w:w="1440" w:type="dxa"/>
            <w:vAlign w:val="bottom"/>
          </w:tcPr>
          <w:p>
            <w:pPr>
              <w:ind w:left="260"/>
              <w:spacing w:after="0"/>
              <w:rPr>
                <w:sz w:val="20"/>
                <w:szCs w:val="20"/>
                <w:color w:val="auto"/>
              </w:rPr>
            </w:pPr>
            <w:r>
              <w:rPr>
                <w:rFonts w:ascii="Arial" w:cs="Arial" w:eastAsia="Arial" w:hAnsi="Arial"/>
                <w:sz w:val="14"/>
                <w:szCs w:val="14"/>
                <w:color w:val="auto"/>
              </w:rPr>
              <w:t>United States</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564.5</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33.5</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25.2</w:t>
            </w:r>
          </w:p>
        </w:tc>
        <w:tc>
          <w:tcPr>
            <w:tcW w:w="2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22.5</w:t>
            </w:r>
          </w:p>
        </w:tc>
        <w:tc>
          <w:tcPr>
            <w:tcW w:w="3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645.7</w:t>
            </w:r>
          </w:p>
        </w:tc>
        <w:tc>
          <w:tcPr>
            <w:tcW w:w="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556.1</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31.5</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23.7</w:t>
            </w:r>
          </w:p>
        </w:tc>
        <w:tc>
          <w:tcPr>
            <w:tcW w:w="2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21.9</w:t>
            </w:r>
          </w:p>
        </w:tc>
        <w:tc>
          <w:tcPr>
            <w:tcW w:w="2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633.2</w:t>
            </w:r>
          </w:p>
        </w:tc>
      </w:tr>
      <w:tr>
        <w:trPr>
          <w:trHeight w:val="162"/>
        </w:trPr>
        <w:tc>
          <w:tcPr>
            <w:tcW w:w="1440" w:type="dxa"/>
            <w:vAlign w:val="bottom"/>
            <w:shd w:val="clear" w:color="auto" w:fill="CFF0FC"/>
          </w:tcPr>
          <w:p>
            <w:pPr>
              <w:ind w:left="260"/>
              <w:spacing w:after="0"/>
              <w:rPr>
                <w:sz w:val="20"/>
                <w:szCs w:val="20"/>
                <w:color w:val="auto"/>
              </w:rPr>
            </w:pPr>
            <w:r>
              <w:rPr>
                <w:rFonts w:ascii="Arial" w:cs="Arial" w:eastAsia="Arial" w:hAnsi="Arial"/>
                <w:sz w:val="14"/>
                <w:szCs w:val="14"/>
                <w:color w:val="auto"/>
              </w:rPr>
              <w:t>Other Americas</w:t>
            </w:r>
          </w:p>
        </w:tc>
        <w:tc>
          <w:tcPr>
            <w:tcW w:w="120" w:type="dxa"/>
            <w:vAlign w:val="bottom"/>
            <w:tcBorders>
              <w:bottom w:val="single" w:sz="8" w:color="auto"/>
            </w:tcBorders>
            <w:shd w:val="clear" w:color="auto" w:fill="CFF0FC"/>
          </w:tcPr>
          <w:p>
            <w:pPr>
              <w:spacing w:after="0"/>
              <w:rPr>
                <w:sz w:val="14"/>
                <w:szCs w:val="14"/>
                <w:color w:val="auto"/>
              </w:rPr>
            </w:pPr>
          </w:p>
        </w:tc>
        <w:tc>
          <w:tcPr>
            <w:tcW w:w="80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404.6</w:t>
            </w:r>
          </w:p>
        </w:tc>
        <w:tc>
          <w:tcPr>
            <w:tcW w:w="220" w:type="dxa"/>
            <w:vAlign w:val="bottom"/>
            <w:tcBorders>
              <w:bottom w:val="single" w:sz="8" w:color="auto"/>
            </w:tcBorders>
            <w:shd w:val="clear" w:color="auto" w:fill="CFF0FC"/>
          </w:tcPr>
          <w:p>
            <w:pPr>
              <w:spacing w:after="0"/>
              <w:rPr>
                <w:sz w:val="14"/>
                <w:szCs w:val="14"/>
                <w:color w:val="auto"/>
              </w:rPr>
            </w:pPr>
          </w:p>
        </w:tc>
        <w:tc>
          <w:tcPr>
            <w:tcW w:w="84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12.5</w:t>
            </w:r>
          </w:p>
        </w:tc>
        <w:tc>
          <w:tcPr>
            <w:tcW w:w="200" w:type="dxa"/>
            <w:vAlign w:val="bottom"/>
            <w:tcBorders>
              <w:bottom w:val="single" w:sz="8" w:color="auto"/>
            </w:tcBorders>
            <w:shd w:val="clear" w:color="auto" w:fill="CFF0FC"/>
          </w:tcPr>
          <w:p>
            <w:pPr>
              <w:spacing w:after="0"/>
              <w:rPr>
                <w:sz w:val="14"/>
                <w:szCs w:val="14"/>
                <w:color w:val="auto"/>
              </w:rPr>
            </w:pPr>
          </w:p>
        </w:tc>
        <w:tc>
          <w:tcPr>
            <w:tcW w:w="84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6.7</w:t>
            </w:r>
          </w:p>
        </w:tc>
        <w:tc>
          <w:tcPr>
            <w:tcW w:w="260" w:type="dxa"/>
            <w:vAlign w:val="bottom"/>
            <w:tcBorders>
              <w:bottom w:val="single" w:sz="8" w:color="auto"/>
            </w:tcBorders>
            <w:shd w:val="clear" w:color="auto" w:fill="CFF0FC"/>
          </w:tcPr>
          <w:p>
            <w:pPr>
              <w:spacing w:after="0"/>
              <w:rPr>
                <w:sz w:val="14"/>
                <w:szCs w:val="14"/>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1.2</w:t>
            </w:r>
          </w:p>
        </w:tc>
        <w:tc>
          <w:tcPr>
            <w:tcW w:w="340" w:type="dxa"/>
            <w:vAlign w:val="bottom"/>
            <w:tcBorders>
              <w:bottom w:val="single" w:sz="8" w:color="auto"/>
            </w:tcBorders>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425.0</w:t>
            </w:r>
          </w:p>
        </w:tc>
        <w:tc>
          <w:tcPr>
            <w:tcW w:w="120" w:type="dxa"/>
            <w:vAlign w:val="bottom"/>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78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388.1</w:t>
            </w:r>
          </w:p>
        </w:tc>
        <w:tc>
          <w:tcPr>
            <w:tcW w:w="200" w:type="dxa"/>
            <w:vAlign w:val="bottom"/>
            <w:tcBorders>
              <w:bottom w:val="single" w:sz="8" w:color="auto"/>
            </w:tcBorders>
            <w:shd w:val="clear" w:color="auto" w:fill="CFF0FC"/>
          </w:tcPr>
          <w:p>
            <w:pPr>
              <w:spacing w:after="0"/>
              <w:rPr>
                <w:sz w:val="14"/>
                <w:szCs w:val="14"/>
                <w:color w:val="auto"/>
              </w:rPr>
            </w:pPr>
          </w:p>
        </w:tc>
        <w:tc>
          <w:tcPr>
            <w:tcW w:w="80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11.4</w:t>
            </w:r>
          </w:p>
        </w:tc>
        <w:tc>
          <w:tcPr>
            <w:tcW w:w="180" w:type="dxa"/>
            <w:vAlign w:val="bottom"/>
            <w:tcBorders>
              <w:bottom w:val="single" w:sz="8" w:color="auto"/>
            </w:tcBorders>
            <w:shd w:val="clear" w:color="auto" w:fill="CFF0FC"/>
          </w:tcPr>
          <w:p>
            <w:pPr>
              <w:spacing w:after="0"/>
              <w:rPr>
                <w:sz w:val="14"/>
                <w:szCs w:val="14"/>
                <w:color w:val="auto"/>
              </w:rPr>
            </w:pPr>
          </w:p>
        </w:tc>
        <w:tc>
          <w:tcPr>
            <w:tcW w:w="82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6.1</w:t>
            </w:r>
          </w:p>
        </w:tc>
        <w:tc>
          <w:tcPr>
            <w:tcW w:w="260" w:type="dxa"/>
            <w:vAlign w:val="bottom"/>
            <w:tcBorders>
              <w:bottom w:val="single" w:sz="8" w:color="auto"/>
            </w:tcBorders>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1.2</w:t>
            </w:r>
          </w:p>
        </w:tc>
        <w:tc>
          <w:tcPr>
            <w:tcW w:w="260" w:type="dxa"/>
            <w:vAlign w:val="bottom"/>
            <w:tcBorders>
              <w:bottom w:val="single" w:sz="8" w:color="auto"/>
            </w:tcBorders>
            <w:shd w:val="clear" w:color="auto" w:fill="CFF0FC"/>
          </w:tcPr>
          <w:p>
            <w:pPr>
              <w:spacing w:after="0"/>
              <w:rPr>
                <w:sz w:val="14"/>
                <w:szCs w:val="14"/>
                <w:color w:val="auto"/>
              </w:rPr>
            </w:pPr>
          </w:p>
        </w:tc>
        <w:tc>
          <w:tcPr>
            <w:tcW w:w="70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406.8</w:t>
            </w:r>
          </w:p>
        </w:tc>
      </w:tr>
      <w:tr>
        <w:trPr>
          <w:trHeight w:val="156"/>
        </w:trPr>
        <w:tc>
          <w:tcPr>
            <w:tcW w:w="144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969.1</w:t>
            </w:r>
          </w:p>
        </w:tc>
        <w:tc>
          <w:tcPr>
            <w:tcW w:w="2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46.0</w:t>
            </w:r>
          </w:p>
        </w:tc>
        <w:tc>
          <w:tcPr>
            <w:tcW w:w="2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31.9</w:t>
            </w:r>
          </w:p>
        </w:tc>
        <w:tc>
          <w:tcPr>
            <w:tcW w:w="2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23.7</w:t>
            </w:r>
          </w:p>
        </w:tc>
        <w:tc>
          <w:tcPr>
            <w:tcW w:w="3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1,070.7</w:t>
            </w:r>
          </w:p>
        </w:tc>
        <w:tc>
          <w:tcPr>
            <w:tcW w:w="12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944.2</w:t>
            </w:r>
          </w:p>
        </w:tc>
        <w:tc>
          <w:tcPr>
            <w:tcW w:w="2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42.9</w:t>
            </w:r>
          </w:p>
        </w:tc>
        <w:tc>
          <w:tcPr>
            <w:tcW w:w="1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29.8</w:t>
            </w:r>
          </w:p>
        </w:tc>
        <w:tc>
          <w:tcPr>
            <w:tcW w:w="2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23.1</w:t>
            </w:r>
          </w:p>
        </w:tc>
        <w:tc>
          <w:tcPr>
            <w:tcW w:w="2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1,040.0</w:t>
            </w:r>
          </w:p>
        </w:tc>
      </w:tr>
      <w:tr>
        <w:trPr>
          <w:trHeight w:val="156"/>
        </w:trPr>
        <w:tc>
          <w:tcPr>
            <w:tcW w:w="144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Southern Europe:</w:t>
            </w:r>
          </w:p>
        </w:tc>
        <w:tc>
          <w:tcPr>
            <w:tcW w:w="12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r>
      <w:tr>
        <w:trPr>
          <w:trHeight w:val="162"/>
        </w:trPr>
        <w:tc>
          <w:tcPr>
            <w:tcW w:w="1440" w:type="dxa"/>
            <w:vAlign w:val="bottom"/>
          </w:tcPr>
          <w:p>
            <w:pPr>
              <w:ind w:left="260"/>
              <w:spacing w:after="0"/>
              <w:rPr>
                <w:sz w:val="20"/>
                <w:szCs w:val="20"/>
                <w:color w:val="auto"/>
              </w:rPr>
            </w:pPr>
            <w:r>
              <w:rPr>
                <w:rFonts w:ascii="Arial" w:cs="Arial" w:eastAsia="Arial" w:hAnsi="Arial"/>
                <w:sz w:val="14"/>
                <w:szCs w:val="14"/>
                <w:color w:val="auto"/>
              </w:rPr>
              <w:t>France</w:t>
            </w:r>
          </w:p>
        </w:tc>
        <w:tc>
          <w:tcPr>
            <w:tcW w:w="120" w:type="dxa"/>
            <w:vAlign w:val="bottom"/>
          </w:tcPr>
          <w:p>
            <w:pPr>
              <w:spacing w:after="0"/>
              <w:rPr>
                <w:sz w:val="14"/>
                <w:szCs w:val="14"/>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1,309.8</w:t>
            </w:r>
          </w:p>
        </w:tc>
        <w:tc>
          <w:tcPr>
            <w:tcW w:w="220" w:type="dxa"/>
            <w:vAlign w:val="bottom"/>
          </w:tcPr>
          <w:p>
            <w:pPr>
              <w:spacing w:after="0"/>
              <w:rPr>
                <w:sz w:val="14"/>
                <w:szCs w:val="14"/>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56.6</w:t>
            </w:r>
          </w:p>
        </w:tc>
        <w:tc>
          <w:tcPr>
            <w:tcW w:w="200" w:type="dxa"/>
            <w:vAlign w:val="bottom"/>
          </w:tcPr>
          <w:p>
            <w:pPr>
              <w:spacing w:after="0"/>
              <w:rPr>
                <w:sz w:val="14"/>
                <w:szCs w:val="14"/>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12.1</w:t>
            </w:r>
          </w:p>
        </w:tc>
        <w:tc>
          <w:tcPr>
            <w:tcW w:w="2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3.6</w:t>
            </w:r>
          </w:p>
        </w:tc>
        <w:tc>
          <w:tcPr>
            <w:tcW w:w="340" w:type="dxa"/>
            <w:vAlign w:val="bottom"/>
          </w:tcPr>
          <w:p>
            <w:pPr>
              <w:spacing w:after="0"/>
              <w:rPr>
                <w:sz w:val="14"/>
                <w:szCs w:val="14"/>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1,382.1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1,390.0</w:t>
            </w:r>
          </w:p>
        </w:tc>
        <w:tc>
          <w:tcPr>
            <w:tcW w:w="200" w:type="dxa"/>
            <w:vAlign w:val="bottom"/>
          </w:tcPr>
          <w:p>
            <w:pPr>
              <w:spacing w:after="0"/>
              <w:rPr>
                <w:sz w:val="14"/>
                <w:szCs w:val="14"/>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53.3</w:t>
            </w:r>
          </w:p>
        </w:tc>
        <w:tc>
          <w:tcPr>
            <w:tcW w:w="18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12.7</w:t>
            </w:r>
          </w:p>
        </w:tc>
        <w:tc>
          <w:tcPr>
            <w:tcW w:w="260" w:type="dxa"/>
            <w:vAlign w:val="bottom"/>
          </w:tcPr>
          <w:p>
            <w:pPr>
              <w:spacing w:after="0"/>
              <w:rPr>
                <w:sz w:val="14"/>
                <w:szCs w:val="14"/>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4.6</w:t>
            </w:r>
          </w:p>
        </w:tc>
        <w:tc>
          <w:tcPr>
            <w:tcW w:w="26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1,460.6</w:t>
            </w:r>
          </w:p>
        </w:tc>
      </w:tr>
      <w:tr>
        <w:trPr>
          <w:trHeight w:val="162"/>
        </w:trPr>
        <w:tc>
          <w:tcPr>
            <w:tcW w:w="1440" w:type="dxa"/>
            <w:vAlign w:val="bottom"/>
            <w:shd w:val="clear" w:color="auto" w:fill="CFF0FC"/>
          </w:tcPr>
          <w:p>
            <w:pPr>
              <w:ind w:left="260"/>
              <w:spacing w:after="0"/>
              <w:rPr>
                <w:sz w:val="20"/>
                <w:szCs w:val="20"/>
                <w:color w:val="auto"/>
              </w:rPr>
            </w:pPr>
            <w:r>
              <w:rPr>
                <w:rFonts w:ascii="Arial" w:cs="Arial" w:eastAsia="Arial" w:hAnsi="Arial"/>
                <w:sz w:val="14"/>
                <w:szCs w:val="14"/>
                <w:color w:val="auto"/>
              </w:rPr>
              <w:t>Italy</w:t>
            </w:r>
          </w:p>
        </w:tc>
        <w:tc>
          <w:tcPr>
            <w:tcW w:w="12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354.9</w:t>
            </w:r>
          </w:p>
        </w:tc>
        <w:tc>
          <w:tcPr>
            <w:tcW w:w="220" w:type="dxa"/>
            <w:vAlign w:val="bottom"/>
            <w:shd w:val="clear" w:color="auto" w:fill="CFF0FC"/>
          </w:tcPr>
          <w:p>
            <w:pPr>
              <w:spacing w:after="0"/>
              <w:rPr>
                <w:sz w:val="14"/>
                <w:szCs w:val="14"/>
                <w:color w:val="auto"/>
              </w:rPr>
            </w:pPr>
          </w:p>
        </w:tc>
        <w:tc>
          <w:tcPr>
            <w:tcW w:w="8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10.2</w:t>
            </w:r>
          </w:p>
        </w:tc>
        <w:tc>
          <w:tcPr>
            <w:tcW w:w="200" w:type="dxa"/>
            <w:vAlign w:val="bottom"/>
            <w:shd w:val="clear" w:color="auto" w:fill="CFF0FC"/>
          </w:tcPr>
          <w:p>
            <w:pPr>
              <w:spacing w:after="0"/>
              <w:rPr>
                <w:sz w:val="14"/>
                <w:szCs w:val="14"/>
                <w:color w:val="auto"/>
              </w:rPr>
            </w:pPr>
          </w:p>
        </w:tc>
        <w:tc>
          <w:tcPr>
            <w:tcW w:w="8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8.1</w:t>
            </w:r>
          </w:p>
        </w:tc>
        <w:tc>
          <w:tcPr>
            <w:tcW w:w="26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3.4</w:t>
            </w:r>
          </w:p>
        </w:tc>
        <w:tc>
          <w:tcPr>
            <w:tcW w:w="340" w:type="dxa"/>
            <w:vAlign w:val="bottom"/>
            <w:shd w:val="clear" w:color="auto" w:fill="CFF0FC"/>
          </w:tcPr>
          <w:p>
            <w:pPr>
              <w:spacing w:after="0"/>
              <w:rPr>
                <w:sz w:val="14"/>
                <w:szCs w:val="14"/>
                <w:color w:val="auto"/>
              </w:rPr>
            </w:pPr>
          </w:p>
        </w:tc>
        <w:tc>
          <w:tcPr>
            <w:tcW w:w="7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376.6</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386.5</w:t>
            </w:r>
          </w:p>
        </w:tc>
        <w:tc>
          <w:tcPr>
            <w:tcW w:w="20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11.5</w:t>
            </w:r>
          </w:p>
        </w:tc>
        <w:tc>
          <w:tcPr>
            <w:tcW w:w="180" w:type="dxa"/>
            <w:vAlign w:val="bottom"/>
            <w:shd w:val="clear" w:color="auto" w:fill="CFF0FC"/>
          </w:tcPr>
          <w:p>
            <w:pPr>
              <w:spacing w:after="0"/>
              <w:rPr>
                <w:sz w:val="14"/>
                <w:szCs w:val="14"/>
                <w:color w:val="auto"/>
              </w:rPr>
            </w:pPr>
          </w:p>
        </w:tc>
        <w:tc>
          <w:tcPr>
            <w:tcW w:w="8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8.0</w:t>
            </w:r>
          </w:p>
        </w:tc>
        <w:tc>
          <w:tcPr>
            <w:tcW w:w="260" w:type="dxa"/>
            <w:vAlign w:val="bottom"/>
            <w:shd w:val="clear" w:color="auto" w:fill="CFF0FC"/>
          </w:tcPr>
          <w:p>
            <w:pPr>
              <w:spacing w:after="0"/>
              <w:rPr>
                <w:sz w:val="14"/>
                <w:szCs w:val="14"/>
                <w:color w:val="auto"/>
              </w:rPr>
            </w:pPr>
          </w:p>
        </w:tc>
        <w:tc>
          <w:tcPr>
            <w:tcW w:w="7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4.2</w:t>
            </w:r>
          </w:p>
        </w:tc>
        <w:tc>
          <w:tcPr>
            <w:tcW w:w="260" w:type="dxa"/>
            <w:vAlign w:val="bottom"/>
            <w:shd w:val="clear" w:color="auto" w:fill="CFF0FC"/>
          </w:tcPr>
          <w:p>
            <w:pPr>
              <w:spacing w:after="0"/>
              <w:rPr>
                <w:sz w:val="14"/>
                <w:szCs w:val="14"/>
                <w:color w:val="auto"/>
              </w:rPr>
            </w:pPr>
          </w:p>
        </w:tc>
        <w:tc>
          <w:tcPr>
            <w:tcW w:w="70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410.2</w:t>
            </w:r>
          </w:p>
        </w:tc>
      </w:tr>
      <w:tr>
        <w:trPr>
          <w:trHeight w:val="143"/>
        </w:trPr>
        <w:tc>
          <w:tcPr>
            <w:tcW w:w="1440" w:type="dxa"/>
            <w:vAlign w:val="bottom"/>
          </w:tcPr>
          <w:p>
            <w:pPr>
              <w:ind w:left="260"/>
              <w:spacing w:after="0" w:line="143" w:lineRule="exact"/>
              <w:rPr>
                <w:sz w:val="20"/>
                <w:szCs w:val="20"/>
                <w:color w:val="auto"/>
              </w:rPr>
            </w:pPr>
            <w:r>
              <w:rPr>
                <w:rFonts w:ascii="Arial" w:cs="Arial" w:eastAsia="Arial" w:hAnsi="Arial"/>
                <w:sz w:val="14"/>
                <w:szCs w:val="14"/>
                <w:color w:val="auto"/>
              </w:rPr>
              <w:t>Other Southern</w:t>
            </w: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r>
      <w:tr>
        <w:trPr>
          <w:trHeight w:val="167"/>
        </w:trPr>
        <w:tc>
          <w:tcPr>
            <w:tcW w:w="1440" w:type="dxa"/>
            <w:vAlign w:val="bottom"/>
            <w:tcBorders>
              <w:bottom w:val="single" w:sz="8" w:color="CFF0FC"/>
            </w:tcBorders>
          </w:tcPr>
          <w:p>
            <w:pPr>
              <w:ind w:left="260"/>
              <w:spacing w:after="0"/>
              <w:rPr>
                <w:sz w:val="20"/>
                <w:szCs w:val="20"/>
                <w:color w:val="auto"/>
              </w:rPr>
            </w:pPr>
            <w:r>
              <w:rPr>
                <w:rFonts w:ascii="Arial" w:cs="Arial" w:eastAsia="Arial" w:hAnsi="Arial"/>
                <w:sz w:val="14"/>
                <w:szCs w:val="14"/>
                <w:color w:val="auto"/>
              </w:rPr>
              <w:t>Europe</w:t>
            </w: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494.1</w:t>
            </w: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82.0</w:t>
            </w: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15.4</w:t>
            </w:r>
          </w:p>
        </w:tc>
        <w:tc>
          <w:tcPr>
            <w:tcW w:w="2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w:t>
            </w:r>
          </w:p>
        </w:tc>
        <w:tc>
          <w:tcPr>
            <w:tcW w:w="3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592.9</w:t>
            </w:r>
          </w:p>
        </w:tc>
        <w:tc>
          <w:tcPr>
            <w:tcW w:w="12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370.2</w:t>
            </w: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72.8</w:t>
            </w: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13.5</w:t>
            </w:r>
          </w:p>
        </w:tc>
        <w:tc>
          <w:tcPr>
            <w:tcW w:w="2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4.3</w:t>
            </w:r>
          </w:p>
        </w:tc>
        <w:tc>
          <w:tcPr>
            <w:tcW w:w="2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460.8</w:t>
            </w:r>
          </w:p>
        </w:tc>
      </w:tr>
      <w:tr>
        <w:trPr>
          <w:trHeight w:val="156"/>
        </w:trPr>
        <w:tc>
          <w:tcPr>
            <w:tcW w:w="1440" w:type="dxa"/>
            <w:vAlign w:val="bottom"/>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spacing w:after="0"/>
              <w:rPr>
                <w:sz w:val="13"/>
                <w:szCs w:val="13"/>
                <w:color w:val="auto"/>
              </w:rPr>
            </w:pPr>
          </w:p>
        </w:tc>
        <w:tc>
          <w:tcPr>
            <w:tcW w:w="80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2,158.8</w:t>
            </w:r>
          </w:p>
        </w:tc>
        <w:tc>
          <w:tcPr>
            <w:tcW w:w="220" w:type="dxa"/>
            <w:vAlign w:val="bottom"/>
            <w:tcBorders>
              <w:bottom w:val="single" w:sz="8" w:color="auto"/>
            </w:tcBorders>
            <w:shd w:val="clear" w:color="auto" w:fill="CFF0FC"/>
          </w:tcPr>
          <w:p>
            <w:pPr>
              <w:spacing w:after="0"/>
              <w:rPr>
                <w:sz w:val="13"/>
                <w:szCs w:val="13"/>
                <w:color w:val="auto"/>
              </w:rPr>
            </w:pPr>
          </w:p>
        </w:tc>
        <w:tc>
          <w:tcPr>
            <w:tcW w:w="84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148.8</w:t>
            </w:r>
          </w:p>
        </w:tc>
        <w:tc>
          <w:tcPr>
            <w:tcW w:w="200" w:type="dxa"/>
            <w:vAlign w:val="bottom"/>
            <w:tcBorders>
              <w:bottom w:val="single" w:sz="8" w:color="auto"/>
            </w:tcBorders>
            <w:shd w:val="clear" w:color="auto" w:fill="CFF0FC"/>
          </w:tcPr>
          <w:p>
            <w:pPr>
              <w:spacing w:after="0"/>
              <w:rPr>
                <w:sz w:val="13"/>
                <w:szCs w:val="13"/>
                <w:color w:val="auto"/>
              </w:rPr>
            </w:pPr>
          </w:p>
        </w:tc>
        <w:tc>
          <w:tcPr>
            <w:tcW w:w="84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35.6</w:t>
            </w:r>
          </w:p>
        </w:tc>
        <w:tc>
          <w:tcPr>
            <w:tcW w:w="260" w:type="dxa"/>
            <w:vAlign w:val="bottom"/>
            <w:tcBorders>
              <w:bottom w:val="single" w:sz="8" w:color="auto"/>
            </w:tcBorders>
            <w:shd w:val="clear" w:color="auto" w:fill="CFF0FC"/>
          </w:tcPr>
          <w:p>
            <w:pPr>
              <w:spacing w:after="0"/>
              <w:rPr>
                <w:sz w:val="13"/>
                <w:szCs w:val="13"/>
                <w:color w:val="auto"/>
              </w:rPr>
            </w:pPr>
          </w:p>
        </w:tc>
        <w:tc>
          <w:tcPr>
            <w:tcW w:w="66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8.4</w:t>
            </w:r>
          </w:p>
        </w:tc>
        <w:tc>
          <w:tcPr>
            <w:tcW w:w="340" w:type="dxa"/>
            <w:vAlign w:val="bottom"/>
            <w:tcBorders>
              <w:bottom w:val="single" w:sz="8" w:color="auto"/>
            </w:tcBorders>
            <w:shd w:val="clear" w:color="auto" w:fill="CFF0FC"/>
          </w:tcPr>
          <w:p>
            <w:pPr>
              <w:spacing w:after="0"/>
              <w:rPr>
                <w:sz w:val="13"/>
                <w:szCs w:val="13"/>
                <w:color w:val="auto"/>
              </w:rPr>
            </w:pPr>
          </w:p>
        </w:tc>
        <w:tc>
          <w:tcPr>
            <w:tcW w:w="74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2,351.6</w:t>
            </w:r>
          </w:p>
        </w:tc>
        <w:tc>
          <w:tcPr>
            <w:tcW w:w="120" w:type="dxa"/>
            <w:vAlign w:val="bottom"/>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78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2,146.7</w:t>
            </w:r>
          </w:p>
        </w:tc>
        <w:tc>
          <w:tcPr>
            <w:tcW w:w="200" w:type="dxa"/>
            <w:vAlign w:val="bottom"/>
            <w:tcBorders>
              <w:bottom w:val="single" w:sz="8" w:color="auto"/>
            </w:tcBorders>
            <w:shd w:val="clear" w:color="auto" w:fill="CFF0FC"/>
          </w:tcPr>
          <w:p>
            <w:pPr>
              <w:spacing w:after="0"/>
              <w:rPr>
                <w:sz w:val="13"/>
                <w:szCs w:val="13"/>
                <w:color w:val="auto"/>
              </w:rPr>
            </w:pPr>
          </w:p>
        </w:tc>
        <w:tc>
          <w:tcPr>
            <w:tcW w:w="80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137.6</w:t>
            </w:r>
          </w:p>
        </w:tc>
        <w:tc>
          <w:tcPr>
            <w:tcW w:w="180" w:type="dxa"/>
            <w:vAlign w:val="bottom"/>
            <w:tcBorders>
              <w:bottom w:val="single" w:sz="8" w:color="auto"/>
            </w:tcBorders>
            <w:shd w:val="clear" w:color="auto" w:fill="CFF0FC"/>
          </w:tcPr>
          <w:p>
            <w:pPr>
              <w:spacing w:after="0"/>
              <w:rPr>
                <w:sz w:val="13"/>
                <w:szCs w:val="13"/>
                <w:color w:val="auto"/>
              </w:rPr>
            </w:pPr>
          </w:p>
        </w:tc>
        <w:tc>
          <w:tcPr>
            <w:tcW w:w="82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34.2</w:t>
            </w:r>
          </w:p>
        </w:tc>
        <w:tc>
          <w:tcPr>
            <w:tcW w:w="260" w:type="dxa"/>
            <w:vAlign w:val="bottom"/>
            <w:tcBorders>
              <w:bottom w:val="single" w:sz="8" w:color="auto"/>
            </w:tcBorders>
            <w:shd w:val="clear" w:color="auto" w:fill="CFF0FC"/>
          </w:tcPr>
          <w:p>
            <w:pPr>
              <w:spacing w:after="0"/>
              <w:rPr>
                <w:sz w:val="13"/>
                <w:szCs w:val="13"/>
                <w:color w:val="auto"/>
              </w:rPr>
            </w:pPr>
          </w:p>
        </w:tc>
        <w:tc>
          <w:tcPr>
            <w:tcW w:w="74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13.1</w:t>
            </w:r>
          </w:p>
        </w:tc>
        <w:tc>
          <w:tcPr>
            <w:tcW w:w="260" w:type="dxa"/>
            <w:vAlign w:val="bottom"/>
            <w:tcBorders>
              <w:bottom w:val="single" w:sz="8" w:color="auto"/>
            </w:tcBorders>
            <w:shd w:val="clear" w:color="auto" w:fill="CFF0FC"/>
          </w:tcPr>
          <w:p>
            <w:pPr>
              <w:spacing w:after="0"/>
              <w:rPr>
                <w:sz w:val="13"/>
                <w:szCs w:val="13"/>
                <w:color w:val="auto"/>
              </w:rPr>
            </w:pPr>
          </w:p>
        </w:tc>
        <w:tc>
          <w:tcPr>
            <w:tcW w:w="700" w:type="dxa"/>
            <w:vAlign w:val="bottom"/>
            <w:tcBorders>
              <w:bottom w:val="single" w:sz="8" w:color="auto"/>
            </w:tcBorders>
            <w:shd w:val="clear" w:color="auto" w:fill="CFF0FC"/>
          </w:tcPr>
          <w:p>
            <w:pPr>
              <w:jc w:val="right"/>
              <w:ind w:right="8"/>
              <w:spacing w:after="0" w:line="155" w:lineRule="exact"/>
              <w:rPr>
                <w:sz w:val="20"/>
                <w:szCs w:val="20"/>
                <w:color w:val="auto"/>
              </w:rPr>
            </w:pPr>
            <w:r>
              <w:rPr>
                <w:rFonts w:ascii="Arial" w:cs="Arial" w:eastAsia="Arial" w:hAnsi="Arial"/>
                <w:sz w:val="14"/>
                <w:szCs w:val="14"/>
                <w:color w:val="auto"/>
              </w:rPr>
              <w:t>2,331.6</w:t>
            </w:r>
          </w:p>
        </w:tc>
      </w:tr>
      <w:tr>
        <w:trPr>
          <w:trHeight w:val="156"/>
        </w:trPr>
        <w:tc>
          <w:tcPr>
            <w:tcW w:w="1440" w:type="dxa"/>
            <w:vAlign w:val="bottom"/>
          </w:tcPr>
          <w:p>
            <w:pPr>
              <w:spacing w:after="0" w:line="155" w:lineRule="exact"/>
              <w:rPr>
                <w:sz w:val="20"/>
                <w:szCs w:val="20"/>
                <w:color w:val="auto"/>
              </w:rPr>
            </w:pPr>
            <w:r>
              <w:rPr>
                <w:rFonts w:ascii="Arial" w:cs="Arial" w:eastAsia="Arial" w:hAnsi="Arial"/>
                <w:sz w:val="14"/>
                <w:szCs w:val="14"/>
                <w:color w:val="auto"/>
              </w:rPr>
              <w:t>Northern Europe</w:t>
            </w:r>
          </w:p>
        </w:tc>
        <w:tc>
          <w:tcPr>
            <w:tcW w:w="120" w:type="dxa"/>
            <w:vAlign w:val="bottom"/>
          </w:tcPr>
          <w:p>
            <w:pPr>
              <w:spacing w:after="0"/>
              <w:rPr>
                <w:sz w:val="13"/>
                <w:szCs w:val="13"/>
                <w:color w:val="auto"/>
              </w:rPr>
            </w:pPr>
          </w:p>
        </w:tc>
        <w:tc>
          <w:tcPr>
            <w:tcW w:w="800" w:type="dxa"/>
            <w:vAlign w:val="bottom"/>
          </w:tcPr>
          <w:p>
            <w:pPr>
              <w:jc w:val="right"/>
              <w:ind w:right="48"/>
              <w:spacing w:after="0" w:line="155" w:lineRule="exact"/>
              <w:rPr>
                <w:sz w:val="20"/>
                <w:szCs w:val="20"/>
                <w:color w:val="auto"/>
              </w:rPr>
            </w:pPr>
            <w:r>
              <w:rPr>
                <w:rFonts w:ascii="Arial" w:cs="Arial" w:eastAsia="Arial" w:hAnsi="Arial"/>
                <w:sz w:val="14"/>
                <w:szCs w:val="14"/>
                <w:color w:val="auto"/>
              </w:rPr>
              <w:t>1,037.2</w:t>
            </w:r>
          </w:p>
        </w:tc>
        <w:tc>
          <w:tcPr>
            <w:tcW w:w="220" w:type="dxa"/>
            <w:vAlign w:val="bottom"/>
          </w:tcPr>
          <w:p>
            <w:pPr>
              <w:spacing w:after="0"/>
              <w:rPr>
                <w:sz w:val="13"/>
                <w:szCs w:val="13"/>
                <w:color w:val="auto"/>
              </w:rPr>
            </w:pPr>
          </w:p>
        </w:tc>
        <w:tc>
          <w:tcPr>
            <w:tcW w:w="840" w:type="dxa"/>
            <w:vAlign w:val="bottom"/>
          </w:tcPr>
          <w:p>
            <w:pPr>
              <w:jc w:val="right"/>
              <w:ind w:right="48"/>
              <w:spacing w:after="0" w:line="155" w:lineRule="exact"/>
              <w:rPr>
                <w:sz w:val="20"/>
                <w:szCs w:val="20"/>
                <w:color w:val="auto"/>
              </w:rPr>
            </w:pPr>
            <w:r>
              <w:rPr>
                <w:rFonts w:ascii="Arial" w:cs="Arial" w:eastAsia="Arial" w:hAnsi="Arial"/>
                <w:sz w:val="14"/>
                <w:szCs w:val="14"/>
                <w:color w:val="auto"/>
              </w:rPr>
              <w:t>78.0</w:t>
            </w:r>
          </w:p>
        </w:tc>
        <w:tc>
          <w:tcPr>
            <w:tcW w:w="200" w:type="dxa"/>
            <w:vAlign w:val="bottom"/>
          </w:tcPr>
          <w:p>
            <w:pPr>
              <w:spacing w:after="0"/>
              <w:rPr>
                <w:sz w:val="13"/>
                <w:szCs w:val="13"/>
                <w:color w:val="auto"/>
              </w:rPr>
            </w:pPr>
          </w:p>
        </w:tc>
        <w:tc>
          <w:tcPr>
            <w:tcW w:w="840" w:type="dxa"/>
            <w:vAlign w:val="bottom"/>
          </w:tcPr>
          <w:p>
            <w:pPr>
              <w:jc w:val="right"/>
              <w:ind w:right="48"/>
              <w:spacing w:after="0" w:line="155" w:lineRule="exact"/>
              <w:rPr>
                <w:sz w:val="20"/>
                <w:szCs w:val="20"/>
                <w:color w:val="auto"/>
              </w:rPr>
            </w:pPr>
            <w:r>
              <w:rPr>
                <w:rFonts w:ascii="Arial" w:cs="Arial" w:eastAsia="Arial" w:hAnsi="Arial"/>
                <w:sz w:val="14"/>
                <w:szCs w:val="14"/>
                <w:color w:val="auto"/>
              </w:rPr>
              <w:t>33.6</w:t>
            </w:r>
          </w:p>
        </w:tc>
        <w:tc>
          <w:tcPr>
            <w:tcW w:w="260" w:type="dxa"/>
            <w:vAlign w:val="bottom"/>
          </w:tcPr>
          <w:p>
            <w:pPr>
              <w:spacing w:after="0"/>
              <w:rPr>
                <w:sz w:val="13"/>
                <w:szCs w:val="13"/>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7.8</w:t>
            </w:r>
          </w:p>
        </w:tc>
        <w:tc>
          <w:tcPr>
            <w:tcW w:w="340" w:type="dxa"/>
            <w:vAlign w:val="bottom"/>
          </w:tcPr>
          <w:p>
            <w:pPr>
              <w:spacing w:after="0"/>
              <w:rPr>
                <w:sz w:val="13"/>
                <w:szCs w:val="13"/>
                <w:color w:val="auto"/>
              </w:rPr>
            </w:pPr>
          </w:p>
        </w:tc>
        <w:tc>
          <w:tcPr>
            <w:tcW w:w="740" w:type="dxa"/>
            <w:vAlign w:val="bottom"/>
          </w:tcPr>
          <w:p>
            <w:pPr>
              <w:jc w:val="right"/>
              <w:ind w:right="48"/>
              <w:spacing w:after="0" w:line="155" w:lineRule="exact"/>
              <w:rPr>
                <w:sz w:val="20"/>
                <w:szCs w:val="20"/>
                <w:color w:val="auto"/>
              </w:rPr>
            </w:pPr>
            <w:r>
              <w:rPr>
                <w:rFonts w:ascii="Arial" w:cs="Arial" w:eastAsia="Arial" w:hAnsi="Arial"/>
                <w:sz w:val="14"/>
                <w:szCs w:val="14"/>
                <w:color w:val="auto"/>
              </w:rPr>
              <w:t>1,156.6</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right"/>
              <w:ind w:right="48"/>
              <w:spacing w:after="0" w:line="155" w:lineRule="exact"/>
              <w:rPr>
                <w:sz w:val="20"/>
                <w:szCs w:val="20"/>
                <w:color w:val="auto"/>
              </w:rPr>
            </w:pPr>
            <w:r>
              <w:rPr>
                <w:rFonts w:ascii="Arial" w:cs="Arial" w:eastAsia="Arial" w:hAnsi="Arial"/>
                <w:sz w:val="14"/>
                <w:szCs w:val="14"/>
                <w:color w:val="auto"/>
              </w:rPr>
              <w:t>1,138.8</w:t>
            </w:r>
          </w:p>
        </w:tc>
        <w:tc>
          <w:tcPr>
            <w:tcW w:w="200" w:type="dxa"/>
            <w:vAlign w:val="bottom"/>
          </w:tcPr>
          <w:p>
            <w:pPr>
              <w:spacing w:after="0"/>
              <w:rPr>
                <w:sz w:val="13"/>
                <w:szCs w:val="13"/>
                <w:color w:val="auto"/>
              </w:rPr>
            </w:pPr>
          </w:p>
        </w:tc>
        <w:tc>
          <w:tcPr>
            <w:tcW w:w="800" w:type="dxa"/>
            <w:vAlign w:val="bottom"/>
          </w:tcPr>
          <w:p>
            <w:pPr>
              <w:jc w:val="right"/>
              <w:ind w:right="48"/>
              <w:spacing w:after="0" w:line="155" w:lineRule="exact"/>
              <w:rPr>
                <w:sz w:val="20"/>
                <w:szCs w:val="20"/>
                <w:color w:val="auto"/>
              </w:rPr>
            </w:pPr>
            <w:r>
              <w:rPr>
                <w:rFonts w:ascii="Arial" w:cs="Arial" w:eastAsia="Arial" w:hAnsi="Arial"/>
                <w:sz w:val="14"/>
                <w:szCs w:val="14"/>
                <w:color w:val="auto"/>
              </w:rPr>
              <w:t>104.3</w:t>
            </w:r>
          </w:p>
        </w:tc>
        <w:tc>
          <w:tcPr>
            <w:tcW w:w="180" w:type="dxa"/>
            <w:vAlign w:val="bottom"/>
          </w:tcPr>
          <w:p>
            <w:pPr>
              <w:spacing w:after="0"/>
              <w:rPr>
                <w:sz w:val="13"/>
                <w:szCs w:val="13"/>
                <w:color w:val="auto"/>
              </w:rPr>
            </w:pPr>
          </w:p>
        </w:tc>
        <w:tc>
          <w:tcPr>
            <w:tcW w:w="820" w:type="dxa"/>
            <w:vAlign w:val="bottom"/>
          </w:tcPr>
          <w:p>
            <w:pPr>
              <w:jc w:val="right"/>
              <w:ind w:right="48"/>
              <w:spacing w:after="0" w:line="155" w:lineRule="exact"/>
              <w:rPr>
                <w:sz w:val="20"/>
                <w:szCs w:val="20"/>
                <w:color w:val="auto"/>
              </w:rPr>
            </w:pPr>
            <w:r>
              <w:rPr>
                <w:rFonts w:ascii="Arial" w:cs="Arial" w:eastAsia="Arial" w:hAnsi="Arial"/>
                <w:sz w:val="14"/>
                <w:szCs w:val="14"/>
                <w:color w:val="auto"/>
              </w:rPr>
              <w:t>36.6</w:t>
            </w:r>
          </w:p>
        </w:tc>
        <w:tc>
          <w:tcPr>
            <w:tcW w:w="260" w:type="dxa"/>
            <w:vAlign w:val="bottom"/>
          </w:tcPr>
          <w:p>
            <w:pPr>
              <w:spacing w:after="0"/>
              <w:rPr>
                <w:sz w:val="13"/>
                <w:szCs w:val="13"/>
                <w:color w:val="auto"/>
              </w:rPr>
            </w:pPr>
          </w:p>
        </w:tc>
        <w:tc>
          <w:tcPr>
            <w:tcW w:w="740" w:type="dxa"/>
            <w:vAlign w:val="bottom"/>
          </w:tcPr>
          <w:p>
            <w:pPr>
              <w:jc w:val="right"/>
              <w:ind w:right="48"/>
              <w:spacing w:after="0" w:line="155" w:lineRule="exact"/>
              <w:rPr>
                <w:sz w:val="20"/>
                <w:szCs w:val="20"/>
                <w:color w:val="auto"/>
              </w:rPr>
            </w:pPr>
            <w:r>
              <w:rPr>
                <w:rFonts w:ascii="Arial" w:cs="Arial" w:eastAsia="Arial" w:hAnsi="Arial"/>
                <w:sz w:val="14"/>
                <w:szCs w:val="14"/>
                <w:color w:val="auto"/>
              </w:rPr>
              <w:t>7.4</w:t>
            </w:r>
          </w:p>
        </w:tc>
        <w:tc>
          <w:tcPr>
            <w:tcW w:w="260" w:type="dxa"/>
            <w:vAlign w:val="bottom"/>
          </w:tcPr>
          <w:p>
            <w:pPr>
              <w:spacing w:after="0"/>
              <w:rPr>
                <w:sz w:val="13"/>
                <w:szCs w:val="13"/>
                <w:color w:val="auto"/>
              </w:rPr>
            </w:pPr>
          </w:p>
        </w:tc>
        <w:tc>
          <w:tcPr>
            <w:tcW w:w="700" w:type="dxa"/>
            <w:vAlign w:val="bottom"/>
          </w:tcPr>
          <w:p>
            <w:pPr>
              <w:jc w:val="right"/>
              <w:ind w:right="8"/>
              <w:spacing w:after="0" w:line="155" w:lineRule="exact"/>
              <w:rPr>
                <w:sz w:val="20"/>
                <w:szCs w:val="20"/>
                <w:color w:val="auto"/>
              </w:rPr>
            </w:pPr>
            <w:r>
              <w:rPr>
                <w:rFonts w:ascii="Arial" w:cs="Arial" w:eastAsia="Arial" w:hAnsi="Arial"/>
                <w:sz w:val="14"/>
                <w:szCs w:val="14"/>
                <w:color w:val="auto"/>
              </w:rPr>
              <w:t>1,287.1</w:t>
            </w:r>
          </w:p>
        </w:tc>
      </w:tr>
      <w:tr>
        <w:trPr>
          <w:trHeight w:val="162"/>
        </w:trPr>
        <w:tc>
          <w:tcPr>
            <w:tcW w:w="1440" w:type="dxa"/>
            <w:vAlign w:val="bottom"/>
            <w:shd w:val="clear" w:color="auto" w:fill="CFF0FC"/>
          </w:tcPr>
          <w:p>
            <w:pPr>
              <w:spacing w:after="0"/>
              <w:rPr>
                <w:sz w:val="20"/>
                <w:szCs w:val="20"/>
                <w:color w:val="auto"/>
              </w:rPr>
            </w:pPr>
            <w:r>
              <w:rPr>
                <w:rFonts w:ascii="Arial" w:cs="Arial" w:eastAsia="Arial" w:hAnsi="Arial"/>
                <w:sz w:val="14"/>
                <w:szCs w:val="14"/>
                <w:color w:val="auto"/>
              </w:rPr>
              <w:t>APME</w:t>
            </w:r>
          </w:p>
        </w:tc>
        <w:tc>
          <w:tcPr>
            <w:tcW w:w="12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505.3</w:t>
            </w:r>
          </w:p>
        </w:tc>
        <w:tc>
          <w:tcPr>
            <w:tcW w:w="220" w:type="dxa"/>
            <w:vAlign w:val="bottom"/>
            <w:shd w:val="clear" w:color="auto" w:fill="CFF0FC"/>
          </w:tcPr>
          <w:p>
            <w:pPr>
              <w:spacing w:after="0"/>
              <w:rPr>
                <w:sz w:val="14"/>
                <w:szCs w:val="14"/>
                <w:color w:val="auto"/>
              </w:rPr>
            </w:pPr>
          </w:p>
        </w:tc>
        <w:tc>
          <w:tcPr>
            <w:tcW w:w="8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76.6</w:t>
            </w:r>
          </w:p>
        </w:tc>
        <w:tc>
          <w:tcPr>
            <w:tcW w:w="200" w:type="dxa"/>
            <w:vAlign w:val="bottom"/>
            <w:shd w:val="clear" w:color="auto" w:fill="CFF0FC"/>
          </w:tcPr>
          <w:p>
            <w:pPr>
              <w:spacing w:after="0"/>
              <w:rPr>
                <w:sz w:val="14"/>
                <w:szCs w:val="14"/>
                <w:color w:val="auto"/>
              </w:rPr>
            </w:pPr>
          </w:p>
        </w:tc>
        <w:tc>
          <w:tcPr>
            <w:tcW w:w="8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36.5</w:t>
            </w:r>
          </w:p>
        </w:tc>
        <w:tc>
          <w:tcPr>
            <w:tcW w:w="26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3.5</w:t>
            </w:r>
          </w:p>
        </w:tc>
        <w:tc>
          <w:tcPr>
            <w:tcW w:w="340" w:type="dxa"/>
            <w:vAlign w:val="bottom"/>
            <w:shd w:val="clear" w:color="auto" w:fill="CFF0FC"/>
          </w:tcPr>
          <w:p>
            <w:pPr>
              <w:spacing w:after="0"/>
              <w:rPr>
                <w:sz w:val="14"/>
                <w:szCs w:val="14"/>
                <w:color w:val="auto"/>
              </w:rPr>
            </w:pPr>
          </w:p>
        </w:tc>
        <w:tc>
          <w:tcPr>
            <w:tcW w:w="7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621.9</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582.4</w:t>
            </w:r>
          </w:p>
        </w:tc>
        <w:tc>
          <w:tcPr>
            <w:tcW w:w="20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75.4</w:t>
            </w:r>
          </w:p>
        </w:tc>
        <w:tc>
          <w:tcPr>
            <w:tcW w:w="180" w:type="dxa"/>
            <w:vAlign w:val="bottom"/>
            <w:shd w:val="clear" w:color="auto" w:fill="CFF0FC"/>
          </w:tcPr>
          <w:p>
            <w:pPr>
              <w:spacing w:after="0"/>
              <w:rPr>
                <w:sz w:val="14"/>
                <w:szCs w:val="14"/>
                <w:color w:val="auto"/>
              </w:rPr>
            </w:pPr>
          </w:p>
        </w:tc>
        <w:tc>
          <w:tcPr>
            <w:tcW w:w="8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51.8</w:t>
            </w:r>
          </w:p>
        </w:tc>
        <w:tc>
          <w:tcPr>
            <w:tcW w:w="260" w:type="dxa"/>
            <w:vAlign w:val="bottom"/>
            <w:shd w:val="clear" w:color="auto" w:fill="CFF0FC"/>
          </w:tcPr>
          <w:p>
            <w:pPr>
              <w:spacing w:after="0"/>
              <w:rPr>
                <w:sz w:val="14"/>
                <w:szCs w:val="14"/>
                <w:color w:val="auto"/>
              </w:rPr>
            </w:pPr>
          </w:p>
        </w:tc>
        <w:tc>
          <w:tcPr>
            <w:tcW w:w="7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3.4</w:t>
            </w:r>
          </w:p>
        </w:tc>
        <w:tc>
          <w:tcPr>
            <w:tcW w:w="260" w:type="dxa"/>
            <w:vAlign w:val="bottom"/>
            <w:shd w:val="clear" w:color="auto" w:fill="CFF0FC"/>
          </w:tcPr>
          <w:p>
            <w:pPr>
              <w:spacing w:after="0"/>
              <w:rPr>
                <w:sz w:val="14"/>
                <w:szCs w:val="14"/>
                <w:color w:val="auto"/>
              </w:rPr>
            </w:pPr>
          </w:p>
        </w:tc>
        <w:tc>
          <w:tcPr>
            <w:tcW w:w="70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713.0</w:t>
            </w:r>
          </w:p>
        </w:tc>
      </w:tr>
      <w:tr>
        <w:trPr>
          <w:trHeight w:val="162"/>
        </w:trPr>
        <w:tc>
          <w:tcPr>
            <w:tcW w:w="144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Right Management</w:t>
            </w: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10.8</w:t>
            </w: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37.3</w:t>
            </w:r>
          </w:p>
        </w:tc>
        <w:tc>
          <w:tcPr>
            <w:tcW w:w="3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48.1</w:t>
            </w:r>
          </w:p>
        </w:tc>
        <w:tc>
          <w:tcPr>
            <w:tcW w:w="12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12.2</w:t>
            </w: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34.8</w:t>
            </w:r>
          </w:p>
        </w:tc>
        <w:tc>
          <w:tcPr>
            <w:tcW w:w="2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47.0</w:t>
            </w:r>
          </w:p>
        </w:tc>
      </w:tr>
      <w:tr>
        <w:trPr>
          <w:trHeight w:val="156"/>
        </w:trPr>
        <w:tc>
          <w:tcPr>
            <w:tcW w:w="1440" w:type="dxa"/>
            <w:vAlign w:val="bottom"/>
            <w:tcBorders>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Total</w:t>
            </w:r>
          </w:p>
        </w:tc>
        <w:tc>
          <w:tcPr>
            <w:tcW w:w="12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4,670.4</w:t>
            </w:r>
          </w:p>
        </w:tc>
        <w:tc>
          <w:tcPr>
            <w:tcW w:w="22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360.2</w:t>
            </w:r>
          </w:p>
        </w:tc>
        <w:tc>
          <w:tcPr>
            <w:tcW w:w="20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137.6</w:t>
            </w:r>
          </w:p>
        </w:tc>
        <w:tc>
          <w:tcPr>
            <w:tcW w:w="260" w:type="dxa"/>
            <w:vAlign w:val="bottom"/>
            <w:tcBorders>
              <w:bottom w:val="single" w:sz="8" w:color="auto"/>
            </w:tcBorders>
            <w:shd w:val="clear" w:color="auto" w:fill="CFF0FC"/>
          </w:tcPr>
          <w:p>
            <w:pPr>
              <w:jc w:val="right"/>
              <w:ind w:right="8"/>
              <w:spacing w:after="0" w:line="155" w:lineRule="exact"/>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80.7</w:t>
            </w:r>
          </w:p>
        </w:tc>
        <w:tc>
          <w:tcPr>
            <w:tcW w:w="340" w:type="dxa"/>
            <w:vAlign w:val="bottom"/>
            <w:tcBorders>
              <w:bottom w:val="single" w:sz="8" w:color="auto"/>
            </w:tcBorders>
            <w:shd w:val="clear" w:color="auto" w:fill="CFF0FC"/>
          </w:tcPr>
          <w:p>
            <w:pPr>
              <w:jc w:val="right"/>
              <w:ind w:right="8"/>
              <w:spacing w:after="0" w:line="155" w:lineRule="exact"/>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5,248.9</w:t>
            </w:r>
          </w:p>
        </w:tc>
        <w:tc>
          <w:tcPr>
            <w:tcW w:w="12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4,812.1</w:t>
            </w:r>
          </w:p>
        </w:tc>
        <w:tc>
          <w:tcPr>
            <w:tcW w:w="20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372.4</w:t>
            </w:r>
          </w:p>
        </w:tc>
        <w:tc>
          <w:tcPr>
            <w:tcW w:w="18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152.4</w:t>
            </w:r>
          </w:p>
        </w:tc>
        <w:tc>
          <w:tcPr>
            <w:tcW w:w="260" w:type="dxa"/>
            <w:vAlign w:val="bottom"/>
            <w:tcBorders>
              <w:bottom w:val="single" w:sz="8" w:color="auto"/>
            </w:tcBorders>
            <w:shd w:val="clear" w:color="auto" w:fill="CFF0FC"/>
          </w:tcPr>
          <w:p>
            <w:pPr>
              <w:jc w:val="right"/>
              <w:ind w:right="8"/>
              <w:spacing w:after="0" w:line="155" w:lineRule="exact"/>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81.8</w:t>
            </w:r>
          </w:p>
        </w:tc>
        <w:tc>
          <w:tcPr>
            <w:tcW w:w="260" w:type="dxa"/>
            <w:vAlign w:val="bottom"/>
            <w:tcBorders>
              <w:bottom w:val="single" w:sz="8" w:color="auto"/>
            </w:tcBorders>
            <w:shd w:val="clear" w:color="auto" w:fill="CFF0FC"/>
          </w:tcPr>
          <w:p>
            <w:pPr>
              <w:jc w:val="right"/>
              <w:ind w:right="8"/>
              <w:spacing w:after="0" w:line="155" w:lineRule="exact"/>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FF0FC"/>
          </w:tcPr>
          <w:p>
            <w:pPr>
              <w:jc w:val="right"/>
              <w:ind w:right="8"/>
              <w:spacing w:after="0" w:line="155" w:lineRule="exact"/>
              <w:rPr>
                <w:sz w:val="20"/>
                <w:szCs w:val="20"/>
                <w:color w:val="auto"/>
              </w:rPr>
            </w:pPr>
            <w:r>
              <w:rPr>
                <w:rFonts w:ascii="Arial" w:cs="Arial" w:eastAsia="Arial" w:hAnsi="Arial"/>
                <w:sz w:val="14"/>
                <w:szCs w:val="14"/>
                <w:color w:val="auto"/>
              </w:rPr>
              <w:t>5,418.7</w:t>
            </w:r>
          </w:p>
        </w:tc>
      </w:tr>
      <w:tr>
        <w:trPr>
          <w:trHeight w:val="20"/>
        </w:trPr>
        <w:tc>
          <w:tcPr>
            <w:tcW w:w="1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4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5"/>
          </w:tcPr>
          <w:p>
            <w:pPr>
              <w:jc w:val="right"/>
              <w:ind w:right="28"/>
              <w:spacing w:after="0"/>
              <w:rPr>
                <w:sz w:val="20"/>
                <w:szCs w:val="20"/>
                <w:color w:val="auto"/>
              </w:rPr>
            </w:pPr>
            <w:r>
              <w:rPr>
                <w:rFonts w:ascii="Arial" w:cs="Arial" w:eastAsia="Arial" w:hAnsi="Arial"/>
                <w:sz w:val="14"/>
                <w:szCs w:val="14"/>
                <w:b w:val="1"/>
                <w:bCs w:val="1"/>
                <w:color w:val="auto"/>
                <w:w w:val="94"/>
              </w:rPr>
              <w:t>9 Months Ended September 30,</w:t>
            </w: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r>
      <w:tr>
        <w:trPr>
          <w:trHeight w:val="223"/>
        </w:trPr>
        <w:tc>
          <w:tcPr>
            <w:tcW w:w="14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w w:val="89"/>
              </w:rPr>
              <w:t>2018</w:t>
            </w:r>
          </w:p>
        </w:tc>
        <w:tc>
          <w:tcPr>
            <w:tcW w:w="2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r>
      <w:tr>
        <w:trPr>
          <w:trHeight w:val="137"/>
        </w:trPr>
        <w:tc>
          <w:tcPr>
            <w:tcW w:w="1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jc w:val="center"/>
              <w:ind w:right="148"/>
              <w:spacing w:after="0" w:line="137" w:lineRule="exact"/>
              <w:rPr>
                <w:sz w:val="20"/>
                <w:szCs w:val="20"/>
                <w:color w:val="auto"/>
              </w:rPr>
            </w:pPr>
            <w:r>
              <w:rPr>
                <w:rFonts w:ascii="Arial" w:cs="Arial" w:eastAsia="Arial" w:hAnsi="Arial"/>
                <w:sz w:val="14"/>
                <w:szCs w:val="14"/>
                <w:color w:val="auto"/>
                <w:w w:val="94"/>
              </w:rPr>
              <w:t>Outcome-</w:t>
            </w: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jc w:val="center"/>
              <w:ind w:right="148"/>
              <w:spacing w:after="0" w:line="137" w:lineRule="exact"/>
              <w:rPr>
                <w:sz w:val="20"/>
                <w:szCs w:val="20"/>
                <w:color w:val="auto"/>
              </w:rPr>
            </w:pPr>
            <w:r>
              <w:rPr>
                <w:rFonts w:ascii="Arial" w:cs="Arial" w:eastAsia="Arial" w:hAnsi="Arial"/>
                <w:sz w:val="14"/>
                <w:szCs w:val="14"/>
                <w:color w:val="auto"/>
                <w:w w:val="94"/>
              </w:rPr>
              <w:t>Outcome-</w:t>
            </w: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49"/>
        </w:trPr>
        <w:tc>
          <w:tcPr>
            <w:tcW w:w="1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jc w:val="center"/>
              <w:ind w:right="148"/>
              <w:spacing w:after="0" w:line="149" w:lineRule="exact"/>
              <w:rPr>
                <w:sz w:val="20"/>
                <w:szCs w:val="20"/>
                <w:color w:val="auto"/>
              </w:rPr>
            </w:pPr>
            <w:r>
              <w:rPr>
                <w:rFonts w:ascii="Arial" w:cs="Arial" w:eastAsia="Arial" w:hAnsi="Arial"/>
                <w:sz w:val="14"/>
                <w:szCs w:val="14"/>
                <w:color w:val="auto"/>
                <w:w w:val="85"/>
              </w:rPr>
              <w:t>Based</w:t>
            </w: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center"/>
              <w:ind w:right="128"/>
              <w:spacing w:after="0" w:line="149" w:lineRule="exact"/>
              <w:rPr>
                <w:sz w:val="20"/>
                <w:szCs w:val="20"/>
                <w:color w:val="auto"/>
              </w:rPr>
            </w:pPr>
            <w:r>
              <w:rPr>
                <w:rFonts w:ascii="Arial" w:cs="Arial" w:eastAsia="Arial" w:hAnsi="Arial"/>
                <w:sz w:val="14"/>
                <w:szCs w:val="14"/>
                <w:color w:val="auto"/>
                <w:w w:val="90"/>
              </w:rPr>
              <w:t>Based</w:t>
            </w: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r>
      <w:tr>
        <w:trPr>
          <w:trHeight w:val="149"/>
        </w:trPr>
        <w:tc>
          <w:tcPr>
            <w:tcW w:w="1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center"/>
              <w:ind w:right="188"/>
              <w:spacing w:after="0" w:line="149" w:lineRule="exact"/>
              <w:rPr>
                <w:sz w:val="20"/>
                <w:szCs w:val="20"/>
                <w:color w:val="auto"/>
              </w:rPr>
            </w:pPr>
            <w:r>
              <w:rPr>
                <w:rFonts w:ascii="Arial" w:cs="Arial" w:eastAsia="Arial" w:hAnsi="Arial"/>
                <w:sz w:val="14"/>
                <w:szCs w:val="14"/>
                <w:color w:val="auto"/>
                <w:w w:val="96"/>
              </w:rPr>
              <w:t>Staffing</w:t>
            </w:r>
          </w:p>
        </w:tc>
        <w:tc>
          <w:tcPr>
            <w:tcW w:w="220" w:type="dxa"/>
            <w:vAlign w:val="bottom"/>
          </w:tcPr>
          <w:p>
            <w:pPr>
              <w:spacing w:after="0"/>
              <w:rPr>
                <w:sz w:val="12"/>
                <w:szCs w:val="12"/>
                <w:color w:val="auto"/>
              </w:rPr>
            </w:pPr>
          </w:p>
        </w:tc>
        <w:tc>
          <w:tcPr>
            <w:tcW w:w="840" w:type="dxa"/>
            <w:vAlign w:val="bottom"/>
          </w:tcPr>
          <w:p>
            <w:pPr>
              <w:jc w:val="center"/>
              <w:ind w:right="148"/>
              <w:spacing w:after="0" w:line="149" w:lineRule="exact"/>
              <w:rPr>
                <w:sz w:val="20"/>
                <w:szCs w:val="20"/>
                <w:color w:val="auto"/>
              </w:rPr>
            </w:pPr>
            <w:r>
              <w:rPr>
                <w:rFonts w:ascii="Arial" w:cs="Arial" w:eastAsia="Arial" w:hAnsi="Arial"/>
                <w:sz w:val="14"/>
                <w:szCs w:val="14"/>
                <w:color w:val="auto"/>
                <w:w w:val="93"/>
              </w:rPr>
              <w:t>Solutions</w:t>
            </w: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center"/>
              <w:ind w:right="168"/>
              <w:spacing w:after="0" w:line="149" w:lineRule="exact"/>
              <w:rPr>
                <w:sz w:val="20"/>
                <w:szCs w:val="20"/>
                <w:color w:val="auto"/>
              </w:rPr>
            </w:pPr>
            <w:r>
              <w:rPr>
                <w:rFonts w:ascii="Arial" w:cs="Arial" w:eastAsia="Arial" w:hAnsi="Arial"/>
                <w:sz w:val="14"/>
                <w:szCs w:val="14"/>
                <w:color w:val="auto"/>
                <w:w w:val="96"/>
              </w:rPr>
              <w:t>Staffing</w:t>
            </w:r>
          </w:p>
        </w:tc>
        <w:tc>
          <w:tcPr>
            <w:tcW w:w="200" w:type="dxa"/>
            <w:vAlign w:val="bottom"/>
          </w:tcPr>
          <w:p>
            <w:pPr>
              <w:spacing w:after="0"/>
              <w:rPr>
                <w:sz w:val="12"/>
                <w:szCs w:val="12"/>
                <w:color w:val="auto"/>
              </w:rPr>
            </w:pPr>
          </w:p>
        </w:tc>
        <w:tc>
          <w:tcPr>
            <w:tcW w:w="800" w:type="dxa"/>
            <w:vAlign w:val="bottom"/>
          </w:tcPr>
          <w:p>
            <w:pPr>
              <w:jc w:val="center"/>
              <w:ind w:right="148"/>
              <w:spacing w:after="0" w:line="149" w:lineRule="exact"/>
              <w:rPr>
                <w:sz w:val="20"/>
                <w:szCs w:val="20"/>
                <w:color w:val="auto"/>
              </w:rPr>
            </w:pPr>
            <w:r>
              <w:rPr>
                <w:rFonts w:ascii="Arial" w:cs="Arial" w:eastAsia="Arial" w:hAnsi="Arial"/>
                <w:sz w:val="14"/>
                <w:szCs w:val="14"/>
                <w:color w:val="auto"/>
                <w:w w:val="93"/>
              </w:rPr>
              <w:t>Solutions</w:t>
            </w: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r>
      <w:tr>
        <w:trPr>
          <w:trHeight w:val="149"/>
        </w:trPr>
        <w:tc>
          <w:tcPr>
            <w:tcW w:w="1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center"/>
              <w:ind w:right="168"/>
              <w:spacing w:after="0" w:line="149" w:lineRule="exact"/>
              <w:rPr>
                <w:sz w:val="20"/>
                <w:szCs w:val="20"/>
                <w:color w:val="auto"/>
              </w:rPr>
            </w:pPr>
            <w:r>
              <w:rPr>
                <w:rFonts w:ascii="Arial" w:cs="Arial" w:eastAsia="Arial" w:hAnsi="Arial"/>
                <w:sz w:val="14"/>
                <w:szCs w:val="14"/>
                <w:color w:val="auto"/>
                <w:w w:val="85"/>
              </w:rPr>
              <w:t>and</w:t>
            </w:r>
          </w:p>
        </w:tc>
        <w:tc>
          <w:tcPr>
            <w:tcW w:w="220" w:type="dxa"/>
            <w:vAlign w:val="bottom"/>
          </w:tcPr>
          <w:p>
            <w:pPr>
              <w:spacing w:after="0"/>
              <w:rPr>
                <w:sz w:val="12"/>
                <w:szCs w:val="12"/>
                <w:color w:val="auto"/>
              </w:rPr>
            </w:pPr>
          </w:p>
        </w:tc>
        <w:tc>
          <w:tcPr>
            <w:tcW w:w="840" w:type="dxa"/>
            <w:vAlign w:val="bottom"/>
          </w:tcPr>
          <w:p>
            <w:pPr>
              <w:jc w:val="center"/>
              <w:ind w:right="148"/>
              <w:spacing w:after="0" w:line="149" w:lineRule="exact"/>
              <w:rPr>
                <w:sz w:val="20"/>
                <w:szCs w:val="20"/>
                <w:color w:val="auto"/>
              </w:rPr>
            </w:pPr>
            <w:r>
              <w:rPr>
                <w:rFonts w:ascii="Arial" w:cs="Arial" w:eastAsia="Arial" w:hAnsi="Arial"/>
                <w:sz w:val="14"/>
                <w:szCs w:val="14"/>
                <w:color w:val="auto"/>
                <w:w w:val="94"/>
              </w:rPr>
              <w:t>and</w:t>
            </w:r>
          </w:p>
        </w:tc>
        <w:tc>
          <w:tcPr>
            <w:tcW w:w="200" w:type="dxa"/>
            <w:vAlign w:val="bottom"/>
          </w:tcPr>
          <w:p>
            <w:pPr>
              <w:spacing w:after="0"/>
              <w:rPr>
                <w:sz w:val="12"/>
                <w:szCs w:val="12"/>
                <w:color w:val="auto"/>
              </w:rPr>
            </w:pPr>
          </w:p>
        </w:tc>
        <w:tc>
          <w:tcPr>
            <w:tcW w:w="840" w:type="dxa"/>
            <w:vAlign w:val="bottom"/>
          </w:tcPr>
          <w:p>
            <w:pPr>
              <w:jc w:val="right"/>
              <w:ind w:right="128"/>
              <w:spacing w:after="0" w:line="149" w:lineRule="exact"/>
              <w:rPr>
                <w:sz w:val="20"/>
                <w:szCs w:val="20"/>
                <w:color w:val="auto"/>
              </w:rPr>
            </w:pPr>
            <w:r>
              <w:rPr>
                <w:rFonts w:ascii="Arial" w:cs="Arial" w:eastAsia="Arial" w:hAnsi="Arial"/>
                <w:sz w:val="14"/>
                <w:szCs w:val="14"/>
                <w:color w:val="auto"/>
                <w:w w:val="90"/>
              </w:rPr>
              <w:t>Permanent</w:t>
            </w: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center"/>
              <w:ind w:right="148"/>
              <w:spacing w:after="0" w:line="149" w:lineRule="exact"/>
              <w:rPr>
                <w:sz w:val="20"/>
                <w:szCs w:val="20"/>
                <w:color w:val="auto"/>
              </w:rPr>
            </w:pPr>
            <w:r>
              <w:rPr>
                <w:rFonts w:ascii="Arial" w:cs="Arial" w:eastAsia="Arial" w:hAnsi="Arial"/>
                <w:sz w:val="14"/>
                <w:szCs w:val="14"/>
                <w:color w:val="auto"/>
                <w:w w:val="85"/>
              </w:rPr>
              <w:t>and</w:t>
            </w:r>
          </w:p>
        </w:tc>
        <w:tc>
          <w:tcPr>
            <w:tcW w:w="200" w:type="dxa"/>
            <w:vAlign w:val="bottom"/>
          </w:tcPr>
          <w:p>
            <w:pPr>
              <w:spacing w:after="0"/>
              <w:rPr>
                <w:sz w:val="12"/>
                <w:szCs w:val="12"/>
                <w:color w:val="auto"/>
              </w:rPr>
            </w:pPr>
          </w:p>
        </w:tc>
        <w:tc>
          <w:tcPr>
            <w:tcW w:w="800" w:type="dxa"/>
            <w:vAlign w:val="bottom"/>
          </w:tcPr>
          <w:p>
            <w:pPr>
              <w:jc w:val="center"/>
              <w:ind w:right="128"/>
              <w:spacing w:after="0" w:line="149" w:lineRule="exact"/>
              <w:rPr>
                <w:sz w:val="20"/>
                <w:szCs w:val="20"/>
                <w:color w:val="auto"/>
              </w:rPr>
            </w:pPr>
            <w:r>
              <w:rPr>
                <w:rFonts w:ascii="Arial" w:cs="Arial" w:eastAsia="Arial" w:hAnsi="Arial"/>
                <w:sz w:val="14"/>
                <w:szCs w:val="14"/>
                <w:color w:val="auto"/>
                <w:w w:val="85"/>
              </w:rPr>
              <w:t>and</w:t>
            </w:r>
          </w:p>
        </w:tc>
        <w:tc>
          <w:tcPr>
            <w:tcW w:w="180" w:type="dxa"/>
            <w:vAlign w:val="bottom"/>
          </w:tcPr>
          <w:p>
            <w:pPr>
              <w:spacing w:after="0"/>
              <w:rPr>
                <w:sz w:val="12"/>
                <w:szCs w:val="12"/>
                <w:color w:val="auto"/>
              </w:rPr>
            </w:pPr>
          </w:p>
        </w:tc>
        <w:tc>
          <w:tcPr>
            <w:tcW w:w="820" w:type="dxa"/>
            <w:vAlign w:val="bottom"/>
          </w:tcPr>
          <w:p>
            <w:pPr>
              <w:jc w:val="center"/>
              <w:ind w:right="128"/>
              <w:spacing w:after="0" w:line="149" w:lineRule="exact"/>
              <w:rPr>
                <w:sz w:val="20"/>
                <w:szCs w:val="20"/>
                <w:color w:val="auto"/>
              </w:rPr>
            </w:pPr>
            <w:r>
              <w:rPr>
                <w:rFonts w:ascii="Arial" w:cs="Arial" w:eastAsia="Arial" w:hAnsi="Arial"/>
                <w:sz w:val="14"/>
                <w:szCs w:val="14"/>
                <w:color w:val="auto"/>
                <w:w w:val="90"/>
              </w:rPr>
              <w:t>Permanent</w:t>
            </w: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r>
      <w:tr>
        <w:trPr>
          <w:trHeight w:val="167"/>
        </w:trPr>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center"/>
              <w:ind w:right="188"/>
              <w:spacing w:after="0"/>
              <w:rPr>
                <w:sz w:val="20"/>
                <w:szCs w:val="20"/>
                <w:color w:val="auto"/>
              </w:rPr>
            </w:pPr>
            <w:r>
              <w:rPr>
                <w:rFonts w:ascii="Arial" w:cs="Arial" w:eastAsia="Arial" w:hAnsi="Arial"/>
                <w:sz w:val="14"/>
                <w:szCs w:val="14"/>
                <w:color w:val="auto"/>
                <w:w w:val="98"/>
              </w:rPr>
              <w:t>Interim</w:t>
            </w:r>
          </w:p>
        </w:tc>
        <w:tc>
          <w:tcPr>
            <w:tcW w:w="220" w:type="dxa"/>
            <w:vAlign w:val="bottom"/>
          </w:tcPr>
          <w:p>
            <w:pPr>
              <w:spacing w:after="0"/>
              <w:rPr>
                <w:sz w:val="14"/>
                <w:szCs w:val="14"/>
                <w:color w:val="auto"/>
              </w:rPr>
            </w:pPr>
          </w:p>
        </w:tc>
        <w:tc>
          <w:tcPr>
            <w:tcW w:w="840" w:type="dxa"/>
            <w:vAlign w:val="bottom"/>
          </w:tcPr>
          <w:p>
            <w:pPr>
              <w:jc w:val="center"/>
              <w:ind w:right="148"/>
              <w:spacing w:after="0"/>
              <w:rPr>
                <w:sz w:val="20"/>
                <w:szCs w:val="20"/>
                <w:color w:val="auto"/>
              </w:rPr>
            </w:pPr>
            <w:r>
              <w:rPr>
                <w:rFonts w:ascii="Arial" w:cs="Arial" w:eastAsia="Arial" w:hAnsi="Arial"/>
                <w:sz w:val="14"/>
                <w:szCs w:val="14"/>
                <w:color w:val="auto"/>
                <w:w w:val="93"/>
              </w:rPr>
              <w:t>Consulting</w:t>
            </w:r>
          </w:p>
        </w:tc>
        <w:tc>
          <w:tcPr>
            <w:tcW w:w="1040" w:type="dxa"/>
            <w:vAlign w:val="bottom"/>
            <w:gridSpan w:val="2"/>
          </w:tcPr>
          <w:p>
            <w:pPr>
              <w:jc w:val="right"/>
              <w:ind w:right="88"/>
              <w:spacing w:after="0"/>
              <w:rPr>
                <w:sz w:val="20"/>
                <w:szCs w:val="20"/>
                <w:color w:val="auto"/>
              </w:rPr>
            </w:pPr>
            <w:r>
              <w:rPr>
                <w:rFonts w:ascii="Arial" w:cs="Arial" w:eastAsia="Arial" w:hAnsi="Arial"/>
                <w:sz w:val="14"/>
                <w:szCs w:val="14"/>
                <w:color w:val="auto"/>
              </w:rPr>
              <w:t>Recruitment</w:t>
            </w:r>
          </w:p>
        </w:tc>
        <w:tc>
          <w:tcPr>
            <w:tcW w:w="260" w:type="dxa"/>
            <w:vAlign w:val="bottom"/>
          </w:tcPr>
          <w:p>
            <w:pPr>
              <w:spacing w:after="0"/>
              <w:rPr>
                <w:sz w:val="14"/>
                <w:szCs w:val="14"/>
                <w:color w:val="auto"/>
              </w:rPr>
            </w:pPr>
          </w:p>
        </w:tc>
        <w:tc>
          <w:tcPr>
            <w:tcW w:w="660" w:type="dxa"/>
            <w:vAlign w:val="bottom"/>
          </w:tcPr>
          <w:p>
            <w:pPr>
              <w:jc w:val="right"/>
              <w:ind w:right="188"/>
              <w:spacing w:after="0"/>
              <w:rPr>
                <w:sz w:val="20"/>
                <w:szCs w:val="20"/>
                <w:color w:val="auto"/>
              </w:rPr>
            </w:pPr>
            <w:r>
              <w:rPr>
                <w:rFonts w:ascii="Arial" w:cs="Arial" w:eastAsia="Arial" w:hAnsi="Arial"/>
                <w:sz w:val="14"/>
                <w:szCs w:val="14"/>
                <w:color w:val="auto"/>
              </w:rPr>
              <w:t>Other</w:t>
            </w:r>
          </w:p>
        </w:tc>
        <w:tc>
          <w:tcPr>
            <w:tcW w:w="340" w:type="dxa"/>
            <w:vAlign w:val="bottom"/>
          </w:tcPr>
          <w:p>
            <w:pPr>
              <w:spacing w:after="0"/>
              <w:rPr>
                <w:sz w:val="14"/>
                <w:szCs w:val="14"/>
                <w:color w:val="auto"/>
              </w:rPr>
            </w:pPr>
          </w:p>
        </w:tc>
        <w:tc>
          <w:tcPr>
            <w:tcW w:w="860" w:type="dxa"/>
            <w:vAlign w:val="bottom"/>
            <w:gridSpan w:val="2"/>
          </w:tcPr>
          <w:p>
            <w:pPr>
              <w:ind w:left="100"/>
              <w:spacing w:after="0"/>
              <w:rPr>
                <w:sz w:val="20"/>
                <w:szCs w:val="20"/>
                <w:color w:val="auto"/>
              </w:rPr>
            </w:pPr>
            <w:r>
              <w:rPr>
                <w:rFonts w:ascii="Arial" w:cs="Arial" w:eastAsia="Arial" w:hAnsi="Arial"/>
                <w:sz w:val="14"/>
                <w:szCs w:val="14"/>
                <w:color w:val="auto"/>
              </w:rPr>
              <w:t>Total</w:t>
            </w:r>
          </w:p>
        </w:tc>
        <w:tc>
          <w:tcPr>
            <w:tcW w:w="100" w:type="dxa"/>
            <w:vAlign w:val="bottom"/>
          </w:tcPr>
          <w:p>
            <w:pPr>
              <w:spacing w:after="0"/>
              <w:rPr>
                <w:sz w:val="14"/>
                <w:szCs w:val="14"/>
                <w:color w:val="auto"/>
              </w:rPr>
            </w:pPr>
          </w:p>
        </w:tc>
        <w:tc>
          <w:tcPr>
            <w:tcW w:w="780" w:type="dxa"/>
            <w:vAlign w:val="bottom"/>
          </w:tcPr>
          <w:p>
            <w:pPr>
              <w:jc w:val="center"/>
              <w:ind w:right="168"/>
              <w:spacing w:after="0"/>
              <w:rPr>
                <w:sz w:val="20"/>
                <w:szCs w:val="20"/>
                <w:color w:val="auto"/>
              </w:rPr>
            </w:pPr>
            <w:r>
              <w:rPr>
                <w:rFonts w:ascii="Arial" w:cs="Arial" w:eastAsia="Arial" w:hAnsi="Arial"/>
                <w:sz w:val="14"/>
                <w:szCs w:val="14"/>
                <w:color w:val="auto"/>
                <w:w w:val="98"/>
              </w:rPr>
              <w:t>Interim</w:t>
            </w:r>
          </w:p>
        </w:tc>
        <w:tc>
          <w:tcPr>
            <w:tcW w:w="1000" w:type="dxa"/>
            <w:vAlign w:val="bottom"/>
            <w:gridSpan w:val="2"/>
          </w:tcPr>
          <w:p>
            <w:pPr>
              <w:jc w:val="center"/>
              <w:spacing w:after="0"/>
              <w:rPr>
                <w:sz w:val="20"/>
                <w:szCs w:val="20"/>
                <w:color w:val="auto"/>
              </w:rPr>
            </w:pPr>
            <w:r>
              <w:rPr>
                <w:rFonts w:ascii="Arial" w:cs="Arial" w:eastAsia="Arial" w:hAnsi="Arial"/>
                <w:sz w:val="14"/>
                <w:szCs w:val="14"/>
                <w:color w:val="auto"/>
                <w:w w:val="96"/>
              </w:rPr>
              <w:t>Consulting</w:t>
            </w:r>
          </w:p>
        </w:tc>
        <w:tc>
          <w:tcPr>
            <w:tcW w:w="1000" w:type="dxa"/>
            <w:vAlign w:val="bottom"/>
            <w:gridSpan w:val="2"/>
          </w:tcPr>
          <w:p>
            <w:pPr>
              <w:jc w:val="center"/>
              <w:spacing w:after="0"/>
              <w:rPr>
                <w:sz w:val="20"/>
                <w:szCs w:val="20"/>
                <w:color w:val="auto"/>
              </w:rPr>
            </w:pPr>
            <w:r>
              <w:rPr>
                <w:rFonts w:ascii="Arial" w:cs="Arial" w:eastAsia="Arial" w:hAnsi="Arial"/>
                <w:sz w:val="14"/>
                <w:szCs w:val="14"/>
                <w:color w:val="auto"/>
                <w:w w:val="95"/>
              </w:rPr>
              <w:t>Recruitment</w:t>
            </w:r>
          </w:p>
        </w:tc>
        <w:tc>
          <w:tcPr>
            <w:tcW w:w="260" w:type="dxa"/>
            <w:vAlign w:val="bottom"/>
          </w:tcPr>
          <w:p>
            <w:pPr>
              <w:spacing w:after="0"/>
              <w:rPr>
                <w:sz w:val="14"/>
                <w:szCs w:val="14"/>
                <w:color w:val="auto"/>
              </w:rPr>
            </w:pPr>
          </w:p>
        </w:tc>
        <w:tc>
          <w:tcPr>
            <w:tcW w:w="740" w:type="dxa"/>
            <w:vAlign w:val="bottom"/>
          </w:tcPr>
          <w:p>
            <w:pPr>
              <w:jc w:val="right"/>
              <w:ind w:right="268"/>
              <w:spacing w:after="0"/>
              <w:rPr>
                <w:sz w:val="20"/>
                <w:szCs w:val="20"/>
                <w:color w:val="auto"/>
              </w:rPr>
            </w:pPr>
            <w:r>
              <w:rPr>
                <w:rFonts w:ascii="Arial" w:cs="Arial" w:eastAsia="Arial" w:hAnsi="Arial"/>
                <w:sz w:val="14"/>
                <w:szCs w:val="14"/>
                <w:color w:val="auto"/>
              </w:rPr>
              <w:t>Other</w:t>
            </w:r>
          </w:p>
        </w:tc>
        <w:tc>
          <w:tcPr>
            <w:tcW w:w="260" w:type="dxa"/>
            <w:vAlign w:val="bottom"/>
          </w:tcPr>
          <w:p>
            <w:pPr>
              <w:spacing w:after="0"/>
              <w:rPr>
                <w:sz w:val="14"/>
                <w:szCs w:val="14"/>
                <w:color w:val="auto"/>
              </w:rPr>
            </w:pPr>
          </w:p>
        </w:tc>
        <w:tc>
          <w:tcPr>
            <w:tcW w:w="700" w:type="dxa"/>
            <w:vAlign w:val="bottom"/>
          </w:tcPr>
          <w:p>
            <w:pPr>
              <w:jc w:val="right"/>
              <w:ind w:right="248"/>
              <w:spacing w:after="0"/>
              <w:rPr>
                <w:sz w:val="20"/>
                <w:szCs w:val="20"/>
                <w:color w:val="auto"/>
              </w:rPr>
            </w:pPr>
            <w:r>
              <w:rPr>
                <w:rFonts w:ascii="Arial" w:cs="Arial" w:eastAsia="Arial" w:hAnsi="Arial"/>
                <w:sz w:val="14"/>
                <w:szCs w:val="14"/>
                <w:color w:val="auto"/>
              </w:rPr>
              <w:t>Total</w:t>
            </w:r>
          </w:p>
        </w:tc>
      </w:tr>
      <w:tr>
        <w:trPr>
          <w:trHeight w:val="156"/>
        </w:trPr>
        <w:tc>
          <w:tcPr>
            <w:tcW w:w="144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Americas:</w:t>
            </w:r>
          </w:p>
        </w:tc>
        <w:tc>
          <w:tcPr>
            <w:tcW w:w="120" w:type="dxa"/>
            <w:vAlign w:val="bottom"/>
            <w:tcBorders>
              <w:top w:val="single" w:sz="8" w:color="auto"/>
            </w:tcBorders>
            <w:shd w:val="clear" w:color="auto" w:fill="CFF0FC"/>
          </w:tcPr>
          <w:p>
            <w:pPr>
              <w:spacing w:after="0"/>
              <w:rPr>
                <w:sz w:val="13"/>
                <w:szCs w:val="13"/>
                <w:color w:val="auto"/>
              </w:rPr>
            </w:pPr>
          </w:p>
        </w:tc>
        <w:tc>
          <w:tcPr>
            <w:tcW w:w="800" w:type="dxa"/>
            <w:vAlign w:val="bottom"/>
            <w:tcBorders>
              <w:top w:val="single" w:sz="8" w:color="auto"/>
            </w:tcBorders>
            <w:shd w:val="clear" w:color="auto" w:fill="CFF0FC"/>
          </w:tcPr>
          <w:p>
            <w:pPr>
              <w:spacing w:after="0"/>
              <w:rPr>
                <w:sz w:val="13"/>
                <w:szCs w:val="13"/>
                <w:color w:val="auto"/>
              </w:rPr>
            </w:pPr>
          </w:p>
        </w:tc>
        <w:tc>
          <w:tcPr>
            <w:tcW w:w="220" w:type="dxa"/>
            <w:vAlign w:val="bottom"/>
            <w:tcBorders>
              <w:top w:val="single" w:sz="8" w:color="auto"/>
            </w:tcBorders>
            <w:shd w:val="clear" w:color="auto" w:fill="CFF0FC"/>
          </w:tcPr>
          <w:p>
            <w:pPr>
              <w:spacing w:after="0"/>
              <w:rPr>
                <w:sz w:val="13"/>
                <w:szCs w:val="13"/>
                <w:color w:val="auto"/>
              </w:rPr>
            </w:pPr>
          </w:p>
        </w:tc>
        <w:tc>
          <w:tcPr>
            <w:tcW w:w="840" w:type="dxa"/>
            <w:vAlign w:val="bottom"/>
            <w:tcBorders>
              <w:top w:val="single" w:sz="8" w:color="auto"/>
            </w:tcBorders>
            <w:shd w:val="clear" w:color="auto" w:fill="CFF0FC"/>
          </w:tcPr>
          <w:p>
            <w:pPr>
              <w:spacing w:after="0"/>
              <w:rPr>
                <w:sz w:val="13"/>
                <w:szCs w:val="13"/>
                <w:color w:val="auto"/>
              </w:rPr>
            </w:pPr>
          </w:p>
        </w:tc>
        <w:tc>
          <w:tcPr>
            <w:tcW w:w="200" w:type="dxa"/>
            <w:vAlign w:val="bottom"/>
            <w:tcBorders>
              <w:top w:val="single" w:sz="8" w:color="auto"/>
            </w:tcBorders>
            <w:shd w:val="clear" w:color="auto" w:fill="CFF0FC"/>
          </w:tcPr>
          <w:p>
            <w:pPr>
              <w:spacing w:after="0"/>
              <w:rPr>
                <w:sz w:val="13"/>
                <w:szCs w:val="13"/>
                <w:color w:val="auto"/>
              </w:rPr>
            </w:pPr>
          </w:p>
        </w:tc>
        <w:tc>
          <w:tcPr>
            <w:tcW w:w="840" w:type="dxa"/>
            <w:vAlign w:val="bottom"/>
            <w:tcBorders>
              <w:top w:val="single" w:sz="8" w:color="auto"/>
            </w:tcBorders>
            <w:shd w:val="clear" w:color="auto" w:fill="CFF0FC"/>
          </w:tcPr>
          <w:p>
            <w:pPr>
              <w:spacing w:after="0"/>
              <w:rPr>
                <w:sz w:val="13"/>
                <w:szCs w:val="13"/>
                <w:color w:val="auto"/>
              </w:rPr>
            </w:pPr>
          </w:p>
        </w:tc>
        <w:tc>
          <w:tcPr>
            <w:tcW w:w="260" w:type="dxa"/>
            <w:vAlign w:val="bottom"/>
            <w:tcBorders>
              <w:top w:val="single" w:sz="8" w:color="auto"/>
            </w:tcBorders>
            <w:shd w:val="clear" w:color="auto" w:fill="CFF0FC"/>
          </w:tcPr>
          <w:p>
            <w:pPr>
              <w:spacing w:after="0"/>
              <w:rPr>
                <w:sz w:val="13"/>
                <w:szCs w:val="13"/>
                <w:color w:val="auto"/>
              </w:rPr>
            </w:pPr>
          </w:p>
        </w:tc>
        <w:tc>
          <w:tcPr>
            <w:tcW w:w="660" w:type="dxa"/>
            <w:vAlign w:val="bottom"/>
            <w:tcBorders>
              <w:top w:val="single" w:sz="8" w:color="auto"/>
            </w:tcBorders>
            <w:shd w:val="clear" w:color="auto" w:fill="CFF0FC"/>
          </w:tcPr>
          <w:p>
            <w:pPr>
              <w:spacing w:after="0"/>
              <w:rPr>
                <w:sz w:val="13"/>
                <w:szCs w:val="13"/>
                <w:color w:val="auto"/>
              </w:rPr>
            </w:pPr>
          </w:p>
        </w:tc>
        <w:tc>
          <w:tcPr>
            <w:tcW w:w="340" w:type="dxa"/>
            <w:vAlign w:val="bottom"/>
            <w:tcBorders>
              <w:top w:val="single" w:sz="8" w:color="auto"/>
            </w:tcBorders>
            <w:shd w:val="clear" w:color="auto" w:fill="CFF0FC"/>
          </w:tcPr>
          <w:p>
            <w:pPr>
              <w:spacing w:after="0"/>
              <w:rPr>
                <w:sz w:val="13"/>
                <w:szCs w:val="13"/>
                <w:color w:val="auto"/>
              </w:rPr>
            </w:pPr>
          </w:p>
        </w:tc>
        <w:tc>
          <w:tcPr>
            <w:tcW w:w="74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780" w:type="dxa"/>
            <w:vAlign w:val="bottom"/>
            <w:tcBorders>
              <w:top w:val="single" w:sz="8" w:color="auto"/>
            </w:tcBorders>
            <w:shd w:val="clear" w:color="auto" w:fill="CFF0FC"/>
          </w:tcPr>
          <w:p>
            <w:pPr>
              <w:spacing w:after="0"/>
              <w:rPr>
                <w:sz w:val="13"/>
                <w:szCs w:val="13"/>
                <w:color w:val="auto"/>
              </w:rPr>
            </w:pPr>
          </w:p>
        </w:tc>
        <w:tc>
          <w:tcPr>
            <w:tcW w:w="200" w:type="dxa"/>
            <w:vAlign w:val="bottom"/>
            <w:tcBorders>
              <w:top w:val="single" w:sz="8" w:color="auto"/>
            </w:tcBorders>
            <w:shd w:val="clear" w:color="auto" w:fill="CFF0FC"/>
          </w:tcPr>
          <w:p>
            <w:pPr>
              <w:spacing w:after="0"/>
              <w:rPr>
                <w:sz w:val="13"/>
                <w:szCs w:val="13"/>
                <w:color w:val="auto"/>
              </w:rPr>
            </w:pPr>
          </w:p>
        </w:tc>
        <w:tc>
          <w:tcPr>
            <w:tcW w:w="800" w:type="dxa"/>
            <w:vAlign w:val="bottom"/>
            <w:tcBorders>
              <w:top w:val="single" w:sz="8" w:color="auto"/>
            </w:tcBorders>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spacing w:after="0"/>
              <w:rPr>
                <w:sz w:val="13"/>
                <w:szCs w:val="13"/>
                <w:color w:val="auto"/>
              </w:rPr>
            </w:pPr>
          </w:p>
        </w:tc>
        <w:tc>
          <w:tcPr>
            <w:tcW w:w="820" w:type="dxa"/>
            <w:vAlign w:val="bottom"/>
            <w:tcBorders>
              <w:top w:val="single" w:sz="8" w:color="auto"/>
            </w:tcBorders>
            <w:shd w:val="clear" w:color="auto" w:fill="CFF0FC"/>
          </w:tcPr>
          <w:p>
            <w:pPr>
              <w:spacing w:after="0"/>
              <w:rPr>
                <w:sz w:val="13"/>
                <w:szCs w:val="13"/>
                <w:color w:val="auto"/>
              </w:rPr>
            </w:pPr>
          </w:p>
        </w:tc>
        <w:tc>
          <w:tcPr>
            <w:tcW w:w="260" w:type="dxa"/>
            <w:vAlign w:val="bottom"/>
            <w:tcBorders>
              <w:top w:val="single" w:sz="8" w:color="auto"/>
            </w:tcBorders>
            <w:shd w:val="clear" w:color="auto" w:fill="CFF0FC"/>
          </w:tcPr>
          <w:p>
            <w:pPr>
              <w:spacing w:after="0"/>
              <w:rPr>
                <w:sz w:val="13"/>
                <w:szCs w:val="13"/>
                <w:color w:val="auto"/>
              </w:rPr>
            </w:pPr>
          </w:p>
        </w:tc>
        <w:tc>
          <w:tcPr>
            <w:tcW w:w="740" w:type="dxa"/>
            <w:vAlign w:val="bottom"/>
            <w:tcBorders>
              <w:top w:val="single" w:sz="8" w:color="auto"/>
            </w:tcBorders>
            <w:shd w:val="clear" w:color="auto" w:fill="CFF0FC"/>
          </w:tcPr>
          <w:p>
            <w:pPr>
              <w:spacing w:after="0"/>
              <w:rPr>
                <w:sz w:val="13"/>
                <w:szCs w:val="13"/>
                <w:color w:val="auto"/>
              </w:rPr>
            </w:pPr>
          </w:p>
        </w:tc>
        <w:tc>
          <w:tcPr>
            <w:tcW w:w="260" w:type="dxa"/>
            <w:vAlign w:val="bottom"/>
            <w:tcBorders>
              <w:top w:val="single" w:sz="8" w:color="auto"/>
            </w:tcBorders>
            <w:shd w:val="clear" w:color="auto" w:fill="CFF0FC"/>
          </w:tcPr>
          <w:p>
            <w:pPr>
              <w:spacing w:after="0"/>
              <w:rPr>
                <w:sz w:val="13"/>
                <w:szCs w:val="13"/>
                <w:color w:val="auto"/>
              </w:rPr>
            </w:pPr>
          </w:p>
        </w:tc>
        <w:tc>
          <w:tcPr>
            <w:tcW w:w="700" w:type="dxa"/>
            <w:vAlign w:val="bottom"/>
            <w:tcBorders>
              <w:top w:val="single" w:sz="8" w:color="auto"/>
            </w:tcBorders>
            <w:shd w:val="clear" w:color="auto" w:fill="CFF0FC"/>
          </w:tcPr>
          <w:p>
            <w:pPr>
              <w:spacing w:after="0"/>
              <w:rPr>
                <w:sz w:val="13"/>
                <w:szCs w:val="13"/>
                <w:color w:val="auto"/>
              </w:rPr>
            </w:pPr>
          </w:p>
        </w:tc>
      </w:tr>
      <w:tr>
        <w:trPr>
          <w:trHeight w:val="162"/>
        </w:trPr>
        <w:tc>
          <w:tcPr>
            <w:tcW w:w="1440" w:type="dxa"/>
            <w:vAlign w:val="bottom"/>
          </w:tcPr>
          <w:p>
            <w:pPr>
              <w:ind w:left="260"/>
              <w:spacing w:after="0"/>
              <w:rPr>
                <w:sz w:val="20"/>
                <w:szCs w:val="20"/>
                <w:color w:val="auto"/>
              </w:rPr>
            </w:pPr>
            <w:r>
              <w:rPr>
                <w:rFonts w:ascii="Arial" w:cs="Arial" w:eastAsia="Arial" w:hAnsi="Arial"/>
                <w:sz w:val="14"/>
                <w:szCs w:val="14"/>
                <w:color w:val="auto"/>
              </w:rPr>
              <w:t>United States</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1,644.5</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97.6</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72.2</w:t>
            </w:r>
          </w:p>
        </w:tc>
        <w:tc>
          <w:tcPr>
            <w:tcW w:w="2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65.9</w:t>
            </w:r>
          </w:p>
        </w:tc>
        <w:tc>
          <w:tcPr>
            <w:tcW w:w="3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1,880.2</w:t>
            </w:r>
          </w:p>
        </w:tc>
        <w:tc>
          <w:tcPr>
            <w:tcW w:w="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1,658.4</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95.4</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69.9</w:t>
            </w:r>
          </w:p>
        </w:tc>
        <w:tc>
          <w:tcPr>
            <w:tcW w:w="2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66.3</w:t>
            </w:r>
          </w:p>
        </w:tc>
        <w:tc>
          <w:tcPr>
            <w:tcW w:w="2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1,890.0</w:t>
            </w:r>
          </w:p>
        </w:tc>
      </w:tr>
      <w:tr>
        <w:trPr>
          <w:trHeight w:val="162"/>
        </w:trPr>
        <w:tc>
          <w:tcPr>
            <w:tcW w:w="1440" w:type="dxa"/>
            <w:vAlign w:val="bottom"/>
            <w:shd w:val="clear" w:color="auto" w:fill="CFF0FC"/>
          </w:tcPr>
          <w:p>
            <w:pPr>
              <w:ind w:left="260"/>
              <w:spacing w:after="0"/>
              <w:rPr>
                <w:sz w:val="20"/>
                <w:szCs w:val="20"/>
                <w:color w:val="auto"/>
              </w:rPr>
            </w:pPr>
            <w:r>
              <w:rPr>
                <w:rFonts w:ascii="Arial" w:cs="Arial" w:eastAsia="Arial" w:hAnsi="Arial"/>
                <w:sz w:val="14"/>
                <w:szCs w:val="14"/>
                <w:color w:val="auto"/>
              </w:rPr>
              <w:t>Other Americas</w:t>
            </w:r>
          </w:p>
        </w:tc>
        <w:tc>
          <w:tcPr>
            <w:tcW w:w="120" w:type="dxa"/>
            <w:vAlign w:val="bottom"/>
            <w:tcBorders>
              <w:bottom w:val="single" w:sz="8" w:color="auto"/>
            </w:tcBorders>
            <w:shd w:val="clear" w:color="auto" w:fill="CFF0FC"/>
          </w:tcPr>
          <w:p>
            <w:pPr>
              <w:spacing w:after="0"/>
              <w:rPr>
                <w:sz w:val="14"/>
                <w:szCs w:val="14"/>
                <w:color w:val="auto"/>
              </w:rPr>
            </w:pPr>
          </w:p>
        </w:tc>
        <w:tc>
          <w:tcPr>
            <w:tcW w:w="80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1,182.8</w:t>
            </w:r>
          </w:p>
        </w:tc>
        <w:tc>
          <w:tcPr>
            <w:tcW w:w="220" w:type="dxa"/>
            <w:vAlign w:val="bottom"/>
            <w:tcBorders>
              <w:bottom w:val="single" w:sz="8" w:color="auto"/>
            </w:tcBorders>
            <w:shd w:val="clear" w:color="auto" w:fill="CFF0FC"/>
          </w:tcPr>
          <w:p>
            <w:pPr>
              <w:spacing w:after="0"/>
              <w:rPr>
                <w:sz w:val="14"/>
                <w:szCs w:val="14"/>
                <w:color w:val="auto"/>
              </w:rPr>
            </w:pPr>
          </w:p>
        </w:tc>
        <w:tc>
          <w:tcPr>
            <w:tcW w:w="84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36.5</w:t>
            </w:r>
          </w:p>
        </w:tc>
        <w:tc>
          <w:tcPr>
            <w:tcW w:w="200" w:type="dxa"/>
            <w:vAlign w:val="bottom"/>
            <w:tcBorders>
              <w:bottom w:val="single" w:sz="8" w:color="auto"/>
            </w:tcBorders>
            <w:shd w:val="clear" w:color="auto" w:fill="CFF0FC"/>
          </w:tcPr>
          <w:p>
            <w:pPr>
              <w:spacing w:after="0"/>
              <w:rPr>
                <w:sz w:val="14"/>
                <w:szCs w:val="14"/>
                <w:color w:val="auto"/>
              </w:rPr>
            </w:pPr>
          </w:p>
        </w:tc>
        <w:tc>
          <w:tcPr>
            <w:tcW w:w="84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18.7</w:t>
            </w:r>
          </w:p>
        </w:tc>
        <w:tc>
          <w:tcPr>
            <w:tcW w:w="260" w:type="dxa"/>
            <w:vAlign w:val="bottom"/>
            <w:tcBorders>
              <w:bottom w:val="single" w:sz="8" w:color="auto"/>
            </w:tcBorders>
            <w:shd w:val="clear" w:color="auto" w:fill="CFF0FC"/>
          </w:tcPr>
          <w:p>
            <w:pPr>
              <w:spacing w:after="0"/>
              <w:rPr>
                <w:sz w:val="14"/>
                <w:szCs w:val="14"/>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3.2</w:t>
            </w:r>
          </w:p>
        </w:tc>
        <w:tc>
          <w:tcPr>
            <w:tcW w:w="340" w:type="dxa"/>
            <w:vAlign w:val="bottom"/>
            <w:tcBorders>
              <w:bottom w:val="single" w:sz="8" w:color="auto"/>
            </w:tcBorders>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1,241.2</w:t>
            </w:r>
          </w:p>
        </w:tc>
        <w:tc>
          <w:tcPr>
            <w:tcW w:w="120" w:type="dxa"/>
            <w:vAlign w:val="bottom"/>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78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1,168.6</w:t>
            </w:r>
          </w:p>
        </w:tc>
        <w:tc>
          <w:tcPr>
            <w:tcW w:w="200" w:type="dxa"/>
            <w:vAlign w:val="bottom"/>
            <w:tcBorders>
              <w:bottom w:val="single" w:sz="8" w:color="auto"/>
            </w:tcBorders>
            <w:shd w:val="clear" w:color="auto" w:fill="CFF0FC"/>
          </w:tcPr>
          <w:p>
            <w:pPr>
              <w:spacing w:after="0"/>
              <w:rPr>
                <w:sz w:val="14"/>
                <w:szCs w:val="14"/>
                <w:color w:val="auto"/>
              </w:rPr>
            </w:pPr>
          </w:p>
        </w:tc>
        <w:tc>
          <w:tcPr>
            <w:tcW w:w="80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34.9</w:t>
            </w:r>
          </w:p>
        </w:tc>
        <w:tc>
          <w:tcPr>
            <w:tcW w:w="180" w:type="dxa"/>
            <w:vAlign w:val="bottom"/>
            <w:tcBorders>
              <w:bottom w:val="single" w:sz="8" w:color="auto"/>
            </w:tcBorders>
            <w:shd w:val="clear" w:color="auto" w:fill="CFF0FC"/>
          </w:tcPr>
          <w:p>
            <w:pPr>
              <w:spacing w:after="0"/>
              <w:rPr>
                <w:sz w:val="14"/>
                <w:szCs w:val="14"/>
                <w:color w:val="auto"/>
              </w:rPr>
            </w:pPr>
          </w:p>
        </w:tc>
        <w:tc>
          <w:tcPr>
            <w:tcW w:w="82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18.6</w:t>
            </w:r>
          </w:p>
        </w:tc>
        <w:tc>
          <w:tcPr>
            <w:tcW w:w="260" w:type="dxa"/>
            <w:vAlign w:val="bottom"/>
            <w:tcBorders>
              <w:bottom w:val="single" w:sz="8" w:color="auto"/>
            </w:tcBorders>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3.0</w:t>
            </w:r>
          </w:p>
        </w:tc>
        <w:tc>
          <w:tcPr>
            <w:tcW w:w="260" w:type="dxa"/>
            <w:vAlign w:val="bottom"/>
            <w:tcBorders>
              <w:bottom w:val="single" w:sz="8" w:color="auto"/>
            </w:tcBorders>
            <w:shd w:val="clear" w:color="auto" w:fill="CFF0FC"/>
          </w:tcPr>
          <w:p>
            <w:pPr>
              <w:spacing w:after="0"/>
              <w:rPr>
                <w:sz w:val="14"/>
                <w:szCs w:val="14"/>
                <w:color w:val="auto"/>
              </w:rPr>
            </w:pPr>
          </w:p>
        </w:tc>
        <w:tc>
          <w:tcPr>
            <w:tcW w:w="70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1,225.1</w:t>
            </w:r>
          </w:p>
        </w:tc>
      </w:tr>
      <w:tr>
        <w:trPr>
          <w:trHeight w:val="156"/>
        </w:trPr>
        <w:tc>
          <w:tcPr>
            <w:tcW w:w="144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2,827.3</w:t>
            </w:r>
          </w:p>
        </w:tc>
        <w:tc>
          <w:tcPr>
            <w:tcW w:w="2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134.1</w:t>
            </w:r>
          </w:p>
        </w:tc>
        <w:tc>
          <w:tcPr>
            <w:tcW w:w="2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90.9</w:t>
            </w:r>
          </w:p>
        </w:tc>
        <w:tc>
          <w:tcPr>
            <w:tcW w:w="2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69.1</w:t>
            </w:r>
          </w:p>
        </w:tc>
        <w:tc>
          <w:tcPr>
            <w:tcW w:w="3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3,121.4</w:t>
            </w:r>
          </w:p>
        </w:tc>
        <w:tc>
          <w:tcPr>
            <w:tcW w:w="12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2,827.0</w:t>
            </w:r>
          </w:p>
        </w:tc>
        <w:tc>
          <w:tcPr>
            <w:tcW w:w="2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130.3</w:t>
            </w:r>
          </w:p>
        </w:tc>
        <w:tc>
          <w:tcPr>
            <w:tcW w:w="1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88.5</w:t>
            </w:r>
          </w:p>
        </w:tc>
        <w:tc>
          <w:tcPr>
            <w:tcW w:w="2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69.3</w:t>
            </w:r>
          </w:p>
        </w:tc>
        <w:tc>
          <w:tcPr>
            <w:tcW w:w="2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3,115.1</w:t>
            </w:r>
          </w:p>
        </w:tc>
      </w:tr>
      <w:tr>
        <w:trPr>
          <w:trHeight w:val="156"/>
        </w:trPr>
        <w:tc>
          <w:tcPr>
            <w:tcW w:w="144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Southern Europe:</w:t>
            </w:r>
          </w:p>
        </w:tc>
        <w:tc>
          <w:tcPr>
            <w:tcW w:w="12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r>
      <w:tr>
        <w:trPr>
          <w:trHeight w:val="162"/>
        </w:trPr>
        <w:tc>
          <w:tcPr>
            <w:tcW w:w="1440" w:type="dxa"/>
            <w:vAlign w:val="bottom"/>
          </w:tcPr>
          <w:p>
            <w:pPr>
              <w:ind w:left="260"/>
              <w:spacing w:after="0"/>
              <w:rPr>
                <w:sz w:val="20"/>
                <w:szCs w:val="20"/>
                <w:color w:val="auto"/>
              </w:rPr>
            </w:pPr>
            <w:r>
              <w:rPr>
                <w:rFonts w:ascii="Arial" w:cs="Arial" w:eastAsia="Arial" w:hAnsi="Arial"/>
                <w:sz w:val="14"/>
                <w:szCs w:val="14"/>
                <w:color w:val="auto"/>
              </w:rPr>
              <w:t>France</w:t>
            </w:r>
          </w:p>
        </w:tc>
        <w:tc>
          <w:tcPr>
            <w:tcW w:w="120" w:type="dxa"/>
            <w:vAlign w:val="bottom"/>
          </w:tcPr>
          <w:p>
            <w:pPr>
              <w:spacing w:after="0"/>
              <w:rPr>
                <w:sz w:val="14"/>
                <w:szCs w:val="14"/>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3,880.0</w:t>
            </w:r>
          </w:p>
        </w:tc>
        <w:tc>
          <w:tcPr>
            <w:tcW w:w="220" w:type="dxa"/>
            <w:vAlign w:val="bottom"/>
          </w:tcPr>
          <w:p>
            <w:pPr>
              <w:spacing w:after="0"/>
              <w:rPr>
                <w:sz w:val="14"/>
                <w:szCs w:val="14"/>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170.6</w:t>
            </w:r>
          </w:p>
        </w:tc>
        <w:tc>
          <w:tcPr>
            <w:tcW w:w="200" w:type="dxa"/>
            <w:vAlign w:val="bottom"/>
          </w:tcPr>
          <w:p>
            <w:pPr>
              <w:spacing w:after="0"/>
              <w:rPr>
                <w:sz w:val="14"/>
                <w:szCs w:val="14"/>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40.2</w:t>
            </w:r>
          </w:p>
        </w:tc>
        <w:tc>
          <w:tcPr>
            <w:tcW w:w="2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12.9</w:t>
            </w:r>
          </w:p>
        </w:tc>
        <w:tc>
          <w:tcPr>
            <w:tcW w:w="340" w:type="dxa"/>
            <w:vAlign w:val="bottom"/>
          </w:tcPr>
          <w:p>
            <w:pPr>
              <w:spacing w:after="0"/>
              <w:rPr>
                <w:sz w:val="14"/>
                <w:szCs w:val="14"/>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4,103.7</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4,171.4</w:t>
            </w:r>
          </w:p>
        </w:tc>
        <w:tc>
          <w:tcPr>
            <w:tcW w:w="200" w:type="dxa"/>
            <w:vAlign w:val="bottom"/>
          </w:tcPr>
          <w:p>
            <w:pPr>
              <w:spacing w:after="0"/>
              <w:rPr>
                <w:sz w:val="14"/>
                <w:szCs w:val="14"/>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167.6</w:t>
            </w:r>
          </w:p>
        </w:tc>
        <w:tc>
          <w:tcPr>
            <w:tcW w:w="18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42.1</w:t>
            </w:r>
          </w:p>
        </w:tc>
        <w:tc>
          <w:tcPr>
            <w:tcW w:w="260" w:type="dxa"/>
            <w:vAlign w:val="bottom"/>
          </w:tcPr>
          <w:p>
            <w:pPr>
              <w:spacing w:after="0"/>
              <w:rPr>
                <w:sz w:val="14"/>
                <w:szCs w:val="14"/>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16.0</w:t>
            </w:r>
          </w:p>
        </w:tc>
        <w:tc>
          <w:tcPr>
            <w:tcW w:w="26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4,397.1</w:t>
            </w:r>
          </w:p>
        </w:tc>
      </w:tr>
      <w:tr>
        <w:trPr>
          <w:trHeight w:val="162"/>
        </w:trPr>
        <w:tc>
          <w:tcPr>
            <w:tcW w:w="1440" w:type="dxa"/>
            <w:vAlign w:val="bottom"/>
            <w:shd w:val="clear" w:color="auto" w:fill="CFF0FC"/>
          </w:tcPr>
          <w:p>
            <w:pPr>
              <w:ind w:left="260"/>
              <w:spacing w:after="0"/>
              <w:rPr>
                <w:sz w:val="20"/>
                <w:szCs w:val="20"/>
                <w:color w:val="auto"/>
              </w:rPr>
            </w:pPr>
            <w:r>
              <w:rPr>
                <w:rFonts w:ascii="Arial" w:cs="Arial" w:eastAsia="Arial" w:hAnsi="Arial"/>
                <w:sz w:val="14"/>
                <w:szCs w:val="14"/>
                <w:color w:val="auto"/>
              </w:rPr>
              <w:t>Italy</w:t>
            </w:r>
          </w:p>
        </w:tc>
        <w:tc>
          <w:tcPr>
            <w:tcW w:w="12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1,050.1</w:t>
            </w:r>
          </w:p>
        </w:tc>
        <w:tc>
          <w:tcPr>
            <w:tcW w:w="220" w:type="dxa"/>
            <w:vAlign w:val="bottom"/>
            <w:shd w:val="clear" w:color="auto" w:fill="CFF0FC"/>
          </w:tcPr>
          <w:p>
            <w:pPr>
              <w:spacing w:after="0"/>
              <w:rPr>
                <w:sz w:val="14"/>
                <w:szCs w:val="14"/>
                <w:color w:val="auto"/>
              </w:rPr>
            </w:pPr>
          </w:p>
        </w:tc>
        <w:tc>
          <w:tcPr>
            <w:tcW w:w="8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31.4</w:t>
            </w:r>
          </w:p>
        </w:tc>
        <w:tc>
          <w:tcPr>
            <w:tcW w:w="200" w:type="dxa"/>
            <w:vAlign w:val="bottom"/>
            <w:shd w:val="clear" w:color="auto" w:fill="CFF0FC"/>
          </w:tcPr>
          <w:p>
            <w:pPr>
              <w:spacing w:after="0"/>
              <w:rPr>
                <w:sz w:val="14"/>
                <w:szCs w:val="14"/>
                <w:color w:val="auto"/>
              </w:rPr>
            </w:pPr>
          </w:p>
        </w:tc>
        <w:tc>
          <w:tcPr>
            <w:tcW w:w="8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28.7</w:t>
            </w:r>
          </w:p>
        </w:tc>
        <w:tc>
          <w:tcPr>
            <w:tcW w:w="26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16.3</w:t>
            </w:r>
          </w:p>
        </w:tc>
        <w:tc>
          <w:tcPr>
            <w:tcW w:w="340" w:type="dxa"/>
            <w:vAlign w:val="bottom"/>
            <w:shd w:val="clear" w:color="auto" w:fill="CFF0FC"/>
          </w:tcPr>
          <w:p>
            <w:pPr>
              <w:spacing w:after="0"/>
              <w:rPr>
                <w:sz w:val="14"/>
                <w:szCs w:val="14"/>
                <w:color w:val="auto"/>
              </w:rPr>
            </w:pPr>
          </w:p>
        </w:tc>
        <w:tc>
          <w:tcPr>
            <w:tcW w:w="7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1,126.5</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1,187.4</w:t>
            </w:r>
          </w:p>
        </w:tc>
        <w:tc>
          <w:tcPr>
            <w:tcW w:w="20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35.8</w:t>
            </w:r>
          </w:p>
        </w:tc>
        <w:tc>
          <w:tcPr>
            <w:tcW w:w="180" w:type="dxa"/>
            <w:vAlign w:val="bottom"/>
            <w:shd w:val="clear" w:color="auto" w:fill="CFF0FC"/>
          </w:tcPr>
          <w:p>
            <w:pPr>
              <w:spacing w:after="0"/>
              <w:rPr>
                <w:sz w:val="14"/>
                <w:szCs w:val="14"/>
                <w:color w:val="auto"/>
              </w:rPr>
            </w:pPr>
          </w:p>
        </w:tc>
        <w:tc>
          <w:tcPr>
            <w:tcW w:w="8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27.4</w:t>
            </w:r>
          </w:p>
        </w:tc>
        <w:tc>
          <w:tcPr>
            <w:tcW w:w="260" w:type="dxa"/>
            <w:vAlign w:val="bottom"/>
            <w:shd w:val="clear" w:color="auto" w:fill="CFF0FC"/>
          </w:tcPr>
          <w:p>
            <w:pPr>
              <w:spacing w:after="0"/>
              <w:rPr>
                <w:sz w:val="14"/>
                <w:szCs w:val="14"/>
                <w:color w:val="auto"/>
              </w:rPr>
            </w:pPr>
          </w:p>
        </w:tc>
        <w:tc>
          <w:tcPr>
            <w:tcW w:w="7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16.2</w:t>
            </w:r>
          </w:p>
        </w:tc>
        <w:tc>
          <w:tcPr>
            <w:tcW w:w="260" w:type="dxa"/>
            <w:vAlign w:val="bottom"/>
            <w:shd w:val="clear" w:color="auto" w:fill="CFF0FC"/>
          </w:tcPr>
          <w:p>
            <w:pPr>
              <w:spacing w:after="0"/>
              <w:rPr>
                <w:sz w:val="14"/>
                <w:szCs w:val="14"/>
                <w:color w:val="auto"/>
              </w:rPr>
            </w:pPr>
          </w:p>
        </w:tc>
        <w:tc>
          <w:tcPr>
            <w:tcW w:w="70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1,266.8</w:t>
            </w:r>
          </w:p>
        </w:tc>
      </w:tr>
      <w:tr>
        <w:trPr>
          <w:trHeight w:val="143"/>
        </w:trPr>
        <w:tc>
          <w:tcPr>
            <w:tcW w:w="1440" w:type="dxa"/>
            <w:vAlign w:val="bottom"/>
          </w:tcPr>
          <w:p>
            <w:pPr>
              <w:ind w:left="260"/>
              <w:spacing w:after="0" w:line="143" w:lineRule="exact"/>
              <w:rPr>
                <w:sz w:val="20"/>
                <w:szCs w:val="20"/>
                <w:color w:val="auto"/>
              </w:rPr>
            </w:pPr>
            <w:r>
              <w:rPr>
                <w:rFonts w:ascii="Arial" w:cs="Arial" w:eastAsia="Arial" w:hAnsi="Arial"/>
                <w:sz w:val="14"/>
                <w:szCs w:val="14"/>
                <w:color w:val="auto"/>
              </w:rPr>
              <w:t>Other Southern</w:t>
            </w: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r>
      <w:tr>
        <w:trPr>
          <w:trHeight w:val="167"/>
        </w:trPr>
        <w:tc>
          <w:tcPr>
            <w:tcW w:w="1440" w:type="dxa"/>
            <w:vAlign w:val="bottom"/>
            <w:tcBorders>
              <w:bottom w:val="single" w:sz="8" w:color="CFF0FC"/>
            </w:tcBorders>
          </w:tcPr>
          <w:p>
            <w:pPr>
              <w:ind w:left="260"/>
              <w:spacing w:after="0"/>
              <w:rPr>
                <w:sz w:val="20"/>
                <w:szCs w:val="20"/>
                <w:color w:val="auto"/>
              </w:rPr>
            </w:pPr>
            <w:r>
              <w:rPr>
                <w:rFonts w:ascii="Arial" w:cs="Arial" w:eastAsia="Arial" w:hAnsi="Arial"/>
                <w:sz w:val="14"/>
                <w:szCs w:val="14"/>
                <w:color w:val="auto"/>
              </w:rPr>
              <w:t>Europe</w:t>
            </w: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1,313.0</w:t>
            </w: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245.3</w:t>
            </w: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45.6</w:t>
            </w:r>
          </w:p>
        </w:tc>
        <w:tc>
          <w:tcPr>
            <w:tcW w:w="2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w:t>
            </w:r>
          </w:p>
        </w:tc>
        <w:tc>
          <w:tcPr>
            <w:tcW w:w="3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1,610.8</w:t>
            </w:r>
          </w:p>
        </w:tc>
        <w:tc>
          <w:tcPr>
            <w:tcW w:w="12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1,132.7</w:t>
            </w: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227.1</w:t>
            </w: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42.1</w:t>
            </w:r>
          </w:p>
        </w:tc>
        <w:tc>
          <w:tcPr>
            <w:tcW w:w="2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11.8</w:t>
            </w:r>
          </w:p>
        </w:tc>
        <w:tc>
          <w:tcPr>
            <w:tcW w:w="2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1,413.7</w:t>
            </w:r>
          </w:p>
        </w:tc>
      </w:tr>
      <w:tr>
        <w:trPr>
          <w:trHeight w:val="156"/>
        </w:trPr>
        <w:tc>
          <w:tcPr>
            <w:tcW w:w="1440" w:type="dxa"/>
            <w:vAlign w:val="bottom"/>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spacing w:after="0"/>
              <w:rPr>
                <w:sz w:val="13"/>
                <w:szCs w:val="13"/>
                <w:color w:val="auto"/>
              </w:rPr>
            </w:pPr>
          </w:p>
        </w:tc>
        <w:tc>
          <w:tcPr>
            <w:tcW w:w="80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6,243.1</w:t>
            </w:r>
          </w:p>
        </w:tc>
        <w:tc>
          <w:tcPr>
            <w:tcW w:w="220" w:type="dxa"/>
            <w:vAlign w:val="bottom"/>
            <w:tcBorders>
              <w:bottom w:val="single" w:sz="8" w:color="auto"/>
            </w:tcBorders>
            <w:shd w:val="clear" w:color="auto" w:fill="CFF0FC"/>
          </w:tcPr>
          <w:p>
            <w:pPr>
              <w:spacing w:after="0"/>
              <w:rPr>
                <w:sz w:val="13"/>
                <w:szCs w:val="13"/>
                <w:color w:val="auto"/>
              </w:rPr>
            </w:pPr>
          </w:p>
        </w:tc>
        <w:tc>
          <w:tcPr>
            <w:tcW w:w="84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447.3</w:t>
            </w:r>
          </w:p>
        </w:tc>
        <w:tc>
          <w:tcPr>
            <w:tcW w:w="200" w:type="dxa"/>
            <w:vAlign w:val="bottom"/>
            <w:tcBorders>
              <w:bottom w:val="single" w:sz="8" w:color="auto"/>
            </w:tcBorders>
            <w:shd w:val="clear" w:color="auto" w:fill="CFF0FC"/>
          </w:tcPr>
          <w:p>
            <w:pPr>
              <w:spacing w:after="0"/>
              <w:rPr>
                <w:sz w:val="13"/>
                <w:szCs w:val="13"/>
                <w:color w:val="auto"/>
              </w:rPr>
            </w:pPr>
          </w:p>
        </w:tc>
        <w:tc>
          <w:tcPr>
            <w:tcW w:w="84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114.5</w:t>
            </w:r>
          </w:p>
        </w:tc>
        <w:tc>
          <w:tcPr>
            <w:tcW w:w="260" w:type="dxa"/>
            <w:vAlign w:val="bottom"/>
            <w:tcBorders>
              <w:bottom w:val="single" w:sz="8" w:color="auto"/>
            </w:tcBorders>
            <w:shd w:val="clear" w:color="auto" w:fill="CFF0FC"/>
          </w:tcPr>
          <w:p>
            <w:pPr>
              <w:spacing w:after="0"/>
              <w:rPr>
                <w:sz w:val="13"/>
                <w:szCs w:val="13"/>
                <w:color w:val="auto"/>
              </w:rPr>
            </w:pPr>
          </w:p>
        </w:tc>
        <w:tc>
          <w:tcPr>
            <w:tcW w:w="66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36.1</w:t>
            </w:r>
          </w:p>
        </w:tc>
        <w:tc>
          <w:tcPr>
            <w:tcW w:w="340" w:type="dxa"/>
            <w:vAlign w:val="bottom"/>
            <w:tcBorders>
              <w:bottom w:val="single" w:sz="8" w:color="auto"/>
            </w:tcBorders>
            <w:shd w:val="clear" w:color="auto" w:fill="CFF0FC"/>
          </w:tcPr>
          <w:p>
            <w:pPr>
              <w:spacing w:after="0"/>
              <w:rPr>
                <w:sz w:val="13"/>
                <w:szCs w:val="13"/>
                <w:color w:val="auto"/>
              </w:rPr>
            </w:pPr>
          </w:p>
        </w:tc>
        <w:tc>
          <w:tcPr>
            <w:tcW w:w="74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6,841.0</w:t>
            </w:r>
          </w:p>
        </w:tc>
        <w:tc>
          <w:tcPr>
            <w:tcW w:w="120" w:type="dxa"/>
            <w:vAlign w:val="bottom"/>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78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6,491.5</w:t>
            </w:r>
          </w:p>
        </w:tc>
        <w:tc>
          <w:tcPr>
            <w:tcW w:w="200" w:type="dxa"/>
            <w:vAlign w:val="bottom"/>
            <w:tcBorders>
              <w:bottom w:val="single" w:sz="8" w:color="auto"/>
            </w:tcBorders>
            <w:shd w:val="clear" w:color="auto" w:fill="CFF0FC"/>
          </w:tcPr>
          <w:p>
            <w:pPr>
              <w:spacing w:after="0"/>
              <w:rPr>
                <w:sz w:val="13"/>
                <w:szCs w:val="13"/>
                <w:color w:val="auto"/>
              </w:rPr>
            </w:pPr>
          </w:p>
        </w:tc>
        <w:tc>
          <w:tcPr>
            <w:tcW w:w="80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430.5</w:t>
            </w:r>
          </w:p>
        </w:tc>
        <w:tc>
          <w:tcPr>
            <w:tcW w:w="180" w:type="dxa"/>
            <w:vAlign w:val="bottom"/>
            <w:tcBorders>
              <w:bottom w:val="single" w:sz="8" w:color="auto"/>
            </w:tcBorders>
            <w:shd w:val="clear" w:color="auto" w:fill="CFF0FC"/>
          </w:tcPr>
          <w:p>
            <w:pPr>
              <w:spacing w:after="0"/>
              <w:rPr>
                <w:sz w:val="13"/>
                <w:szCs w:val="13"/>
                <w:color w:val="auto"/>
              </w:rPr>
            </w:pPr>
          </w:p>
        </w:tc>
        <w:tc>
          <w:tcPr>
            <w:tcW w:w="82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111.6</w:t>
            </w:r>
          </w:p>
        </w:tc>
        <w:tc>
          <w:tcPr>
            <w:tcW w:w="260" w:type="dxa"/>
            <w:vAlign w:val="bottom"/>
            <w:tcBorders>
              <w:bottom w:val="single" w:sz="8" w:color="auto"/>
            </w:tcBorders>
            <w:shd w:val="clear" w:color="auto" w:fill="CFF0FC"/>
          </w:tcPr>
          <w:p>
            <w:pPr>
              <w:spacing w:after="0"/>
              <w:rPr>
                <w:sz w:val="13"/>
                <w:szCs w:val="13"/>
                <w:color w:val="auto"/>
              </w:rPr>
            </w:pPr>
          </w:p>
        </w:tc>
        <w:tc>
          <w:tcPr>
            <w:tcW w:w="74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44.0</w:t>
            </w:r>
          </w:p>
        </w:tc>
        <w:tc>
          <w:tcPr>
            <w:tcW w:w="260" w:type="dxa"/>
            <w:vAlign w:val="bottom"/>
            <w:tcBorders>
              <w:bottom w:val="single" w:sz="8" w:color="auto"/>
            </w:tcBorders>
            <w:shd w:val="clear" w:color="auto" w:fill="CFF0FC"/>
          </w:tcPr>
          <w:p>
            <w:pPr>
              <w:spacing w:after="0"/>
              <w:rPr>
                <w:sz w:val="13"/>
                <w:szCs w:val="13"/>
                <w:color w:val="auto"/>
              </w:rPr>
            </w:pPr>
          </w:p>
        </w:tc>
        <w:tc>
          <w:tcPr>
            <w:tcW w:w="700" w:type="dxa"/>
            <w:vAlign w:val="bottom"/>
            <w:tcBorders>
              <w:bottom w:val="single" w:sz="8" w:color="auto"/>
            </w:tcBorders>
            <w:shd w:val="clear" w:color="auto" w:fill="CFF0FC"/>
          </w:tcPr>
          <w:p>
            <w:pPr>
              <w:jc w:val="right"/>
              <w:ind w:right="8"/>
              <w:spacing w:after="0" w:line="155" w:lineRule="exact"/>
              <w:rPr>
                <w:sz w:val="20"/>
                <w:szCs w:val="20"/>
                <w:color w:val="auto"/>
              </w:rPr>
            </w:pPr>
            <w:r>
              <w:rPr>
                <w:rFonts w:ascii="Arial" w:cs="Arial" w:eastAsia="Arial" w:hAnsi="Arial"/>
                <w:sz w:val="14"/>
                <w:szCs w:val="14"/>
                <w:color w:val="auto"/>
              </w:rPr>
              <w:t>7,077.6</w:t>
            </w:r>
          </w:p>
        </w:tc>
      </w:tr>
      <w:tr>
        <w:trPr>
          <w:trHeight w:val="156"/>
        </w:trPr>
        <w:tc>
          <w:tcPr>
            <w:tcW w:w="1440" w:type="dxa"/>
            <w:vAlign w:val="bottom"/>
          </w:tcPr>
          <w:p>
            <w:pPr>
              <w:spacing w:after="0" w:line="155" w:lineRule="exact"/>
              <w:rPr>
                <w:sz w:val="20"/>
                <w:szCs w:val="20"/>
                <w:color w:val="auto"/>
              </w:rPr>
            </w:pPr>
            <w:r>
              <w:rPr>
                <w:rFonts w:ascii="Arial" w:cs="Arial" w:eastAsia="Arial" w:hAnsi="Arial"/>
                <w:sz w:val="14"/>
                <w:szCs w:val="14"/>
                <w:color w:val="auto"/>
              </w:rPr>
              <w:t>Northern Europe</w:t>
            </w:r>
          </w:p>
        </w:tc>
        <w:tc>
          <w:tcPr>
            <w:tcW w:w="120" w:type="dxa"/>
            <w:vAlign w:val="bottom"/>
          </w:tcPr>
          <w:p>
            <w:pPr>
              <w:spacing w:after="0"/>
              <w:rPr>
                <w:sz w:val="13"/>
                <w:szCs w:val="13"/>
                <w:color w:val="auto"/>
              </w:rPr>
            </w:pPr>
          </w:p>
        </w:tc>
        <w:tc>
          <w:tcPr>
            <w:tcW w:w="800" w:type="dxa"/>
            <w:vAlign w:val="bottom"/>
          </w:tcPr>
          <w:p>
            <w:pPr>
              <w:jc w:val="right"/>
              <w:ind w:right="48"/>
              <w:spacing w:after="0" w:line="155" w:lineRule="exact"/>
              <w:rPr>
                <w:sz w:val="20"/>
                <w:szCs w:val="20"/>
                <w:color w:val="auto"/>
              </w:rPr>
            </w:pPr>
            <w:r>
              <w:rPr>
                <w:rFonts w:ascii="Arial" w:cs="Arial" w:eastAsia="Arial" w:hAnsi="Arial"/>
                <w:sz w:val="14"/>
                <w:szCs w:val="14"/>
                <w:color w:val="auto"/>
              </w:rPr>
              <w:t>3,141.4</w:t>
            </w:r>
          </w:p>
        </w:tc>
        <w:tc>
          <w:tcPr>
            <w:tcW w:w="220" w:type="dxa"/>
            <w:vAlign w:val="bottom"/>
          </w:tcPr>
          <w:p>
            <w:pPr>
              <w:spacing w:after="0"/>
              <w:rPr>
                <w:sz w:val="13"/>
                <w:szCs w:val="13"/>
                <w:color w:val="auto"/>
              </w:rPr>
            </w:pPr>
          </w:p>
        </w:tc>
        <w:tc>
          <w:tcPr>
            <w:tcW w:w="840" w:type="dxa"/>
            <w:vAlign w:val="bottom"/>
          </w:tcPr>
          <w:p>
            <w:pPr>
              <w:jc w:val="right"/>
              <w:ind w:right="48"/>
              <w:spacing w:after="0" w:line="155" w:lineRule="exact"/>
              <w:rPr>
                <w:sz w:val="20"/>
                <w:szCs w:val="20"/>
                <w:color w:val="auto"/>
              </w:rPr>
            </w:pPr>
            <w:r>
              <w:rPr>
                <w:rFonts w:ascii="Arial" w:cs="Arial" w:eastAsia="Arial" w:hAnsi="Arial"/>
                <w:sz w:val="14"/>
                <w:szCs w:val="14"/>
                <w:color w:val="auto"/>
              </w:rPr>
              <w:t>254.2</w:t>
            </w:r>
          </w:p>
        </w:tc>
        <w:tc>
          <w:tcPr>
            <w:tcW w:w="200" w:type="dxa"/>
            <w:vAlign w:val="bottom"/>
          </w:tcPr>
          <w:p>
            <w:pPr>
              <w:spacing w:after="0"/>
              <w:rPr>
                <w:sz w:val="13"/>
                <w:szCs w:val="13"/>
                <w:color w:val="auto"/>
              </w:rPr>
            </w:pPr>
          </w:p>
        </w:tc>
        <w:tc>
          <w:tcPr>
            <w:tcW w:w="840" w:type="dxa"/>
            <w:vAlign w:val="bottom"/>
          </w:tcPr>
          <w:p>
            <w:pPr>
              <w:jc w:val="right"/>
              <w:ind w:right="48"/>
              <w:spacing w:after="0" w:line="155" w:lineRule="exact"/>
              <w:rPr>
                <w:sz w:val="20"/>
                <w:szCs w:val="20"/>
                <w:color w:val="auto"/>
              </w:rPr>
            </w:pPr>
            <w:r>
              <w:rPr>
                <w:rFonts w:ascii="Arial" w:cs="Arial" w:eastAsia="Arial" w:hAnsi="Arial"/>
                <w:sz w:val="14"/>
                <w:szCs w:val="14"/>
                <w:color w:val="auto"/>
              </w:rPr>
              <w:t>109.9</w:t>
            </w:r>
          </w:p>
        </w:tc>
        <w:tc>
          <w:tcPr>
            <w:tcW w:w="260" w:type="dxa"/>
            <w:vAlign w:val="bottom"/>
          </w:tcPr>
          <w:p>
            <w:pPr>
              <w:spacing w:after="0"/>
              <w:rPr>
                <w:sz w:val="13"/>
                <w:szCs w:val="13"/>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24.0</w:t>
            </w:r>
          </w:p>
        </w:tc>
        <w:tc>
          <w:tcPr>
            <w:tcW w:w="340" w:type="dxa"/>
            <w:vAlign w:val="bottom"/>
          </w:tcPr>
          <w:p>
            <w:pPr>
              <w:spacing w:after="0"/>
              <w:rPr>
                <w:sz w:val="13"/>
                <w:szCs w:val="13"/>
                <w:color w:val="auto"/>
              </w:rPr>
            </w:pPr>
          </w:p>
        </w:tc>
        <w:tc>
          <w:tcPr>
            <w:tcW w:w="740" w:type="dxa"/>
            <w:vAlign w:val="bottom"/>
          </w:tcPr>
          <w:p>
            <w:pPr>
              <w:jc w:val="right"/>
              <w:ind w:right="48"/>
              <w:spacing w:after="0" w:line="155" w:lineRule="exact"/>
              <w:rPr>
                <w:sz w:val="20"/>
                <w:szCs w:val="20"/>
                <w:color w:val="auto"/>
              </w:rPr>
            </w:pPr>
            <w:r>
              <w:rPr>
                <w:rFonts w:ascii="Arial" w:cs="Arial" w:eastAsia="Arial" w:hAnsi="Arial"/>
                <w:sz w:val="14"/>
                <w:szCs w:val="14"/>
                <w:color w:val="auto"/>
              </w:rPr>
              <w:t>3,529.5</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right"/>
              <w:ind w:right="48"/>
              <w:spacing w:after="0" w:line="155" w:lineRule="exact"/>
              <w:rPr>
                <w:sz w:val="20"/>
                <w:szCs w:val="20"/>
                <w:color w:val="auto"/>
              </w:rPr>
            </w:pPr>
            <w:r>
              <w:rPr>
                <w:rFonts w:ascii="Arial" w:cs="Arial" w:eastAsia="Arial" w:hAnsi="Arial"/>
                <w:sz w:val="14"/>
                <w:szCs w:val="14"/>
                <w:color w:val="auto"/>
              </w:rPr>
              <w:t>3,628.0</w:t>
            </w:r>
          </w:p>
        </w:tc>
        <w:tc>
          <w:tcPr>
            <w:tcW w:w="200" w:type="dxa"/>
            <w:vAlign w:val="bottom"/>
          </w:tcPr>
          <w:p>
            <w:pPr>
              <w:spacing w:after="0"/>
              <w:rPr>
                <w:sz w:val="13"/>
                <w:szCs w:val="13"/>
                <w:color w:val="auto"/>
              </w:rPr>
            </w:pPr>
          </w:p>
        </w:tc>
        <w:tc>
          <w:tcPr>
            <w:tcW w:w="800" w:type="dxa"/>
            <w:vAlign w:val="bottom"/>
          </w:tcPr>
          <w:p>
            <w:pPr>
              <w:jc w:val="right"/>
              <w:ind w:right="48"/>
              <w:spacing w:after="0" w:line="155" w:lineRule="exact"/>
              <w:rPr>
                <w:sz w:val="20"/>
                <w:szCs w:val="20"/>
                <w:color w:val="auto"/>
              </w:rPr>
            </w:pPr>
            <w:r>
              <w:rPr>
                <w:rFonts w:ascii="Arial" w:cs="Arial" w:eastAsia="Arial" w:hAnsi="Arial"/>
                <w:sz w:val="14"/>
                <w:szCs w:val="14"/>
                <w:color w:val="auto"/>
              </w:rPr>
              <w:t>320.2</w:t>
            </w:r>
          </w:p>
        </w:tc>
        <w:tc>
          <w:tcPr>
            <w:tcW w:w="180" w:type="dxa"/>
            <w:vAlign w:val="bottom"/>
          </w:tcPr>
          <w:p>
            <w:pPr>
              <w:spacing w:after="0"/>
              <w:rPr>
                <w:sz w:val="13"/>
                <w:szCs w:val="13"/>
                <w:color w:val="auto"/>
              </w:rPr>
            </w:pPr>
          </w:p>
        </w:tc>
        <w:tc>
          <w:tcPr>
            <w:tcW w:w="820" w:type="dxa"/>
            <w:vAlign w:val="bottom"/>
          </w:tcPr>
          <w:p>
            <w:pPr>
              <w:jc w:val="right"/>
              <w:ind w:right="48"/>
              <w:spacing w:after="0" w:line="155" w:lineRule="exact"/>
              <w:rPr>
                <w:sz w:val="20"/>
                <w:szCs w:val="20"/>
                <w:color w:val="auto"/>
              </w:rPr>
            </w:pPr>
            <w:r>
              <w:rPr>
                <w:rFonts w:ascii="Arial" w:cs="Arial" w:eastAsia="Arial" w:hAnsi="Arial"/>
                <w:sz w:val="14"/>
                <w:szCs w:val="14"/>
                <w:color w:val="auto"/>
              </w:rPr>
              <w:t>126.1</w:t>
            </w:r>
          </w:p>
        </w:tc>
        <w:tc>
          <w:tcPr>
            <w:tcW w:w="260" w:type="dxa"/>
            <w:vAlign w:val="bottom"/>
          </w:tcPr>
          <w:p>
            <w:pPr>
              <w:spacing w:after="0"/>
              <w:rPr>
                <w:sz w:val="13"/>
                <w:szCs w:val="13"/>
                <w:color w:val="auto"/>
              </w:rPr>
            </w:pPr>
          </w:p>
        </w:tc>
        <w:tc>
          <w:tcPr>
            <w:tcW w:w="740" w:type="dxa"/>
            <w:vAlign w:val="bottom"/>
          </w:tcPr>
          <w:p>
            <w:pPr>
              <w:jc w:val="right"/>
              <w:ind w:right="48"/>
              <w:spacing w:after="0" w:line="155" w:lineRule="exact"/>
              <w:rPr>
                <w:sz w:val="20"/>
                <w:szCs w:val="20"/>
                <w:color w:val="auto"/>
              </w:rPr>
            </w:pPr>
            <w:r>
              <w:rPr>
                <w:rFonts w:ascii="Arial" w:cs="Arial" w:eastAsia="Arial" w:hAnsi="Arial"/>
                <w:sz w:val="14"/>
                <w:szCs w:val="14"/>
                <w:color w:val="auto"/>
              </w:rPr>
              <w:t>23.6</w:t>
            </w:r>
          </w:p>
        </w:tc>
        <w:tc>
          <w:tcPr>
            <w:tcW w:w="260" w:type="dxa"/>
            <w:vAlign w:val="bottom"/>
          </w:tcPr>
          <w:p>
            <w:pPr>
              <w:spacing w:after="0"/>
              <w:rPr>
                <w:sz w:val="13"/>
                <w:szCs w:val="13"/>
                <w:color w:val="auto"/>
              </w:rPr>
            </w:pPr>
          </w:p>
        </w:tc>
        <w:tc>
          <w:tcPr>
            <w:tcW w:w="700" w:type="dxa"/>
            <w:vAlign w:val="bottom"/>
          </w:tcPr>
          <w:p>
            <w:pPr>
              <w:jc w:val="right"/>
              <w:ind w:right="8"/>
              <w:spacing w:after="0" w:line="155" w:lineRule="exact"/>
              <w:rPr>
                <w:sz w:val="20"/>
                <w:szCs w:val="20"/>
                <w:color w:val="auto"/>
              </w:rPr>
            </w:pPr>
            <w:r>
              <w:rPr>
                <w:rFonts w:ascii="Arial" w:cs="Arial" w:eastAsia="Arial" w:hAnsi="Arial"/>
                <w:sz w:val="14"/>
                <w:szCs w:val="14"/>
                <w:color w:val="auto"/>
              </w:rPr>
              <w:t>4,097.9</w:t>
            </w:r>
          </w:p>
        </w:tc>
      </w:tr>
      <w:tr>
        <w:trPr>
          <w:trHeight w:val="162"/>
        </w:trPr>
        <w:tc>
          <w:tcPr>
            <w:tcW w:w="1440" w:type="dxa"/>
            <w:vAlign w:val="bottom"/>
            <w:shd w:val="clear" w:color="auto" w:fill="CFF0FC"/>
          </w:tcPr>
          <w:p>
            <w:pPr>
              <w:spacing w:after="0"/>
              <w:rPr>
                <w:sz w:val="20"/>
                <w:szCs w:val="20"/>
                <w:color w:val="auto"/>
              </w:rPr>
            </w:pPr>
            <w:r>
              <w:rPr>
                <w:rFonts w:ascii="Arial" w:cs="Arial" w:eastAsia="Arial" w:hAnsi="Arial"/>
                <w:sz w:val="14"/>
                <w:szCs w:val="14"/>
                <w:color w:val="auto"/>
              </w:rPr>
              <w:t>APME</w:t>
            </w:r>
          </w:p>
        </w:tc>
        <w:tc>
          <w:tcPr>
            <w:tcW w:w="12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1,670.7</w:t>
            </w:r>
          </w:p>
        </w:tc>
        <w:tc>
          <w:tcPr>
            <w:tcW w:w="220" w:type="dxa"/>
            <w:vAlign w:val="bottom"/>
            <w:shd w:val="clear" w:color="auto" w:fill="CFF0FC"/>
          </w:tcPr>
          <w:p>
            <w:pPr>
              <w:spacing w:after="0"/>
              <w:rPr>
                <w:sz w:val="14"/>
                <w:szCs w:val="14"/>
                <w:color w:val="auto"/>
              </w:rPr>
            </w:pPr>
          </w:p>
        </w:tc>
        <w:tc>
          <w:tcPr>
            <w:tcW w:w="8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219.5</w:t>
            </w:r>
          </w:p>
        </w:tc>
        <w:tc>
          <w:tcPr>
            <w:tcW w:w="200" w:type="dxa"/>
            <w:vAlign w:val="bottom"/>
            <w:shd w:val="clear" w:color="auto" w:fill="CFF0FC"/>
          </w:tcPr>
          <w:p>
            <w:pPr>
              <w:spacing w:after="0"/>
              <w:rPr>
                <w:sz w:val="14"/>
                <w:szCs w:val="14"/>
                <w:color w:val="auto"/>
              </w:rPr>
            </w:pPr>
          </w:p>
        </w:tc>
        <w:tc>
          <w:tcPr>
            <w:tcW w:w="8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130.3</w:t>
            </w:r>
          </w:p>
        </w:tc>
        <w:tc>
          <w:tcPr>
            <w:tcW w:w="26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10.2</w:t>
            </w:r>
          </w:p>
        </w:tc>
        <w:tc>
          <w:tcPr>
            <w:tcW w:w="340" w:type="dxa"/>
            <w:vAlign w:val="bottom"/>
            <w:shd w:val="clear" w:color="auto" w:fill="CFF0FC"/>
          </w:tcPr>
          <w:p>
            <w:pPr>
              <w:spacing w:after="0"/>
              <w:rPr>
                <w:sz w:val="14"/>
                <w:szCs w:val="14"/>
                <w:color w:val="auto"/>
              </w:rPr>
            </w:pPr>
          </w:p>
        </w:tc>
        <w:tc>
          <w:tcPr>
            <w:tcW w:w="7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2,030.7</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1,781.1</w:t>
            </w:r>
          </w:p>
        </w:tc>
        <w:tc>
          <w:tcPr>
            <w:tcW w:w="20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212.8</w:t>
            </w:r>
          </w:p>
        </w:tc>
        <w:tc>
          <w:tcPr>
            <w:tcW w:w="180" w:type="dxa"/>
            <w:vAlign w:val="bottom"/>
            <w:shd w:val="clear" w:color="auto" w:fill="CFF0FC"/>
          </w:tcPr>
          <w:p>
            <w:pPr>
              <w:spacing w:after="0"/>
              <w:rPr>
                <w:sz w:val="14"/>
                <w:szCs w:val="14"/>
                <w:color w:val="auto"/>
              </w:rPr>
            </w:pPr>
          </w:p>
        </w:tc>
        <w:tc>
          <w:tcPr>
            <w:tcW w:w="8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152.8</w:t>
            </w:r>
          </w:p>
        </w:tc>
        <w:tc>
          <w:tcPr>
            <w:tcW w:w="260" w:type="dxa"/>
            <w:vAlign w:val="bottom"/>
            <w:shd w:val="clear" w:color="auto" w:fill="CFF0FC"/>
          </w:tcPr>
          <w:p>
            <w:pPr>
              <w:spacing w:after="0"/>
              <w:rPr>
                <w:sz w:val="14"/>
                <w:szCs w:val="14"/>
                <w:color w:val="auto"/>
              </w:rPr>
            </w:pPr>
          </w:p>
        </w:tc>
        <w:tc>
          <w:tcPr>
            <w:tcW w:w="7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11.3</w:t>
            </w:r>
          </w:p>
        </w:tc>
        <w:tc>
          <w:tcPr>
            <w:tcW w:w="260" w:type="dxa"/>
            <w:vAlign w:val="bottom"/>
            <w:shd w:val="clear" w:color="auto" w:fill="CFF0FC"/>
          </w:tcPr>
          <w:p>
            <w:pPr>
              <w:spacing w:after="0"/>
              <w:rPr>
                <w:sz w:val="14"/>
                <w:szCs w:val="14"/>
                <w:color w:val="auto"/>
              </w:rPr>
            </w:pPr>
          </w:p>
        </w:tc>
        <w:tc>
          <w:tcPr>
            <w:tcW w:w="70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2,158.0</w:t>
            </w:r>
          </w:p>
        </w:tc>
      </w:tr>
      <w:tr>
        <w:trPr>
          <w:trHeight w:val="162"/>
        </w:trPr>
        <w:tc>
          <w:tcPr>
            <w:tcW w:w="144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Right Management</w:t>
            </w: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33.2</w:t>
            </w: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111.1</w:t>
            </w:r>
          </w:p>
        </w:tc>
        <w:tc>
          <w:tcPr>
            <w:tcW w:w="3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144.3</w:t>
            </w:r>
          </w:p>
        </w:tc>
        <w:tc>
          <w:tcPr>
            <w:tcW w:w="12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36.2</w:t>
            </w: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113.2</w:t>
            </w:r>
          </w:p>
        </w:tc>
        <w:tc>
          <w:tcPr>
            <w:tcW w:w="2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149.4</w:t>
            </w:r>
          </w:p>
        </w:tc>
      </w:tr>
      <w:tr>
        <w:trPr>
          <w:trHeight w:val="156"/>
        </w:trPr>
        <w:tc>
          <w:tcPr>
            <w:tcW w:w="1440" w:type="dxa"/>
            <w:vAlign w:val="bottom"/>
            <w:tcBorders>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Total</w:t>
            </w:r>
          </w:p>
        </w:tc>
        <w:tc>
          <w:tcPr>
            <w:tcW w:w="12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13,882.5</w:t>
            </w:r>
          </w:p>
        </w:tc>
        <w:tc>
          <w:tcPr>
            <w:tcW w:w="22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FF0FC"/>
          </w:tcPr>
          <w:p>
            <w:pPr>
              <w:jc w:val="right"/>
              <w:ind w:right="68"/>
              <w:spacing w:after="0" w:line="155" w:lineRule="exact"/>
              <w:rPr>
                <w:sz w:val="20"/>
                <w:szCs w:val="20"/>
                <w:color w:val="auto"/>
              </w:rPr>
            </w:pPr>
            <w:r>
              <w:rPr>
                <w:rFonts w:ascii="Arial" w:cs="Arial" w:eastAsia="Arial" w:hAnsi="Arial"/>
                <w:sz w:val="14"/>
                <w:szCs w:val="14"/>
                <w:color w:val="auto"/>
              </w:rPr>
              <w:t>1,088.3</w:t>
            </w:r>
          </w:p>
        </w:tc>
        <w:tc>
          <w:tcPr>
            <w:tcW w:w="20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445.6</w:t>
            </w:r>
          </w:p>
        </w:tc>
        <w:tc>
          <w:tcPr>
            <w:tcW w:w="260" w:type="dxa"/>
            <w:vAlign w:val="bottom"/>
            <w:tcBorders>
              <w:bottom w:val="single" w:sz="8" w:color="auto"/>
            </w:tcBorders>
            <w:shd w:val="clear" w:color="auto" w:fill="CFF0FC"/>
          </w:tcPr>
          <w:p>
            <w:pPr>
              <w:jc w:val="right"/>
              <w:ind w:right="8"/>
              <w:spacing w:after="0" w:line="155" w:lineRule="exact"/>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250.5</w:t>
            </w:r>
          </w:p>
        </w:tc>
        <w:tc>
          <w:tcPr>
            <w:tcW w:w="340" w:type="dxa"/>
            <w:vAlign w:val="bottom"/>
            <w:tcBorders>
              <w:bottom w:val="single" w:sz="8" w:color="auto"/>
            </w:tcBorders>
            <w:shd w:val="clear" w:color="auto" w:fill="CFF0FC"/>
          </w:tcPr>
          <w:p>
            <w:pPr>
              <w:jc w:val="right"/>
              <w:ind w:right="8"/>
              <w:spacing w:after="0" w:line="155" w:lineRule="exact"/>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15,666.9</w:t>
            </w:r>
          </w:p>
        </w:tc>
        <w:tc>
          <w:tcPr>
            <w:tcW w:w="12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14,727.6</w:t>
            </w:r>
          </w:p>
        </w:tc>
        <w:tc>
          <w:tcPr>
            <w:tcW w:w="20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1,130.0</w:t>
            </w:r>
          </w:p>
        </w:tc>
        <w:tc>
          <w:tcPr>
            <w:tcW w:w="18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479.0</w:t>
            </w:r>
          </w:p>
        </w:tc>
        <w:tc>
          <w:tcPr>
            <w:tcW w:w="260" w:type="dxa"/>
            <w:vAlign w:val="bottom"/>
            <w:tcBorders>
              <w:bottom w:val="single" w:sz="8" w:color="auto"/>
            </w:tcBorders>
            <w:shd w:val="clear" w:color="auto" w:fill="CFF0FC"/>
          </w:tcPr>
          <w:p>
            <w:pPr>
              <w:jc w:val="right"/>
              <w:ind w:right="8"/>
              <w:spacing w:after="0" w:line="155" w:lineRule="exact"/>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261.4</w:t>
            </w:r>
          </w:p>
        </w:tc>
        <w:tc>
          <w:tcPr>
            <w:tcW w:w="260" w:type="dxa"/>
            <w:vAlign w:val="bottom"/>
            <w:tcBorders>
              <w:bottom w:val="single" w:sz="8" w:color="auto"/>
            </w:tcBorders>
            <w:shd w:val="clear" w:color="auto" w:fill="CFF0FC"/>
          </w:tcPr>
          <w:p>
            <w:pPr>
              <w:jc w:val="right"/>
              <w:ind w:right="8"/>
              <w:spacing w:after="0" w:line="155" w:lineRule="exact"/>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FF0FC"/>
          </w:tcPr>
          <w:p>
            <w:pPr>
              <w:jc w:val="right"/>
              <w:ind w:right="8"/>
              <w:spacing w:after="0" w:line="155" w:lineRule="exact"/>
              <w:rPr>
                <w:sz w:val="20"/>
                <w:szCs w:val="20"/>
                <w:color w:val="auto"/>
              </w:rPr>
            </w:pPr>
            <w:r>
              <w:rPr>
                <w:rFonts w:ascii="Arial" w:cs="Arial" w:eastAsia="Arial" w:hAnsi="Arial"/>
                <w:sz w:val="14"/>
                <w:szCs w:val="14"/>
                <w:color w:val="auto"/>
              </w:rPr>
              <w:t>16,598.0</w:t>
            </w:r>
          </w:p>
        </w:tc>
      </w:tr>
      <w:tr>
        <w:trPr>
          <w:trHeight w:val="20"/>
        </w:trPr>
        <w:tc>
          <w:tcPr>
            <w:tcW w:w="1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In the following table, revenue is disaggregated by timing of revenue recognition for each of our reportable segments: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6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4"/>
          </w:tcPr>
          <w:p>
            <w:pPr>
              <w:jc w:val="right"/>
              <w:ind w:right="268"/>
              <w:spacing w:after="0"/>
              <w:rPr>
                <w:sz w:val="20"/>
                <w:szCs w:val="20"/>
                <w:color w:val="auto"/>
              </w:rPr>
            </w:pPr>
            <w:r>
              <w:rPr>
                <w:rFonts w:ascii="Arial" w:cs="Arial" w:eastAsia="Arial" w:hAnsi="Arial"/>
                <w:sz w:val="14"/>
                <w:szCs w:val="14"/>
                <w:b w:val="1"/>
                <w:bCs w:val="1"/>
                <w:color w:val="auto"/>
                <w:w w:val="95"/>
              </w:rPr>
              <w:t>3 Months Ended September 30,</w:t>
            </w:r>
          </w:p>
        </w:tc>
        <w:tc>
          <w:tcPr>
            <w:tcW w:w="2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r>
      <w:tr>
        <w:trPr>
          <w:trHeight w:val="156"/>
        </w:trPr>
        <w:tc>
          <w:tcPr>
            <w:tcW w:w="36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center"/>
              <w:ind w:right="208"/>
              <w:spacing w:after="0" w:line="155" w:lineRule="exact"/>
              <w:rPr>
                <w:sz w:val="20"/>
                <w:szCs w:val="20"/>
                <w:color w:val="auto"/>
              </w:rPr>
            </w:pPr>
            <w:r>
              <w:rPr>
                <w:rFonts w:ascii="Arial" w:cs="Arial" w:eastAsia="Arial" w:hAnsi="Arial"/>
                <w:sz w:val="14"/>
                <w:szCs w:val="14"/>
                <w:b w:val="1"/>
                <w:bCs w:val="1"/>
                <w:color w:val="auto"/>
                <w:w w:val="89"/>
              </w:rPr>
              <w:t>2019</w:t>
            </w:r>
          </w:p>
        </w:tc>
        <w:tc>
          <w:tcPr>
            <w:tcW w:w="2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center"/>
              <w:ind w:right="168"/>
              <w:spacing w:after="0" w:line="155" w:lineRule="exact"/>
              <w:rPr>
                <w:sz w:val="20"/>
                <w:szCs w:val="20"/>
                <w:color w:val="auto"/>
              </w:rPr>
            </w:pPr>
            <w:r>
              <w:rPr>
                <w:rFonts w:ascii="Arial" w:cs="Arial" w:eastAsia="Arial" w:hAnsi="Arial"/>
                <w:sz w:val="14"/>
                <w:szCs w:val="14"/>
                <w:b w:val="1"/>
                <w:bCs w:val="1"/>
                <w:color w:val="auto"/>
                <w:w w:val="96"/>
              </w:rPr>
              <w:t>2018</w:t>
            </w:r>
          </w:p>
        </w:tc>
        <w:tc>
          <w:tcPr>
            <w:tcW w:w="3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r>
      <w:tr>
        <w:trPr>
          <w:trHeight w:val="137"/>
        </w:trPr>
        <w:tc>
          <w:tcPr>
            <w:tcW w:w="3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40" w:type="dxa"/>
            <w:vAlign w:val="bottom"/>
          </w:tcPr>
          <w:p>
            <w:pPr>
              <w:jc w:val="center"/>
              <w:ind w:right="208"/>
              <w:spacing w:after="0" w:line="137" w:lineRule="exact"/>
              <w:rPr>
                <w:sz w:val="20"/>
                <w:szCs w:val="20"/>
                <w:color w:val="auto"/>
              </w:rPr>
            </w:pPr>
            <w:r>
              <w:rPr>
                <w:rFonts w:ascii="Arial" w:cs="Arial" w:eastAsia="Arial" w:hAnsi="Arial"/>
                <w:sz w:val="14"/>
                <w:szCs w:val="14"/>
                <w:color w:val="auto"/>
                <w:w w:val="89"/>
              </w:rPr>
              <w:t>Services</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60" w:type="dxa"/>
            <w:vAlign w:val="bottom"/>
          </w:tcPr>
          <w:p>
            <w:pPr>
              <w:jc w:val="center"/>
              <w:ind w:right="188"/>
              <w:spacing w:after="0" w:line="137" w:lineRule="exact"/>
              <w:rPr>
                <w:sz w:val="20"/>
                <w:szCs w:val="20"/>
                <w:color w:val="auto"/>
              </w:rPr>
            </w:pPr>
            <w:r>
              <w:rPr>
                <w:rFonts w:ascii="Arial" w:cs="Arial" w:eastAsia="Arial" w:hAnsi="Arial"/>
                <w:sz w:val="14"/>
                <w:szCs w:val="14"/>
                <w:color w:val="auto"/>
                <w:w w:val="89"/>
              </w:rPr>
              <w:t>Services</w:t>
            </w:r>
          </w:p>
        </w:tc>
        <w:tc>
          <w:tcPr>
            <w:tcW w:w="360" w:type="dxa"/>
            <w:vAlign w:val="bottom"/>
          </w:tcPr>
          <w:p>
            <w:pPr>
              <w:spacing w:after="0"/>
              <w:rPr>
                <w:sz w:val="11"/>
                <w:szCs w:val="11"/>
                <w:color w:val="auto"/>
              </w:rPr>
            </w:pPr>
          </w:p>
        </w:tc>
        <w:tc>
          <w:tcPr>
            <w:tcW w:w="980" w:type="dxa"/>
            <w:vAlign w:val="bottom"/>
          </w:tcPr>
          <w:p>
            <w:pPr>
              <w:spacing w:after="0"/>
              <w:rPr>
                <w:sz w:val="11"/>
                <w:szCs w:val="11"/>
                <w:color w:val="auto"/>
              </w:rPr>
            </w:pPr>
          </w:p>
        </w:tc>
      </w:tr>
      <w:tr>
        <w:trPr>
          <w:trHeight w:val="149"/>
        </w:trPr>
        <w:tc>
          <w:tcPr>
            <w:tcW w:w="3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jc w:val="center"/>
              <w:ind w:right="188"/>
              <w:spacing w:after="0" w:line="149" w:lineRule="exact"/>
              <w:rPr>
                <w:sz w:val="20"/>
                <w:szCs w:val="20"/>
                <w:color w:val="auto"/>
              </w:rPr>
            </w:pPr>
            <w:r>
              <w:rPr>
                <w:rFonts w:ascii="Arial" w:cs="Arial" w:eastAsia="Arial" w:hAnsi="Arial"/>
                <w:sz w:val="14"/>
                <w:szCs w:val="14"/>
                <w:color w:val="auto"/>
                <w:w w:val="93"/>
              </w:rPr>
              <w:t>Services</w:t>
            </w:r>
          </w:p>
        </w:tc>
        <w:tc>
          <w:tcPr>
            <w:tcW w:w="280" w:type="dxa"/>
            <w:vAlign w:val="bottom"/>
          </w:tcPr>
          <w:p>
            <w:pPr>
              <w:spacing w:after="0"/>
              <w:rPr>
                <w:sz w:val="12"/>
                <w:szCs w:val="12"/>
                <w:color w:val="auto"/>
              </w:rPr>
            </w:pPr>
          </w:p>
        </w:tc>
        <w:tc>
          <w:tcPr>
            <w:tcW w:w="1040" w:type="dxa"/>
            <w:vAlign w:val="bottom"/>
          </w:tcPr>
          <w:p>
            <w:pPr>
              <w:jc w:val="center"/>
              <w:ind w:right="228"/>
              <w:spacing w:after="0" w:line="149" w:lineRule="exact"/>
              <w:rPr>
                <w:sz w:val="20"/>
                <w:szCs w:val="20"/>
                <w:color w:val="auto"/>
              </w:rPr>
            </w:pPr>
            <w:r>
              <w:rPr>
                <w:rFonts w:ascii="Arial" w:cs="Arial" w:eastAsia="Arial" w:hAnsi="Arial"/>
                <w:sz w:val="14"/>
                <w:szCs w:val="14"/>
                <w:color w:val="auto"/>
                <w:w w:val="91"/>
              </w:rPr>
              <w:t>transferred</w:t>
            </w:r>
          </w:p>
        </w:tc>
        <w:tc>
          <w:tcPr>
            <w:tcW w:w="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jc w:val="center"/>
              <w:ind w:right="208"/>
              <w:spacing w:after="0" w:line="149" w:lineRule="exact"/>
              <w:rPr>
                <w:sz w:val="20"/>
                <w:szCs w:val="20"/>
                <w:color w:val="auto"/>
              </w:rPr>
            </w:pPr>
            <w:r>
              <w:rPr>
                <w:rFonts w:ascii="Arial" w:cs="Arial" w:eastAsia="Arial" w:hAnsi="Arial"/>
                <w:sz w:val="14"/>
                <w:szCs w:val="14"/>
                <w:color w:val="auto"/>
                <w:w w:val="89"/>
              </w:rPr>
              <w:t>Services</w:t>
            </w:r>
          </w:p>
        </w:tc>
        <w:tc>
          <w:tcPr>
            <w:tcW w:w="260" w:type="dxa"/>
            <w:vAlign w:val="bottom"/>
          </w:tcPr>
          <w:p>
            <w:pPr>
              <w:spacing w:after="0"/>
              <w:rPr>
                <w:sz w:val="12"/>
                <w:szCs w:val="12"/>
                <w:color w:val="auto"/>
              </w:rPr>
            </w:pPr>
          </w:p>
        </w:tc>
        <w:tc>
          <w:tcPr>
            <w:tcW w:w="1060" w:type="dxa"/>
            <w:vAlign w:val="bottom"/>
          </w:tcPr>
          <w:p>
            <w:pPr>
              <w:jc w:val="center"/>
              <w:ind w:right="208"/>
              <w:spacing w:after="0" w:line="149" w:lineRule="exact"/>
              <w:rPr>
                <w:sz w:val="20"/>
                <w:szCs w:val="20"/>
                <w:color w:val="auto"/>
              </w:rPr>
            </w:pPr>
            <w:r>
              <w:rPr>
                <w:rFonts w:ascii="Arial" w:cs="Arial" w:eastAsia="Arial" w:hAnsi="Arial"/>
                <w:sz w:val="14"/>
                <w:szCs w:val="14"/>
                <w:color w:val="auto"/>
                <w:w w:val="91"/>
              </w:rPr>
              <w:t>transferred</w:t>
            </w:r>
          </w:p>
        </w:tc>
        <w:tc>
          <w:tcPr>
            <w:tcW w:w="360" w:type="dxa"/>
            <w:vAlign w:val="bottom"/>
          </w:tcPr>
          <w:p>
            <w:pPr>
              <w:spacing w:after="0"/>
              <w:rPr>
                <w:sz w:val="12"/>
                <w:szCs w:val="12"/>
                <w:color w:val="auto"/>
              </w:rPr>
            </w:pPr>
          </w:p>
        </w:tc>
        <w:tc>
          <w:tcPr>
            <w:tcW w:w="980" w:type="dxa"/>
            <w:vAlign w:val="bottom"/>
          </w:tcPr>
          <w:p>
            <w:pPr>
              <w:spacing w:after="0"/>
              <w:rPr>
                <w:sz w:val="12"/>
                <w:szCs w:val="12"/>
                <w:color w:val="auto"/>
              </w:rPr>
            </w:pPr>
          </w:p>
        </w:tc>
      </w:tr>
      <w:tr>
        <w:trPr>
          <w:trHeight w:val="149"/>
        </w:trPr>
        <w:tc>
          <w:tcPr>
            <w:tcW w:w="3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jc w:val="center"/>
              <w:ind w:right="188"/>
              <w:spacing w:after="0" w:line="149" w:lineRule="exact"/>
              <w:rPr>
                <w:sz w:val="20"/>
                <w:szCs w:val="20"/>
                <w:color w:val="auto"/>
              </w:rPr>
            </w:pPr>
            <w:r>
              <w:rPr>
                <w:rFonts w:ascii="Arial" w:cs="Arial" w:eastAsia="Arial" w:hAnsi="Arial"/>
                <w:sz w:val="14"/>
                <w:szCs w:val="14"/>
                <w:color w:val="auto"/>
                <w:w w:val="91"/>
              </w:rPr>
              <w:t>transferred</w:t>
            </w:r>
          </w:p>
        </w:tc>
        <w:tc>
          <w:tcPr>
            <w:tcW w:w="280" w:type="dxa"/>
            <w:vAlign w:val="bottom"/>
          </w:tcPr>
          <w:p>
            <w:pPr>
              <w:spacing w:after="0"/>
              <w:rPr>
                <w:sz w:val="12"/>
                <w:szCs w:val="12"/>
                <w:color w:val="auto"/>
              </w:rPr>
            </w:pPr>
          </w:p>
        </w:tc>
        <w:tc>
          <w:tcPr>
            <w:tcW w:w="1040" w:type="dxa"/>
            <w:vAlign w:val="bottom"/>
          </w:tcPr>
          <w:p>
            <w:pPr>
              <w:jc w:val="center"/>
              <w:ind w:right="228"/>
              <w:spacing w:after="0" w:line="149" w:lineRule="exact"/>
              <w:rPr>
                <w:sz w:val="20"/>
                <w:szCs w:val="20"/>
                <w:color w:val="auto"/>
              </w:rPr>
            </w:pPr>
            <w:r>
              <w:rPr>
                <w:rFonts w:ascii="Arial" w:cs="Arial" w:eastAsia="Arial" w:hAnsi="Arial"/>
                <w:sz w:val="14"/>
                <w:szCs w:val="14"/>
                <w:color w:val="auto"/>
                <w:w w:val="93"/>
              </w:rPr>
              <w:t>at a point</w:t>
            </w:r>
          </w:p>
        </w:tc>
        <w:tc>
          <w:tcPr>
            <w:tcW w:w="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jc w:val="center"/>
              <w:ind w:right="228"/>
              <w:spacing w:after="0" w:line="149" w:lineRule="exact"/>
              <w:rPr>
                <w:sz w:val="20"/>
                <w:szCs w:val="20"/>
                <w:color w:val="auto"/>
              </w:rPr>
            </w:pPr>
            <w:r>
              <w:rPr>
                <w:rFonts w:ascii="Arial" w:cs="Arial" w:eastAsia="Arial" w:hAnsi="Arial"/>
                <w:sz w:val="14"/>
                <w:szCs w:val="14"/>
                <w:color w:val="auto"/>
                <w:w w:val="91"/>
              </w:rPr>
              <w:t>transferred</w:t>
            </w:r>
          </w:p>
        </w:tc>
        <w:tc>
          <w:tcPr>
            <w:tcW w:w="260" w:type="dxa"/>
            <w:vAlign w:val="bottom"/>
          </w:tcPr>
          <w:p>
            <w:pPr>
              <w:spacing w:after="0"/>
              <w:rPr>
                <w:sz w:val="12"/>
                <w:szCs w:val="12"/>
                <w:color w:val="auto"/>
              </w:rPr>
            </w:pPr>
          </w:p>
        </w:tc>
        <w:tc>
          <w:tcPr>
            <w:tcW w:w="1060" w:type="dxa"/>
            <w:vAlign w:val="bottom"/>
          </w:tcPr>
          <w:p>
            <w:pPr>
              <w:jc w:val="center"/>
              <w:ind w:right="208"/>
              <w:spacing w:after="0" w:line="149" w:lineRule="exact"/>
              <w:rPr>
                <w:sz w:val="20"/>
                <w:szCs w:val="20"/>
                <w:color w:val="auto"/>
              </w:rPr>
            </w:pPr>
            <w:r>
              <w:rPr>
                <w:rFonts w:ascii="Arial" w:cs="Arial" w:eastAsia="Arial" w:hAnsi="Arial"/>
                <w:sz w:val="14"/>
                <w:szCs w:val="14"/>
                <w:color w:val="auto"/>
                <w:w w:val="93"/>
              </w:rPr>
              <w:t>at a point</w:t>
            </w:r>
          </w:p>
        </w:tc>
        <w:tc>
          <w:tcPr>
            <w:tcW w:w="360" w:type="dxa"/>
            <w:vAlign w:val="bottom"/>
          </w:tcPr>
          <w:p>
            <w:pPr>
              <w:spacing w:after="0"/>
              <w:rPr>
                <w:sz w:val="12"/>
                <w:szCs w:val="12"/>
                <w:color w:val="auto"/>
              </w:rPr>
            </w:pPr>
          </w:p>
        </w:tc>
        <w:tc>
          <w:tcPr>
            <w:tcW w:w="980" w:type="dxa"/>
            <w:vAlign w:val="bottom"/>
          </w:tcPr>
          <w:p>
            <w:pPr>
              <w:spacing w:after="0"/>
              <w:rPr>
                <w:sz w:val="12"/>
                <w:szCs w:val="12"/>
                <w:color w:val="auto"/>
              </w:rPr>
            </w:pPr>
          </w:p>
        </w:tc>
      </w:tr>
      <w:tr>
        <w:trPr>
          <w:trHeight w:val="167"/>
        </w:trPr>
        <w:tc>
          <w:tcPr>
            <w:tcW w:w="3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jc w:val="center"/>
              <w:ind w:right="188"/>
              <w:spacing w:after="0"/>
              <w:rPr>
                <w:sz w:val="20"/>
                <w:szCs w:val="20"/>
                <w:color w:val="auto"/>
              </w:rPr>
            </w:pPr>
            <w:r>
              <w:rPr>
                <w:rFonts w:ascii="Arial" w:cs="Arial" w:eastAsia="Arial" w:hAnsi="Arial"/>
                <w:sz w:val="14"/>
                <w:szCs w:val="14"/>
                <w:color w:val="auto"/>
                <w:w w:val="93"/>
              </w:rPr>
              <w:t>over time</w:t>
            </w:r>
          </w:p>
        </w:tc>
        <w:tc>
          <w:tcPr>
            <w:tcW w:w="280" w:type="dxa"/>
            <w:vAlign w:val="bottom"/>
          </w:tcPr>
          <w:p>
            <w:pPr>
              <w:spacing w:after="0"/>
              <w:rPr>
                <w:sz w:val="14"/>
                <w:szCs w:val="14"/>
                <w:color w:val="auto"/>
              </w:rPr>
            </w:pPr>
          </w:p>
        </w:tc>
        <w:tc>
          <w:tcPr>
            <w:tcW w:w="1040" w:type="dxa"/>
            <w:vAlign w:val="bottom"/>
          </w:tcPr>
          <w:p>
            <w:pPr>
              <w:jc w:val="center"/>
              <w:ind w:right="208"/>
              <w:spacing w:after="0"/>
              <w:rPr>
                <w:sz w:val="20"/>
                <w:szCs w:val="20"/>
                <w:color w:val="auto"/>
              </w:rPr>
            </w:pPr>
            <w:r>
              <w:rPr>
                <w:rFonts w:ascii="Arial" w:cs="Arial" w:eastAsia="Arial" w:hAnsi="Arial"/>
                <w:sz w:val="14"/>
                <w:szCs w:val="14"/>
                <w:color w:val="auto"/>
                <w:w w:val="96"/>
              </w:rPr>
              <w:t>in time</w:t>
            </w:r>
          </w:p>
        </w:tc>
        <w:tc>
          <w:tcPr>
            <w:tcW w:w="280" w:type="dxa"/>
            <w:vAlign w:val="bottom"/>
          </w:tcPr>
          <w:p>
            <w:pPr>
              <w:spacing w:after="0"/>
              <w:rPr>
                <w:sz w:val="14"/>
                <w:szCs w:val="14"/>
                <w:color w:val="auto"/>
              </w:rPr>
            </w:pPr>
          </w:p>
        </w:tc>
        <w:tc>
          <w:tcPr>
            <w:tcW w:w="1160" w:type="dxa"/>
            <w:vAlign w:val="bottom"/>
            <w:gridSpan w:val="2"/>
          </w:tcPr>
          <w:p>
            <w:pPr>
              <w:ind w:left="220"/>
              <w:spacing w:after="0"/>
              <w:rPr>
                <w:sz w:val="20"/>
                <w:szCs w:val="20"/>
                <w:color w:val="auto"/>
              </w:rPr>
            </w:pPr>
            <w:r>
              <w:rPr>
                <w:rFonts w:ascii="Arial" w:cs="Arial" w:eastAsia="Arial" w:hAnsi="Arial"/>
                <w:sz w:val="14"/>
                <w:szCs w:val="14"/>
                <w:color w:val="auto"/>
              </w:rPr>
              <w:t>Total</w:t>
            </w:r>
          </w:p>
        </w:tc>
        <w:tc>
          <w:tcPr>
            <w:tcW w:w="140" w:type="dxa"/>
            <w:vAlign w:val="bottom"/>
          </w:tcPr>
          <w:p>
            <w:pPr>
              <w:spacing w:after="0"/>
              <w:rPr>
                <w:sz w:val="14"/>
                <w:szCs w:val="14"/>
                <w:color w:val="auto"/>
              </w:rPr>
            </w:pPr>
          </w:p>
        </w:tc>
        <w:tc>
          <w:tcPr>
            <w:tcW w:w="1040" w:type="dxa"/>
            <w:vAlign w:val="bottom"/>
          </w:tcPr>
          <w:p>
            <w:pPr>
              <w:jc w:val="center"/>
              <w:ind w:right="208"/>
              <w:spacing w:after="0"/>
              <w:rPr>
                <w:sz w:val="20"/>
                <w:szCs w:val="20"/>
                <w:color w:val="auto"/>
              </w:rPr>
            </w:pPr>
            <w:r>
              <w:rPr>
                <w:rFonts w:ascii="Arial" w:cs="Arial" w:eastAsia="Arial" w:hAnsi="Arial"/>
                <w:sz w:val="14"/>
                <w:szCs w:val="14"/>
                <w:color w:val="auto"/>
                <w:w w:val="97"/>
              </w:rPr>
              <w:t>over time</w:t>
            </w:r>
          </w:p>
        </w:tc>
        <w:tc>
          <w:tcPr>
            <w:tcW w:w="260" w:type="dxa"/>
            <w:vAlign w:val="bottom"/>
          </w:tcPr>
          <w:p>
            <w:pPr>
              <w:spacing w:after="0"/>
              <w:rPr>
                <w:sz w:val="14"/>
                <w:szCs w:val="14"/>
                <w:color w:val="auto"/>
              </w:rPr>
            </w:pPr>
          </w:p>
        </w:tc>
        <w:tc>
          <w:tcPr>
            <w:tcW w:w="1060" w:type="dxa"/>
            <w:vAlign w:val="bottom"/>
          </w:tcPr>
          <w:p>
            <w:pPr>
              <w:jc w:val="center"/>
              <w:ind w:right="188"/>
              <w:spacing w:after="0"/>
              <w:rPr>
                <w:sz w:val="20"/>
                <w:szCs w:val="20"/>
                <w:color w:val="auto"/>
              </w:rPr>
            </w:pPr>
            <w:r>
              <w:rPr>
                <w:rFonts w:ascii="Arial" w:cs="Arial" w:eastAsia="Arial" w:hAnsi="Arial"/>
                <w:sz w:val="14"/>
                <w:szCs w:val="14"/>
                <w:color w:val="auto"/>
                <w:w w:val="96"/>
              </w:rPr>
              <w:t>in time</w:t>
            </w:r>
          </w:p>
        </w:tc>
        <w:tc>
          <w:tcPr>
            <w:tcW w:w="360" w:type="dxa"/>
            <w:vAlign w:val="bottom"/>
          </w:tcPr>
          <w:p>
            <w:pPr>
              <w:spacing w:after="0"/>
              <w:rPr>
                <w:sz w:val="14"/>
                <w:szCs w:val="14"/>
                <w:color w:val="auto"/>
              </w:rPr>
            </w:pPr>
          </w:p>
        </w:tc>
        <w:tc>
          <w:tcPr>
            <w:tcW w:w="980" w:type="dxa"/>
            <w:vAlign w:val="bottom"/>
          </w:tcPr>
          <w:p>
            <w:pPr>
              <w:jc w:val="right"/>
              <w:ind w:right="448"/>
              <w:spacing w:after="0"/>
              <w:rPr>
                <w:sz w:val="20"/>
                <w:szCs w:val="20"/>
                <w:color w:val="auto"/>
              </w:rPr>
            </w:pPr>
            <w:r>
              <w:rPr>
                <w:rFonts w:ascii="Arial" w:cs="Arial" w:eastAsia="Arial" w:hAnsi="Arial"/>
                <w:sz w:val="14"/>
                <w:szCs w:val="14"/>
                <w:color w:val="auto"/>
              </w:rPr>
              <w:t>Total</w:t>
            </w:r>
          </w:p>
        </w:tc>
      </w:tr>
      <w:tr>
        <w:trPr>
          <w:trHeight w:val="156"/>
        </w:trPr>
        <w:tc>
          <w:tcPr>
            <w:tcW w:w="364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Americas:</w:t>
            </w:r>
          </w:p>
        </w:tc>
        <w:tc>
          <w:tcPr>
            <w:tcW w:w="140" w:type="dxa"/>
            <w:vAlign w:val="bottom"/>
            <w:tcBorders>
              <w:top w:val="single" w:sz="8" w:color="auto"/>
            </w:tcBorders>
            <w:shd w:val="clear" w:color="auto" w:fill="CFF0FC"/>
          </w:tcPr>
          <w:p>
            <w:pPr>
              <w:spacing w:after="0"/>
              <w:rPr>
                <w:sz w:val="13"/>
                <w:szCs w:val="13"/>
                <w:color w:val="auto"/>
              </w:rPr>
            </w:pPr>
          </w:p>
        </w:tc>
        <w:tc>
          <w:tcPr>
            <w:tcW w:w="1040" w:type="dxa"/>
            <w:vAlign w:val="bottom"/>
            <w:tcBorders>
              <w:top w:val="single" w:sz="8" w:color="auto"/>
            </w:tcBorders>
            <w:shd w:val="clear" w:color="auto" w:fill="CFF0FC"/>
          </w:tcPr>
          <w:p>
            <w:pPr>
              <w:spacing w:after="0"/>
              <w:rPr>
                <w:sz w:val="13"/>
                <w:szCs w:val="13"/>
                <w:color w:val="auto"/>
              </w:rPr>
            </w:pPr>
          </w:p>
        </w:tc>
        <w:tc>
          <w:tcPr>
            <w:tcW w:w="280" w:type="dxa"/>
            <w:vAlign w:val="bottom"/>
            <w:tcBorders>
              <w:top w:val="single" w:sz="8" w:color="auto"/>
            </w:tcBorders>
            <w:shd w:val="clear" w:color="auto" w:fill="CFF0FC"/>
          </w:tcPr>
          <w:p>
            <w:pPr>
              <w:spacing w:after="0"/>
              <w:rPr>
                <w:sz w:val="13"/>
                <w:szCs w:val="13"/>
                <w:color w:val="auto"/>
              </w:rPr>
            </w:pPr>
          </w:p>
        </w:tc>
        <w:tc>
          <w:tcPr>
            <w:tcW w:w="1040" w:type="dxa"/>
            <w:vAlign w:val="bottom"/>
            <w:tcBorders>
              <w:top w:val="single" w:sz="8" w:color="auto"/>
            </w:tcBorders>
            <w:shd w:val="clear" w:color="auto" w:fill="CFF0FC"/>
          </w:tcPr>
          <w:p>
            <w:pPr>
              <w:spacing w:after="0"/>
              <w:rPr>
                <w:sz w:val="13"/>
                <w:szCs w:val="13"/>
                <w:color w:val="auto"/>
              </w:rPr>
            </w:pPr>
          </w:p>
        </w:tc>
        <w:tc>
          <w:tcPr>
            <w:tcW w:w="280" w:type="dxa"/>
            <w:vAlign w:val="bottom"/>
            <w:tcBorders>
              <w:top w:val="single" w:sz="8" w:color="auto"/>
            </w:tcBorders>
            <w:shd w:val="clear" w:color="auto" w:fill="CFF0FC"/>
          </w:tcPr>
          <w:p>
            <w:pPr>
              <w:spacing w:after="0"/>
              <w:rPr>
                <w:sz w:val="13"/>
                <w:szCs w:val="13"/>
                <w:color w:val="auto"/>
              </w:rPr>
            </w:pPr>
          </w:p>
        </w:tc>
        <w:tc>
          <w:tcPr>
            <w:tcW w:w="1020" w:type="dxa"/>
            <w:vAlign w:val="bottom"/>
            <w:tcBorders>
              <w:top w:val="single" w:sz="8" w:color="auto"/>
            </w:tcBorders>
            <w:shd w:val="clear" w:color="auto" w:fill="CFF0FC"/>
          </w:tcPr>
          <w:p>
            <w:pPr>
              <w:spacing w:after="0"/>
              <w:rPr>
                <w:sz w:val="13"/>
                <w:szCs w:val="13"/>
                <w:color w:val="auto"/>
              </w:rPr>
            </w:pPr>
          </w:p>
        </w:tc>
        <w:tc>
          <w:tcPr>
            <w:tcW w:w="14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1040" w:type="dxa"/>
            <w:vAlign w:val="bottom"/>
            <w:tcBorders>
              <w:top w:val="single" w:sz="8" w:color="auto"/>
            </w:tcBorders>
            <w:shd w:val="clear" w:color="auto" w:fill="CFF0FC"/>
          </w:tcPr>
          <w:p>
            <w:pPr>
              <w:spacing w:after="0"/>
              <w:rPr>
                <w:sz w:val="13"/>
                <w:szCs w:val="13"/>
                <w:color w:val="auto"/>
              </w:rPr>
            </w:pPr>
          </w:p>
        </w:tc>
        <w:tc>
          <w:tcPr>
            <w:tcW w:w="260" w:type="dxa"/>
            <w:vAlign w:val="bottom"/>
            <w:tcBorders>
              <w:top w:val="single" w:sz="8" w:color="auto"/>
            </w:tcBorders>
            <w:shd w:val="clear" w:color="auto" w:fill="CFF0FC"/>
          </w:tcPr>
          <w:p>
            <w:pPr>
              <w:spacing w:after="0"/>
              <w:rPr>
                <w:sz w:val="13"/>
                <w:szCs w:val="13"/>
                <w:color w:val="auto"/>
              </w:rPr>
            </w:pPr>
          </w:p>
        </w:tc>
        <w:tc>
          <w:tcPr>
            <w:tcW w:w="1060" w:type="dxa"/>
            <w:vAlign w:val="bottom"/>
            <w:tcBorders>
              <w:top w:val="single" w:sz="8" w:color="auto"/>
            </w:tcBorders>
            <w:shd w:val="clear" w:color="auto" w:fill="CFF0FC"/>
          </w:tcPr>
          <w:p>
            <w:pPr>
              <w:spacing w:after="0"/>
              <w:rPr>
                <w:sz w:val="13"/>
                <w:szCs w:val="13"/>
                <w:color w:val="auto"/>
              </w:rPr>
            </w:pPr>
          </w:p>
        </w:tc>
        <w:tc>
          <w:tcPr>
            <w:tcW w:w="360" w:type="dxa"/>
            <w:vAlign w:val="bottom"/>
            <w:tcBorders>
              <w:top w:val="single" w:sz="8" w:color="auto"/>
            </w:tcBorders>
            <w:shd w:val="clear" w:color="auto" w:fill="CFF0FC"/>
          </w:tcPr>
          <w:p>
            <w:pPr>
              <w:spacing w:after="0"/>
              <w:rPr>
                <w:sz w:val="13"/>
                <w:szCs w:val="13"/>
                <w:color w:val="auto"/>
              </w:rPr>
            </w:pPr>
          </w:p>
        </w:tc>
        <w:tc>
          <w:tcPr>
            <w:tcW w:w="980" w:type="dxa"/>
            <w:vAlign w:val="bottom"/>
            <w:tcBorders>
              <w:top w:val="single" w:sz="8" w:color="auto"/>
            </w:tcBorders>
            <w:shd w:val="clear" w:color="auto" w:fill="CFF0FC"/>
          </w:tcPr>
          <w:p>
            <w:pPr>
              <w:spacing w:after="0"/>
              <w:rPr>
                <w:sz w:val="13"/>
                <w:szCs w:val="13"/>
                <w:color w:val="auto"/>
              </w:rPr>
            </w:pPr>
          </w:p>
        </w:tc>
      </w:tr>
      <w:tr>
        <w:trPr>
          <w:trHeight w:val="162"/>
        </w:trPr>
        <w:tc>
          <w:tcPr>
            <w:tcW w:w="3640" w:type="dxa"/>
            <w:vAlign w:val="bottom"/>
          </w:tcPr>
          <w:p>
            <w:pPr>
              <w:ind w:left="260"/>
              <w:spacing w:after="0"/>
              <w:rPr>
                <w:sz w:val="20"/>
                <w:szCs w:val="20"/>
                <w:color w:val="auto"/>
              </w:rPr>
            </w:pPr>
            <w:r>
              <w:rPr>
                <w:rFonts w:ascii="Arial" w:cs="Arial" w:eastAsia="Arial" w:hAnsi="Arial"/>
                <w:sz w:val="14"/>
                <w:szCs w:val="14"/>
                <w:color w:val="auto"/>
              </w:rPr>
              <w:t>United States</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632.1</w:t>
            </w:r>
          </w:p>
        </w:tc>
        <w:tc>
          <w:tcPr>
            <w:tcW w:w="2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13.6</w:t>
            </w:r>
          </w:p>
        </w:tc>
        <w:tc>
          <w:tcPr>
            <w:tcW w:w="2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645.7</w:t>
            </w:r>
          </w:p>
        </w:tc>
        <w:tc>
          <w:tcPr>
            <w:tcW w:w="140" w:type="dxa"/>
            <w:vAlign w:val="bottom"/>
          </w:tcPr>
          <w:p>
            <w:pPr>
              <w:spacing w:after="0"/>
              <w:rPr>
                <w:sz w:val="14"/>
                <w:szCs w:val="14"/>
                <w:color w:val="auto"/>
              </w:rPr>
            </w:pP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620.4</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12.8</w:t>
            </w:r>
          </w:p>
        </w:tc>
        <w:tc>
          <w:tcPr>
            <w:tcW w:w="3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633.2</w:t>
            </w:r>
          </w:p>
        </w:tc>
      </w:tr>
      <w:tr>
        <w:trPr>
          <w:trHeight w:val="162"/>
        </w:trPr>
        <w:tc>
          <w:tcPr>
            <w:tcW w:w="3640" w:type="dxa"/>
            <w:vAlign w:val="bottom"/>
            <w:shd w:val="clear" w:color="auto" w:fill="CFF0FC"/>
          </w:tcPr>
          <w:p>
            <w:pPr>
              <w:ind w:left="260"/>
              <w:spacing w:after="0"/>
              <w:rPr>
                <w:sz w:val="20"/>
                <w:szCs w:val="20"/>
                <w:color w:val="auto"/>
              </w:rPr>
            </w:pPr>
            <w:r>
              <w:rPr>
                <w:rFonts w:ascii="Arial" w:cs="Arial" w:eastAsia="Arial" w:hAnsi="Arial"/>
                <w:sz w:val="14"/>
                <w:szCs w:val="14"/>
                <w:color w:val="auto"/>
              </w:rPr>
              <w:t>Other Americas</w:t>
            </w:r>
          </w:p>
        </w:tc>
        <w:tc>
          <w:tcPr>
            <w:tcW w:w="140" w:type="dxa"/>
            <w:vAlign w:val="bottom"/>
            <w:tcBorders>
              <w:bottom w:val="single" w:sz="8" w:color="auto"/>
            </w:tcBorders>
            <w:shd w:val="clear" w:color="auto" w:fill="CFF0FC"/>
          </w:tcPr>
          <w:p>
            <w:pPr>
              <w:spacing w:after="0"/>
              <w:rPr>
                <w:sz w:val="14"/>
                <w:szCs w:val="14"/>
                <w:color w:val="auto"/>
              </w:rPr>
            </w:pPr>
          </w:p>
        </w:tc>
        <w:tc>
          <w:tcPr>
            <w:tcW w:w="104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420.4</w:t>
            </w:r>
          </w:p>
        </w:tc>
        <w:tc>
          <w:tcPr>
            <w:tcW w:w="280" w:type="dxa"/>
            <w:vAlign w:val="bottom"/>
            <w:tcBorders>
              <w:bottom w:val="single" w:sz="8" w:color="auto"/>
            </w:tcBorders>
            <w:shd w:val="clear" w:color="auto" w:fill="CFF0FC"/>
          </w:tcPr>
          <w:p>
            <w:pPr>
              <w:spacing w:after="0"/>
              <w:rPr>
                <w:sz w:val="14"/>
                <w:szCs w:val="14"/>
                <w:color w:val="auto"/>
              </w:rPr>
            </w:pPr>
          </w:p>
        </w:tc>
        <w:tc>
          <w:tcPr>
            <w:tcW w:w="104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4.6</w:t>
            </w:r>
          </w:p>
        </w:tc>
        <w:tc>
          <w:tcPr>
            <w:tcW w:w="280" w:type="dxa"/>
            <w:vAlign w:val="bottom"/>
            <w:tcBorders>
              <w:bottom w:val="single" w:sz="8" w:color="auto"/>
            </w:tcBorders>
            <w:shd w:val="clear" w:color="auto" w:fill="CFF0FC"/>
          </w:tcPr>
          <w:p>
            <w:pPr>
              <w:spacing w:after="0"/>
              <w:rPr>
                <w:sz w:val="14"/>
                <w:szCs w:val="14"/>
                <w:color w:val="auto"/>
              </w:rPr>
            </w:pPr>
          </w:p>
        </w:tc>
        <w:tc>
          <w:tcPr>
            <w:tcW w:w="102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425.0</w:t>
            </w:r>
          </w:p>
        </w:tc>
        <w:tc>
          <w:tcPr>
            <w:tcW w:w="140" w:type="dxa"/>
            <w:vAlign w:val="bottom"/>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104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402.2</w:t>
            </w:r>
          </w:p>
        </w:tc>
        <w:tc>
          <w:tcPr>
            <w:tcW w:w="260" w:type="dxa"/>
            <w:vAlign w:val="bottom"/>
            <w:tcBorders>
              <w:bottom w:val="single" w:sz="8" w:color="auto"/>
            </w:tcBorders>
            <w:shd w:val="clear" w:color="auto" w:fill="CFF0FC"/>
          </w:tcPr>
          <w:p>
            <w:pPr>
              <w:spacing w:after="0"/>
              <w:rPr>
                <w:sz w:val="14"/>
                <w:szCs w:val="14"/>
                <w:color w:val="auto"/>
              </w:rPr>
            </w:pPr>
          </w:p>
        </w:tc>
        <w:tc>
          <w:tcPr>
            <w:tcW w:w="106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4.6</w:t>
            </w:r>
          </w:p>
        </w:tc>
        <w:tc>
          <w:tcPr>
            <w:tcW w:w="360" w:type="dxa"/>
            <w:vAlign w:val="bottom"/>
            <w:tcBorders>
              <w:bottom w:val="single" w:sz="8" w:color="auto"/>
            </w:tcBorders>
            <w:shd w:val="clear" w:color="auto" w:fill="CFF0FC"/>
          </w:tcPr>
          <w:p>
            <w:pPr>
              <w:spacing w:after="0"/>
              <w:rPr>
                <w:sz w:val="14"/>
                <w:szCs w:val="14"/>
                <w:color w:val="auto"/>
              </w:rPr>
            </w:pPr>
          </w:p>
        </w:tc>
        <w:tc>
          <w:tcPr>
            <w:tcW w:w="98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406.8</w:t>
            </w:r>
          </w:p>
        </w:tc>
      </w:tr>
      <w:tr>
        <w:trPr>
          <w:trHeight w:val="156"/>
        </w:trPr>
        <w:tc>
          <w:tcPr>
            <w:tcW w:w="364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1,052.5</w:t>
            </w:r>
          </w:p>
        </w:tc>
        <w:tc>
          <w:tcPr>
            <w:tcW w:w="2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rPr>
              <w:t>18.2</w:t>
            </w:r>
          </w:p>
        </w:tc>
        <w:tc>
          <w:tcPr>
            <w:tcW w:w="2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1,070.7</w:t>
            </w:r>
          </w:p>
        </w:tc>
        <w:tc>
          <w:tcPr>
            <w:tcW w:w="14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rPr>
              <w:t>1,022.6</w:t>
            </w:r>
          </w:p>
        </w:tc>
        <w:tc>
          <w:tcPr>
            <w:tcW w:w="26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rPr>
              <w:t>17.4</w:t>
            </w:r>
          </w:p>
        </w:tc>
        <w:tc>
          <w:tcPr>
            <w:tcW w:w="3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rPr>
              <w:t>1,040.0</w:t>
            </w:r>
          </w:p>
        </w:tc>
      </w:tr>
      <w:tr>
        <w:trPr>
          <w:trHeight w:val="156"/>
        </w:trPr>
        <w:tc>
          <w:tcPr>
            <w:tcW w:w="364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Southern Europe:</w:t>
            </w:r>
          </w:p>
        </w:tc>
        <w:tc>
          <w:tcPr>
            <w:tcW w:w="14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r>
      <w:tr>
        <w:trPr>
          <w:trHeight w:val="162"/>
        </w:trPr>
        <w:tc>
          <w:tcPr>
            <w:tcW w:w="3640" w:type="dxa"/>
            <w:vAlign w:val="bottom"/>
          </w:tcPr>
          <w:p>
            <w:pPr>
              <w:ind w:left="260"/>
              <w:spacing w:after="0"/>
              <w:rPr>
                <w:sz w:val="20"/>
                <w:szCs w:val="20"/>
                <w:color w:val="auto"/>
              </w:rPr>
            </w:pPr>
            <w:r>
              <w:rPr>
                <w:rFonts w:ascii="Arial" w:cs="Arial" w:eastAsia="Arial" w:hAnsi="Arial"/>
                <w:sz w:val="14"/>
                <w:szCs w:val="14"/>
                <w:color w:val="auto"/>
              </w:rPr>
              <w:t>France</w:t>
            </w:r>
          </w:p>
        </w:tc>
        <w:tc>
          <w:tcPr>
            <w:tcW w:w="140" w:type="dxa"/>
            <w:vAlign w:val="bottom"/>
          </w:tcPr>
          <w:p>
            <w:pPr>
              <w:spacing w:after="0"/>
              <w:rPr>
                <w:sz w:val="14"/>
                <w:szCs w:val="14"/>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1,370.8</w:t>
            </w:r>
          </w:p>
        </w:tc>
        <w:tc>
          <w:tcPr>
            <w:tcW w:w="280" w:type="dxa"/>
            <w:vAlign w:val="bottom"/>
          </w:tcPr>
          <w:p>
            <w:pPr>
              <w:spacing w:after="0"/>
              <w:rPr>
                <w:sz w:val="14"/>
                <w:szCs w:val="14"/>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11.3</w:t>
            </w:r>
          </w:p>
        </w:tc>
        <w:tc>
          <w:tcPr>
            <w:tcW w:w="280" w:type="dxa"/>
            <w:vAlign w:val="bottom"/>
          </w:tcPr>
          <w:p>
            <w:pPr>
              <w:spacing w:after="0"/>
              <w:rPr>
                <w:sz w:val="14"/>
                <w:szCs w:val="14"/>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1,382.1</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1,448.5</w:t>
            </w:r>
          </w:p>
        </w:tc>
        <w:tc>
          <w:tcPr>
            <w:tcW w:w="260" w:type="dxa"/>
            <w:vAlign w:val="bottom"/>
          </w:tcPr>
          <w:p>
            <w:pPr>
              <w:spacing w:after="0"/>
              <w:rPr>
                <w:sz w:val="14"/>
                <w:szCs w:val="14"/>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12.1</w:t>
            </w:r>
          </w:p>
        </w:tc>
        <w:tc>
          <w:tcPr>
            <w:tcW w:w="360" w:type="dxa"/>
            <w:vAlign w:val="bottom"/>
          </w:tcPr>
          <w:p>
            <w:pPr>
              <w:spacing w:after="0"/>
              <w:rPr>
                <w:sz w:val="14"/>
                <w:szCs w:val="14"/>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1,460.6</w:t>
            </w:r>
          </w:p>
        </w:tc>
      </w:tr>
      <w:tr>
        <w:trPr>
          <w:trHeight w:val="162"/>
        </w:trPr>
        <w:tc>
          <w:tcPr>
            <w:tcW w:w="3640" w:type="dxa"/>
            <w:vAlign w:val="bottom"/>
            <w:shd w:val="clear" w:color="auto" w:fill="CFF0FC"/>
          </w:tcPr>
          <w:p>
            <w:pPr>
              <w:ind w:left="260"/>
              <w:spacing w:after="0"/>
              <w:rPr>
                <w:sz w:val="20"/>
                <w:szCs w:val="20"/>
                <w:color w:val="auto"/>
              </w:rPr>
            </w:pPr>
            <w:r>
              <w:rPr>
                <w:rFonts w:ascii="Arial" w:cs="Arial" w:eastAsia="Arial" w:hAnsi="Arial"/>
                <w:sz w:val="14"/>
                <w:szCs w:val="14"/>
                <w:color w:val="auto"/>
              </w:rPr>
              <w:t>Italy</w:t>
            </w:r>
          </w:p>
        </w:tc>
        <w:tc>
          <w:tcPr>
            <w:tcW w:w="140" w:type="dxa"/>
            <w:vAlign w:val="bottom"/>
            <w:shd w:val="clear" w:color="auto" w:fill="CFF0FC"/>
          </w:tcPr>
          <w:p>
            <w:pPr>
              <w:spacing w:after="0"/>
              <w:rPr>
                <w:sz w:val="14"/>
                <w:szCs w:val="14"/>
                <w:color w:val="auto"/>
              </w:rPr>
            </w:pPr>
          </w:p>
        </w:tc>
        <w:tc>
          <w:tcPr>
            <w:tcW w:w="10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369.3</w:t>
            </w:r>
          </w:p>
        </w:tc>
        <w:tc>
          <w:tcPr>
            <w:tcW w:w="280" w:type="dxa"/>
            <w:vAlign w:val="bottom"/>
            <w:shd w:val="clear" w:color="auto" w:fill="CFF0FC"/>
          </w:tcPr>
          <w:p>
            <w:pPr>
              <w:spacing w:after="0"/>
              <w:rPr>
                <w:sz w:val="14"/>
                <w:szCs w:val="14"/>
                <w:color w:val="auto"/>
              </w:rPr>
            </w:pPr>
          </w:p>
        </w:tc>
        <w:tc>
          <w:tcPr>
            <w:tcW w:w="104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7.3</w:t>
            </w:r>
          </w:p>
        </w:tc>
        <w:tc>
          <w:tcPr>
            <w:tcW w:w="280" w:type="dxa"/>
            <w:vAlign w:val="bottom"/>
            <w:shd w:val="clear" w:color="auto" w:fill="CFF0FC"/>
          </w:tcPr>
          <w:p>
            <w:pPr>
              <w:spacing w:after="0"/>
              <w:rPr>
                <w:sz w:val="14"/>
                <w:szCs w:val="14"/>
                <w:color w:val="auto"/>
              </w:rPr>
            </w:pPr>
          </w:p>
        </w:tc>
        <w:tc>
          <w:tcPr>
            <w:tcW w:w="10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376.6</w:t>
            </w:r>
          </w:p>
        </w:tc>
        <w:tc>
          <w:tcPr>
            <w:tcW w:w="1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4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402.8</w:t>
            </w:r>
          </w:p>
        </w:tc>
        <w:tc>
          <w:tcPr>
            <w:tcW w:w="260" w:type="dxa"/>
            <w:vAlign w:val="bottom"/>
            <w:shd w:val="clear" w:color="auto" w:fill="CFF0FC"/>
          </w:tcPr>
          <w:p>
            <w:pPr>
              <w:spacing w:after="0"/>
              <w:rPr>
                <w:sz w:val="14"/>
                <w:szCs w:val="14"/>
                <w:color w:val="auto"/>
              </w:rPr>
            </w:pPr>
          </w:p>
        </w:tc>
        <w:tc>
          <w:tcPr>
            <w:tcW w:w="10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7.4</w:t>
            </w:r>
          </w:p>
        </w:tc>
        <w:tc>
          <w:tcPr>
            <w:tcW w:w="360" w:type="dxa"/>
            <w:vAlign w:val="bottom"/>
            <w:shd w:val="clear" w:color="auto" w:fill="CFF0FC"/>
          </w:tcPr>
          <w:p>
            <w:pPr>
              <w:spacing w:after="0"/>
              <w:rPr>
                <w:sz w:val="14"/>
                <w:szCs w:val="14"/>
                <w:color w:val="auto"/>
              </w:rPr>
            </w:pPr>
          </w:p>
        </w:tc>
        <w:tc>
          <w:tcPr>
            <w:tcW w:w="98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410.2</w:t>
            </w:r>
          </w:p>
        </w:tc>
      </w:tr>
      <w:tr>
        <w:trPr>
          <w:trHeight w:val="162"/>
        </w:trPr>
        <w:tc>
          <w:tcPr>
            <w:tcW w:w="3640" w:type="dxa"/>
            <w:vAlign w:val="bottom"/>
            <w:tcBorders>
              <w:bottom w:val="single" w:sz="8" w:color="CFF0FC"/>
            </w:tcBorders>
          </w:tcPr>
          <w:p>
            <w:pPr>
              <w:ind w:left="260"/>
              <w:spacing w:after="0"/>
              <w:rPr>
                <w:sz w:val="20"/>
                <w:szCs w:val="20"/>
                <w:color w:val="auto"/>
              </w:rPr>
            </w:pPr>
            <w:r>
              <w:rPr>
                <w:rFonts w:ascii="Arial" w:cs="Arial" w:eastAsia="Arial" w:hAnsi="Arial"/>
                <w:sz w:val="14"/>
                <w:szCs w:val="14"/>
                <w:color w:val="auto"/>
              </w:rPr>
              <w:t>Other Southern Europe</w:t>
            </w:r>
          </w:p>
        </w:tc>
        <w:tc>
          <w:tcPr>
            <w:tcW w:w="1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580.1</w:t>
            </w:r>
          </w:p>
        </w:tc>
        <w:tc>
          <w:tcPr>
            <w:tcW w:w="2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12.8</w:t>
            </w:r>
          </w:p>
        </w:tc>
        <w:tc>
          <w:tcPr>
            <w:tcW w:w="2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592.9</w:t>
            </w:r>
          </w:p>
        </w:tc>
        <w:tc>
          <w:tcPr>
            <w:tcW w:w="14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449.7</w:t>
            </w:r>
          </w:p>
        </w:tc>
        <w:tc>
          <w:tcPr>
            <w:tcW w:w="2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11.1</w:t>
            </w:r>
          </w:p>
        </w:tc>
        <w:tc>
          <w:tcPr>
            <w:tcW w:w="3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460.8</w:t>
            </w:r>
          </w:p>
        </w:tc>
      </w:tr>
      <w:tr>
        <w:trPr>
          <w:trHeight w:val="156"/>
        </w:trPr>
        <w:tc>
          <w:tcPr>
            <w:tcW w:w="3640" w:type="dxa"/>
            <w:vAlign w:val="bottom"/>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spacing w:after="0"/>
              <w:rPr>
                <w:sz w:val="13"/>
                <w:szCs w:val="13"/>
                <w:color w:val="auto"/>
              </w:rPr>
            </w:pPr>
          </w:p>
        </w:tc>
        <w:tc>
          <w:tcPr>
            <w:tcW w:w="104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2,320.2</w:t>
            </w:r>
          </w:p>
        </w:tc>
        <w:tc>
          <w:tcPr>
            <w:tcW w:w="280" w:type="dxa"/>
            <w:vAlign w:val="bottom"/>
            <w:tcBorders>
              <w:bottom w:val="single" w:sz="8" w:color="auto"/>
            </w:tcBorders>
            <w:shd w:val="clear" w:color="auto" w:fill="CFF0FC"/>
          </w:tcPr>
          <w:p>
            <w:pPr>
              <w:spacing w:after="0"/>
              <w:rPr>
                <w:sz w:val="13"/>
                <w:szCs w:val="13"/>
                <w:color w:val="auto"/>
              </w:rPr>
            </w:pPr>
          </w:p>
        </w:tc>
        <w:tc>
          <w:tcPr>
            <w:tcW w:w="1040" w:type="dxa"/>
            <w:vAlign w:val="bottom"/>
            <w:tcBorders>
              <w:bottom w:val="single" w:sz="8" w:color="auto"/>
            </w:tcBorders>
            <w:shd w:val="clear" w:color="auto" w:fill="CFF0FC"/>
          </w:tcPr>
          <w:p>
            <w:pPr>
              <w:jc w:val="right"/>
              <w:ind w:right="68"/>
              <w:spacing w:after="0" w:line="155" w:lineRule="exact"/>
              <w:rPr>
                <w:sz w:val="20"/>
                <w:szCs w:val="20"/>
                <w:color w:val="auto"/>
              </w:rPr>
            </w:pPr>
            <w:r>
              <w:rPr>
                <w:rFonts w:ascii="Arial" w:cs="Arial" w:eastAsia="Arial" w:hAnsi="Arial"/>
                <w:sz w:val="14"/>
                <w:szCs w:val="14"/>
                <w:color w:val="auto"/>
              </w:rPr>
              <w:t>31.4</w:t>
            </w:r>
          </w:p>
        </w:tc>
        <w:tc>
          <w:tcPr>
            <w:tcW w:w="280" w:type="dxa"/>
            <w:vAlign w:val="bottom"/>
            <w:tcBorders>
              <w:bottom w:val="single" w:sz="8" w:color="auto"/>
            </w:tcBorders>
            <w:shd w:val="clear" w:color="auto" w:fill="CFF0FC"/>
          </w:tcPr>
          <w:p>
            <w:pPr>
              <w:spacing w:after="0"/>
              <w:rPr>
                <w:sz w:val="13"/>
                <w:szCs w:val="13"/>
                <w:color w:val="auto"/>
              </w:rPr>
            </w:pPr>
          </w:p>
        </w:tc>
        <w:tc>
          <w:tcPr>
            <w:tcW w:w="102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2,351.6</w:t>
            </w:r>
          </w:p>
        </w:tc>
        <w:tc>
          <w:tcPr>
            <w:tcW w:w="140" w:type="dxa"/>
            <w:vAlign w:val="bottom"/>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spacing w:after="0"/>
              <w:rPr>
                <w:sz w:val="13"/>
                <w:szCs w:val="13"/>
                <w:color w:val="auto"/>
              </w:rPr>
            </w:pPr>
          </w:p>
        </w:tc>
        <w:tc>
          <w:tcPr>
            <w:tcW w:w="1040" w:type="dxa"/>
            <w:vAlign w:val="bottom"/>
            <w:tcBorders>
              <w:bottom w:val="single" w:sz="8" w:color="auto"/>
            </w:tcBorders>
            <w:shd w:val="clear" w:color="auto" w:fill="CFF0FC"/>
          </w:tcPr>
          <w:p>
            <w:pPr>
              <w:jc w:val="right"/>
              <w:ind w:right="68"/>
              <w:spacing w:after="0" w:line="155" w:lineRule="exact"/>
              <w:rPr>
                <w:sz w:val="20"/>
                <w:szCs w:val="20"/>
                <w:color w:val="auto"/>
              </w:rPr>
            </w:pPr>
            <w:r>
              <w:rPr>
                <w:rFonts w:ascii="Arial" w:cs="Arial" w:eastAsia="Arial" w:hAnsi="Arial"/>
                <w:sz w:val="14"/>
                <w:szCs w:val="14"/>
                <w:color w:val="auto"/>
              </w:rPr>
              <w:t>2,301.0</w:t>
            </w:r>
          </w:p>
        </w:tc>
        <w:tc>
          <w:tcPr>
            <w:tcW w:w="260" w:type="dxa"/>
            <w:vAlign w:val="bottom"/>
            <w:tcBorders>
              <w:bottom w:val="single" w:sz="8" w:color="auto"/>
            </w:tcBorders>
            <w:shd w:val="clear" w:color="auto" w:fill="CFF0FC"/>
          </w:tcPr>
          <w:p>
            <w:pPr>
              <w:spacing w:after="0"/>
              <w:rPr>
                <w:sz w:val="13"/>
                <w:szCs w:val="13"/>
                <w:color w:val="auto"/>
              </w:rPr>
            </w:pPr>
          </w:p>
        </w:tc>
        <w:tc>
          <w:tcPr>
            <w:tcW w:w="1060" w:type="dxa"/>
            <w:vAlign w:val="bottom"/>
            <w:tcBorders>
              <w:bottom w:val="single" w:sz="8" w:color="auto"/>
            </w:tcBorders>
            <w:shd w:val="clear" w:color="auto" w:fill="CFF0FC"/>
          </w:tcPr>
          <w:p>
            <w:pPr>
              <w:jc w:val="right"/>
              <w:ind w:right="68"/>
              <w:spacing w:after="0" w:line="155" w:lineRule="exact"/>
              <w:rPr>
                <w:sz w:val="20"/>
                <w:szCs w:val="20"/>
                <w:color w:val="auto"/>
              </w:rPr>
            </w:pPr>
            <w:r>
              <w:rPr>
                <w:rFonts w:ascii="Arial" w:cs="Arial" w:eastAsia="Arial" w:hAnsi="Arial"/>
                <w:sz w:val="14"/>
                <w:szCs w:val="14"/>
                <w:color w:val="auto"/>
              </w:rPr>
              <w:t>30.6</w:t>
            </w:r>
          </w:p>
        </w:tc>
        <w:tc>
          <w:tcPr>
            <w:tcW w:w="360" w:type="dxa"/>
            <w:vAlign w:val="bottom"/>
            <w:tcBorders>
              <w:bottom w:val="single" w:sz="8" w:color="auto"/>
            </w:tcBorders>
            <w:shd w:val="clear" w:color="auto" w:fill="CFF0FC"/>
          </w:tcPr>
          <w:p>
            <w:pPr>
              <w:spacing w:after="0"/>
              <w:rPr>
                <w:sz w:val="13"/>
                <w:szCs w:val="13"/>
                <w:color w:val="auto"/>
              </w:rPr>
            </w:pPr>
          </w:p>
        </w:tc>
        <w:tc>
          <w:tcPr>
            <w:tcW w:w="980" w:type="dxa"/>
            <w:vAlign w:val="bottom"/>
            <w:tcBorders>
              <w:bottom w:val="single" w:sz="8" w:color="auto"/>
            </w:tcBorders>
            <w:shd w:val="clear" w:color="auto" w:fill="CFF0FC"/>
          </w:tcPr>
          <w:p>
            <w:pPr>
              <w:jc w:val="right"/>
              <w:ind w:right="68"/>
              <w:spacing w:after="0" w:line="155" w:lineRule="exact"/>
              <w:rPr>
                <w:sz w:val="20"/>
                <w:szCs w:val="20"/>
                <w:color w:val="auto"/>
              </w:rPr>
            </w:pPr>
            <w:r>
              <w:rPr>
                <w:rFonts w:ascii="Arial" w:cs="Arial" w:eastAsia="Arial" w:hAnsi="Arial"/>
                <w:sz w:val="14"/>
                <w:szCs w:val="14"/>
                <w:color w:val="auto"/>
              </w:rPr>
              <w:t>2,331.6</w:t>
            </w:r>
          </w:p>
        </w:tc>
      </w:tr>
      <w:tr>
        <w:trPr>
          <w:trHeight w:val="156"/>
        </w:trPr>
        <w:tc>
          <w:tcPr>
            <w:tcW w:w="3640" w:type="dxa"/>
            <w:vAlign w:val="bottom"/>
          </w:tcPr>
          <w:p>
            <w:pPr>
              <w:spacing w:after="0" w:line="155" w:lineRule="exact"/>
              <w:rPr>
                <w:sz w:val="20"/>
                <w:szCs w:val="20"/>
                <w:color w:val="auto"/>
              </w:rPr>
            </w:pPr>
            <w:r>
              <w:rPr>
                <w:rFonts w:ascii="Arial" w:cs="Arial" w:eastAsia="Arial" w:hAnsi="Arial"/>
                <w:sz w:val="14"/>
                <w:szCs w:val="14"/>
                <w:color w:val="auto"/>
              </w:rPr>
              <w:t>Northern Europe</w:t>
            </w:r>
          </w:p>
        </w:tc>
        <w:tc>
          <w:tcPr>
            <w:tcW w:w="140" w:type="dxa"/>
            <w:vAlign w:val="bottom"/>
          </w:tcPr>
          <w:p>
            <w:pPr>
              <w:spacing w:after="0"/>
              <w:rPr>
                <w:sz w:val="13"/>
                <w:szCs w:val="13"/>
                <w:color w:val="auto"/>
              </w:rPr>
            </w:pPr>
          </w:p>
        </w:tc>
        <w:tc>
          <w:tcPr>
            <w:tcW w:w="1040" w:type="dxa"/>
            <w:vAlign w:val="bottom"/>
          </w:tcPr>
          <w:p>
            <w:pPr>
              <w:jc w:val="right"/>
              <w:ind w:right="48"/>
              <w:spacing w:after="0" w:line="155" w:lineRule="exact"/>
              <w:rPr>
                <w:sz w:val="20"/>
                <w:szCs w:val="20"/>
                <w:color w:val="auto"/>
              </w:rPr>
            </w:pPr>
            <w:r>
              <w:rPr>
                <w:rFonts w:ascii="Arial" w:cs="Arial" w:eastAsia="Arial" w:hAnsi="Arial"/>
                <w:sz w:val="14"/>
                <w:szCs w:val="14"/>
                <w:color w:val="auto"/>
              </w:rPr>
              <w:t>1,127.4</w:t>
            </w:r>
          </w:p>
        </w:tc>
        <w:tc>
          <w:tcPr>
            <w:tcW w:w="280" w:type="dxa"/>
            <w:vAlign w:val="bottom"/>
          </w:tcPr>
          <w:p>
            <w:pPr>
              <w:spacing w:after="0"/>
              <w:rPr>
                <w:sz w:val="13"/>
                <w:szCs w:val="13"/>
                <w:color w:val="auto"/>
              </w:rPr>
            </w:pPr>
          </w:p>
        </w:tc>
        <w:tc>
          <w:tcPr>
            <w:tcW w:w="1040" w:type="dxa"/>
            <w:vAlign w:val="bottom"/>
          </w:tcPr>
          <w:p>
            <w:pPr>
              <w:jc w:val="right"/>
              <w:ind w:right="68"/>
              <w:spacing w:after="0" w:line="155" w:lineRule="exact"/>
              <w:rPr>
                <w:sz w:val="20"/>
                <w:szCs w:val="20"/>
                <w:color w:val="auto"/>
              </w:rPr>
            </w:pPr>
            <w:r>
              <w:rPr>
                <w:rFonts w:ascii="Arial" w:cs="Arial" w:eastAsia="Arial" w:hAnsi="Arial"/>
                <w:sz w:val="14"/>
                <w:szCs w:val="14"/>
                <w:color w:val="auto"/>
              </w:rPr>
              <w:t>29.2</w:t>
            </w:r>
          </w:p>
        </w:tc>
        <w:tc>
          <w:tcPr>
            <w:tcW w:w="280" w:type="dxa"/>
            <w:vAlign w:val="bottom"/>
          </w:tcPr>
          <w:p>
            <w:pPr>
              <w:spacing w:after="0"/>
              <w:rPr>
                <w:sz w:val="13"/>
                <w:szCs w:val="13"/>
                <w:color w:val="auto"/>
              </w:rPr>
            </w:pPr>
          </w:p>
        </w:tc>
        <w:tc>
          <w:tcPr>
            <w:tcW w:w="1020" w:type="dxa"/>
            <w:vAlign w:val="bottom"/>
          </w:tcPr>
          <w:p>
            <w:pPr>
              <w:jc w:val="right"/>
              <w:ind w:right="48"/>
              <w:spacing w:after="0" w:line="155" w:lineRule="exact"/>
              <w:rPr>
                <w:sz w:val="20"/>
                <w:szCs w:val="20"/>
                <w:color w:val="auto"/>
              </w:rPr>
            </w:pPr>
            <w:r>
              <w:rPr>
                <w:rFonts w:ascii="Arial" w:cs="Arial" w:eastAsia="Arial" w:hAnsi="Arial"/>
                <w:sz w:val="14"/>
                <w:szCs w:val="14"/>
                <w:color w:val="auto"/>
              </w:rPr>
              <w:t>1,156.6</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jc w:val="right"/>
              <w:ind w:right="68"/>
              <w:spacing w:after="0" w:line="155" w:lineRule="exact"/>
              <w:rPr>
                <w:sz w:val="20"/>
                <w:szCs w:val="20"/>
                <w:color w:val="auto"/>
              </w:rPr>
            </w:pPr>
            <w:r>
              <w:rPr>
                <w:rFonts w:ascii="Arial" w:cs="Arial" w:eastAsia="Arial" w:hAnsi="Arial"/>
                <w:sz w:val="14"/>
                <w:szCs w:val="14"/>
                <w:color w:val="auto"/>
              </w:rPr>
              <w:t>1,255.9</w:t>
            </w:r>
          </w:p>
        </w:tc>
        <w:tc>
          <w:tcPr>
            <w:tcW w:w="260" w:type="dxa"/>
            <w:vAlign w:val="bottom"/>
          </w:tcPr>
          <w:p>
            <w:pPr>
              <w:spacing w:after="0"/>
              <w:rPr>
                <w:sz w:val="13"/>
                <w:szCs w:val="13"/>
                <w:color w:val="auto"/>
              </w:rPr>
            </w:pPr>
          </w:p>
        </w:tc>
        <w:tc>
          <w:tcPr>
            <w:tcW w:w="1060" w:type="dxa"/>
            <w:vAlign w:val="bottom"/>
          </w:tcPr>
          <w:p>
            <w:pPr>
              <w:jc w:val="right"/>
              <w:ind w:right="68"/>
              <w:spacing w:after="0" w:line="155" w:lineRule="exact"/>
              <w:rPr>
                <w:sz w:val="20"/>
                <w:szCs w:val="20"/>
                <w:color w:val="auto"/>
              </w:rPr>
            </w:pPr>
            <w:r>
              <w:rPr>
                <w:rFonts w:ascii="Arial" w:cs="Arial" w:eastAsia="Arial" w:hAnsi="Arial"/>
                <w:sz w:val="14"/>
                <w:szCs w:val="14"/>
                <w:color w:val="auto"/>
              </w:rPr>
              <w:t>31.2</w:t>
            </w:r>
          </w:p>
        </w:tc>
        <w:tc>
          <w:tcPr>
            <w:tcW w:w="360" w:type="dxa"/>
            <w:vAlign w:val="bottom"/>
          </w:tcPr>
          <w:p>
            <w:pPr>
              <w:spacing w:after="0"/>
              <w:rPr>
                <w:sz w:val="13"/>
                <w:szCs w:val="13"/>
                <w:color w:val="auto"/>
              </w:rPr>
            </w:pPr>
          </w:p>
        </w:tc>
        <w:tc>
          <w:tcPr>
            <w:tcW w:w="980" w:type="dxa"/>
            <w:vAlign w:val="bottom"/>
          </w:tcPr>
          <w:p>
            <w:pPr>
              <w:jc w:val="right"/>
              <w:ind w:right="68"/>
              <w:spacing w:after="0" w:line="155" w:lineRule="exact"/>
              <w:rPr>
                <w:sz w:val="20"/>
                <w:szCs w:val="20"/>
                <w:color w:val="auto"/>
              </w:rPr>
            </w:pPr>
            <w:r>
              <w:rPr>
                <w:rFonts w:ascii="Arial" w:cs="Arial" w:eastAsia="Arial" w:hAnsi="Arial"/>
                <w:sz w:val="14"/>
                <w:szCs w:val="14"/>
                <w:color w:val="auto"/>
              </w:rPr>
              <w:t>1,287.1</w:t>
            </w:r>
          </w:p>
        </w:tc>
      </w:tr>
      <w:tr>
        <w:trPr>
          <w:trHeight w:val="162"/>
        </w:trPr>
        <w:tc>
          <w:tcPr>
            <w:tcW w:w="3640" w:type="dxa"/>
            <w:vAlign w:val="bottom"/>
            <w:shd w:val="clear" w:color="auto" w:fill="CFF0FC"/>
          </w:tcPr>
          <w:p>
            <w:pPr>
              <w:spacing w:after="0"/>
              <w:rPr>
                <w:sz w:val="20"/>
                <w:szCs w:val="20"/>
                <w:color w:val="auto"/>
              </w:rPr>
            </w:pPr>
            <w:r>
              <w:rPr>
                <w:rFonts w:ascii="Arial" w:cs="Arial" w:eastAsia="Arial" w:hAnsi="Arial"/>
                <w:sz w:val="14"/>
                <w:szCs w:val="14"/>
                <w:color w:val="auto"/>
              </w:rPr>
              <w:t>APME</w:t>
            </w:r>
          </w:p>
        </w:tc>
        <w:tc>
          <w:tcPr>
            <w:tcW w:w="140" w:type="dxa"/>
            <w:vAlign w:val="bottom"/>
            <w:shd w:val="clear" w:color="auto" w:fill="CFF0FC"/>
          </w:tcPr>
          <w:p>
            <w:pPr>
              <w:spacing w:after="0"/>
              <w:rPr>
                <w:sz w:val="14"/>
                <w:szCs w:val="14"/>
                <w:color w:val="auto"/>
              </w:rPr>
            </w:pPr>
          </w:p>
        </w:tc>
        <w:tc>
          <w:tcPr>
            <w:tcW w:w="10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600.3</w:t>
            </w:r>
          </w:p>
        </w:tc>
        <w:tc>
          <w:tcPr>
            <w:tcW w:w="280" w:type="dxa"/>
            <w:vAlign w:val="bottom"/>
            <w:shd w:val="clear" w:color="auto" w:fill="CFF0FC"/>
          </w:tcPr>
          <w:p>
            <w:pPr>
              <w:spacing w:after="0"/>
              <w:rPr>
                <w:sz w:val="14"/>
                <w:szCs w:val="14"/>
                <w:color w:val="auto"/>
              </w:rPr>
            </w:pPr>
          </w:p>
        </w:tc>
        <w:tc>
          <w:tcPr>
            <w:tcW w:w="104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21.6</w:t>
            </w:r>
          </w:p>
        </w:tc>
        <w:tc>
          <w:tcPr>
            <w:tcW w:w="280" w:type="dxa"/>
            <w:vAlign w:val="bottom"/>
            <w:shd w:val="clear" w:color="auto" w:fill="CFF0FC"/>
          </w:tcPr>
          <w:p>
            <w:pPr>
              <w:spacing w:after="0"/>
              <w:rPr>
                <w:sz w:val="14"/>
                <w:szCs w:val="14"/>
                <w:color w:val="auto"/>
              </w:rPr>
            </w:pPr>
          </w:p>
        </w:tc>
        <w:tc>
          <w:tcPr>
            <w:tcW w:w="10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621.9</w:t>
            </w:r>
          </w:p>
        </w:tc>
        <w:tc>
          <w:tcPr>
            <w:tcW w:w="1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4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678.0</w:t>
            </w:r>
          </w:p>
        </w:tc>
        <w:tc>
          <w:tcPr>
            <w:tcW w:w="260" w:type="dxa"/>
            <w:vAlign w:val="bottom"/>
            <w:shd w:val="clear" w:color="auto" w:fill="CFF0FC"/>
          </w:tcPr>
          <w:p>
            <w:pPr>
              <w:spacing w:after="0"/>
              <w:rPr>
                <w:sz w:val="14"/>
                <w:szCs w:val="14"/>
                <w:color w:val="auto"/>
              </w:rPr>
            </w:pPr>
          </w:p>
        </w:tc>
        <w:tc>
          <w:tcPr>
            <w:tcW w:w="10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35.0</w:t>
            </w:r>
          </w:p>
        </w:tc>
        <w:tc>
          <w:tcPr>
            <w:tcW w:w="360" w:type="dxa"/>
            <w:vAlign w:val="bottom"/>
            <w:shd w:val="clear" w:color="auto" w:fill="CFF0FC"/>
          </w:tcPr>
          <w:p>
            <w:pPr>
              <w:spacing w:after="0"/>
              <w:rPr>
                <w:sz w:val="14"/>
                <w:szCs w:val="14"/>
                <w:color w:val="auto"/>
              </w:rPr>
            </w:pPr>
          </w:p>
        </w:tc>
        <w:tc>
          <w:tcPr>
            <w:tcW w:w="98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713.0</w:t>
            </w:r>
          </w:p>
        </w:tc>
      </w:tr>
      <w:tr>
        <w:trPr>
          <w:trHeight w:val="162"/>
        </w:trPr>
        <w:tc>
          <w:tcPr>
            <w:tcW w:w="364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Right Management</w:t>
            </w:r>
          </w:p>
        </w:tc>
        <w:tc>
          <w:tcPr>
            <w:tcW w:w="1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48.1</w:t>
            </w:r>
          </w:p>
        </w:tc>
        <w:tc>
          <w:tcPr>
            <w:tcW w:w="2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48.1</w:t>
            </w:r>
          </w:p>
        </w:tc>
        <w:tc>
          <w:tcPr>
            <w:tcW w:w="14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47.0</w:t>
            </w:r>
          </w:p>
        </w:tc>
        <w:tc>
          <w:tcPr>
            <w:tcW w:w="2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47.0</w:t>
            </w:r>
          </w:p>
        </w:tc>
      </w:tr>
      <w:tr>
        <w:trPr>
          <w:trHeight w:val="156"/>
        </w:trPr>
        <w:tc>
          <w:tcPr>
            <w:tcW w:w="3640" w:type="dxa"/>
            <w:vAlign w:val="bottom"/>
            <w:tcBorders>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Total</w:t>
            </w:r>
          </w:p>
        </w:tc>
        <w:tc>
          <w:tcPr>
            <w:tcW w:w="14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5,148.5</w:t>
            </w:r>
          </w:p>
        </w:tc>
        <w:tc>
          <w:tcPr>
            <w:tcW w:w="280" w:type="dxa"/>
            <w:vAlign w:val="bottom"/>
            <w:tcBorders>
              <w:bottom w:val="single" w:sz="8" w:color="auto"/>
            </w:tcBorders>
            <w:shd w:val="clear" w:color="auto" w:fill="CFF0FC"/>
          </w:tcPr>
          <w:p>
            <w:pPr>
              <w:jc w:val="right"/>
              <w:ind w:right="8"/>
              <w:spacing w:after="0" w:line="155" w:lineRule="exact"/>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FF0FC"/>
          </w:tcPr>
          <w:p>
            <w:pPr>
              <w:jc w:val="right"/>
              <w:ind w:right="68"/>
              <w:spacing w:after="0" w:line="155" w:lineRule="exact"/>
              <w:rPr>
                <w:sz w:val="20"/>
                <w:szCs w:val="20"/>
                <w:color w:val="auto"/>
              </w:rPr>
            </w:pPr>
            <w:r>
              <w:rPr>
                <w:rFonts w:ascii="Arial" w:cs="Arial" w:eastAsia="Arial" w:hAnsi="Arial"/>
                <w:sz w:val="14"/>
                <w:szCs w:val="14"/>
                <w:color w:val="auto"/>
              </w:rPr>
              <w:t>100.4</w:t>
            </w:r>
          </w:p>
        </w:tc>
        <w:tc>
          <w:tcPr>
            <w:tcW w:w="280" w:type="dxa"/>
            <w:vAlign w:val="bottom"/>
            <w:tcBorders>
              <w:bottom w:val="single" w:sz="8" w:color="auto"/>
            </w:tcBorders>
            <w:shd w:val="clear" w:color="auto" w:fill="CFF0FC"/>
          </w:tcPr>
          <w:p>
            <w:pPr>
              <w:jc w:val="right"/>
              <w:ind w:right="8"/>
              <w:spacing w:after="0" w:line="155" w:lineRule="exact"/>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5,248.9</w:t>
            </w:r>
          </w:p>
        </w:tc>
        <w:tc>
          <w:tcPr>
            <w:tcW w:w="140" w:type="dxa"/>
            <w:vAlign w:val="bottom"/>
            <w:tcBorders>
              <w:bottom w:val="single" w:sz="8" w:color="CFF0FC"/>
            </w:tcBorders>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jc w:val="right"/>
              <w:ind w:right="29"/>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shd w:val="clear" w:color="auto" w:fill="CFF0FC"/>
          </w:tcPr>
          <w:p>
            <w:pPr>
              <w:jc w:val="right"/>
              <w:ind w:right="68"/>
              <w:spacing w:after="0" w:line="155" w:lineRule="exact"/>
              <w:rPr>
                <w:sz w:val="20"/>
                <w:szCs w:val="20"/>
                <w:color w:val="auto"/>
              </w:rPr>
            </w:pPr>
            <w:r>
              <w:rPr>
                <w:rFonts w:ascii="Arial" w:cs="Arial" w:eastAsia="Arial" w:hAnsi="Arial"/>
                <w:sz w:val="14"/>
                <w:szCs w:val="14"/>
                <w:color w:val="auto"/>
              </w:rPr>
              <w:t>5,304.5</w:t>
            </w:r>
          </w:p>
        </w:tc>
        <w:tc>
          <w:tcPr>
            <w:tcW w:w="26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FF0FC"/>
          </w:tcPr>
          <w:p>
            <w:pPr>
              <w:jc w:val="right"/>
              <w:ind w:right="68"/>
              <w:spacing w:after="0" w:line="155" w:lineRule="exact"/>
              <w:rPr>
                <w:sz w:val="20"/>
                <w:szCs w:val="20"/>
                <w:color w:val="auto"/>
              </w:rPr>
            </w:pPr>
            <w:r>
              <w:rPr>
                <w:rFonts w:ascii="Arial" w:cs="Arial" w:eastAsia="Arial" w:hAnsi="Arial"/>
                <w:sz w:val="14"/>
                <w:szCs w:val="14"/>
                <w:color w:val="auto"/>
              </w:rPr>
              <w:t>114.2</w:t>
            </w:r>
          </w:p>
        </w:tc>
        <w:tc>
          <w:tcPr>
            <w:tcW w:w="360" w:type="dxa"/>
            <w:vAlign w:val="bottom"/>
            <w:tcBorders>
              <w:bottom w:val="single" w:sz="8" w:color="auto"/>
            </w:tcBorders>
            <w:shd w:val="clear" w:color="auto" w:fill="CFF0FC"/>
          </w:tcPr>
          <w:p>
            <w:pPr>
              <w:jc w:val="right"/>
              <w:ind w:right="88"/>
              <w:spacing w:after="0" w:line="155" w:lineRule="exact"/>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FF0FC"/>
          </w:tcPr>
          <w:p>
            <w:pPr>
              <w:jc w:val="right"/>
              <w:ind w:right="68"/>
              <w:spacing w:after="0" w:line="155" w:lineRule="exact"/>
              <w:rPr>
                <w:sz w:val="20"/>
                <w:szCs w:val="20"/>
                <w:color w:val="auto"/>
              </w:rPr>
            </w:pPr>
            <w:r>
              <w:rPr>
                <w:rFonts w:ascii="Arial" w:cs="Arial" w:eastAsia="Arial" w:hAnsi="Arial"/>
                <w:sz w:val="14"/>
                <w:szCs w:val="14"/>
                <w:color w:val="auto"/>
              </w:rPr>
              <w:t>5,418.7</w:t>
            </w:r>
          </w:p>
        </w:tc>
      </w:tr>
      <w:tr>
        <w:trPr>
          <w:trHeight w:val="20"/>
        </w:trPr>
        <w:tc>
          <w:tcPr>
            <w:tcW w:w="36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6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4"/>
          </w:tcPr>
          <w:p>
            <w:pPr>
              <w:jc w:val="right"/>
              <w:ind w:right="268"/>
              <w:spacing w:after="0"/>
              <w:rPr>
                <w:sz w:val="20"/>
                <w:szCs w:val="20"/>
                <w:color w:val="auto"/>
              </w:rPr>
            </w:pPr>
            <w:r>
              <w:rPr>
                <w:rFonts w:ascii="Arial" w:cs="Arial" w:eastAsia="Arial" w:hAnsi="Arial"/>
                <w:sz w:val="14"/>
                <w:szCs w:val="14"/>
                <w:b w:val="1"/>
                <w:bCs w:val="1"/>
                <w:color w:val="auto"/>
                <w:w w:val="95"/>
              </w:rPr>
              <w:t>9 Months Ended September 30,</w:t>
            </w:r>
          </w:p>
        </w:tc>
        <w:tc>
          <w:tcPr>
            <w:tcW w:w="2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r>
      <w:tr>
        <w:trPr>
          <w:trHeight w:val="156"/>
        </w:trPr>
        <w:tc>
          <w:tcPr>
            <w:tcW w:w="36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center"/>
              <w:ind w:right="208"/>
              <w:spacing w:after="0" w:line="155" w:lineRule="exact"/>
              <w:rPr>
                <w:sz w:val="20"/>
                <w:szCs w:val="20"/>
                <w:color w:val="auto"/>
              </w:rPr>
            </w:pPr>
            <w:r>
              <w:rPr>
                <w:rFonts w:ascii="Arial" w:cs="Arial" w:eastAsia="Arial" w:hAnsi="Arial"/>
                <w:sz w:val="14"/>
                <w:szCs w:val="14"/>
                <w:b w:val="1"/>
                <w:bCs w:val="1"/>
                <w:color w:val="auto"/>
                <w:w w:val="89"/>
              </w:rPr>
              <w:t>2019</w:t>
            </w:r>
          </w:p>
        </w:tc>
        <w:tc>
          <w:tcPr>
            <w:tcW w:w="2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center"/>
              <w:ind w:right="168"/>
              <w:spacing w:after="0" w:line="155" w:lineRule="exact"/>
              <w:rPr>
                <w:sz w:val="20"/>
                <w:szCs w:val="20"/>
                <w:color w:val="auto"/>
              </w:rPr>
            </w:pPr>
            <w:r>
              <w:rPr>
                <w:rFonts w:ascii="Arial" w:cs="Arial" w:eastAsia="Arial" w:hAnsi="Arial"/>
                <w:sz w:val="14"/>
                <w:szCs w:val="14"/>
                <w:b w:val="1"/>
                <w:bCs w:val="1"/>
                <w:color w:val="auto"/>
                <w:w w:val="96"/>
              </w:rPr>
              <w:t>2018</w:t>
            </w:r>
          </w:p>
        </w:tc>
        <w:tc>
          <w:tcPr>
            <w:tcW w:w="3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r>
      <w:tr>
        <w:trPr>
          <w:trHeight w:val="137"/>
        </w:trPr>
        <w:tc>
          <w:tcPr>
            <w:tcW w:w="3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40" w:type="dxa"/>
            <w:vAlign w:val="bottom"/>
          </w:tcPr>
          <w:p>
            <w:pPr>
              <w:jc w:val="center"/>
              <w:ind w:right="208"/>
              <w:spacing w:after="0" w:line="137" w:lineRule="exact"/>
              <w:rPr>
                <w:sz w:val="20"/>
                <w:szCs w:val="20"/>
                <w:color w:val="auto"/>
              </w:rPr>
            </w:pPr>
            <w:r>
              <w:rPr>
                <w:rFonts w:ascii="Arial" w:cs="Arial" w:eastAsia="Arial" w:hAnsi="Arial"/>
                <w:sz w:val="14"/>
                <w:szCs w:val="14"/>
                <w:color w:val="auto"/>
                <w:w w:val="89"/>
              </w:rPr>
              <w:t>Services</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60" w:type="dxa"/>
            <w:vAlign w:val="bottom"/>
          </w:tcPr>
          <w:p>
            <w:pPr>
              <w:jc w:val="center"/>
              <w:ind w:right="188"/>
              <w:spacing w:after="0" w:line="137" w:lineRule="exact"/>
              <w:rPr>
                <w:sz w:val="20"/>
                <w:szCs w:val="20"/>
                <w:color w:val="auto"/>
              </w:rPr>
            </w:pPr>
            <w:r>
              <w:rPr>
                <w:rFonts w:ascii="Arial" w:cs="Arial" w:eastAsia="Arial" w:hAnsi="Arial"/>
                <w:sz w:val="14"/>
                <w:szCs w:val="14"/>
                <w:color w:val="auto"/>
                <w:w w:val="89"/>
              </w:rPr>
              <w:t>Services</w:t>
            </w:r>
          </w:p>
        </w:tc>
        <w:tc>
          <w:tcPr>
            <w:tcW w:w="360" w:type="dxa"/>
            <w:vAlign w:val="bottom"/>
          </w:tcPr>
          <w:p>
            <w:pPr>
              <w:spacing w:after="0"/>
              <w:rPr>
                <w:sz w:val="11"/>
                <w:szCs w:val="11"/>
                <w:color w:val="auto"/>
              </w:rPr>
            </w:pPr>
          </w:p>
        </w:tc>
        <w:tc>
          <w:tcPr>
            <w:tcW w:w="980" w:type="dxa"/>
            <w:vAlign w:val="bottom"/>
          </w:tcPr>
          <w:p>
            <w:pPr>
              <w:spacing w:after="0"/>
              <w:rPr>
                <w:sz w:val="11"/>
                <w:szCs w:val="11"/>
                <w:color w:val="auto"/>
              </w:rPr>
            </w:pPr>
          </w:p>
        </w:tc>
      </w:tr>
      <w:tr>
        <w:trPr>
          <w:trHeight w:val="149"/>
        </w:trPr>
        <w:tc>
          <w:tcPr>
            <w:tcW w:w="3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jc w:val="center"/>
              <w:ind w:right="188"/>
              <w:spacing w:after="0" w:line="149" w:lineRule="exact"/>
              <w:rPr>
                <w:sz w:val="20"/>
                <w:szCs w:val="20"/>
                <w:color w:val="auto"/>
              </w:rPr>
            </w:pPr>
            <w:r>
              <w:rPr>
                <w:rFonts w:ascii="Arial" w:cs="Arial" w:eastAsia="Arial" w:hAnsi="Arial"/>
                <w:sz w:val="14"/>
                <w:szCs w:val="14"/>
                <w:color w:val="auto"/>
                <w:w w:val="93"/>
              </w:rPr>
              <w:t>Services</w:t>
            </w:r>
          </w:p>
        </w:tc>
        <w:tc>
          <w:tcPr>
            <w:tcW w:w="280" w:type="dxa"/>
            <w:vAlign w:val="bottom"/>
          </w:tcPr>
          <w:p>
            <w:pPr>
              <w:spacing w:after="0"/>
              <w:rPr>
                <w:sz w:val="12"/>
                <w:szCs w:val="12"/>
                <w:color w:val="auto"/>
              </w:rPr>
            </w:pPr>
          </w:p>
        </w:tc>
        <w:tc>
          <w:tcPr>
            <w:tcW w:w="1040" w:type="dxa"/>
            <w:vAlign w:val="bottom"/>
          </w:tcPr>
          <w:p>
            <w:pPr>
              <w:jc w:val="center"/>
              <w:ind w:right="228"/>
              <w:spacing w:after="0" w:line="149" w:lineRule="exact"/>
              <w:rPr>
                <w:sz w:val="20"/>
                <w:szCs w:val="20"/>
                <w:color w:val="auto"/>
              </w:rPr>
            </w:pPr>
            <w:r>
              <w:rPr>
                <w:rFonts w:ascii="Arial" w:cs="Arial" w:eastAsia="Arial" w:hAnsi="Arial"/>
                <w:sz w:val="14"/>
                <w:szCs w:val="14"/>
                <w:color w:val="auto"/>
                <w:w w:val="91"/>
              </w:rPr>
              <w:t>transferred</w:t>
            </w:r>
          </w:p>
        </w:tc>
        <w:tc>
          <w:tcPr>
            <w:tcW w:w="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jc w:val="center"/>
              <w:ind w:right="208"/>
              <w:spacing w:after="0" w:line="149" w:lineRule="exact"/>
              <w:rPr>
                <w:sz w:val="20"/>
                <w:szCs w:val="20"/>
                <w:color w:val="auto"/>
              </w:rPr>
            </w:pPr>
            <w:r>
              <w:rPr>
                <w:rFonts w:ascii="Arial" w:cs="Arial" w:eastAsia="Arial" w:hAnsi="Arial"/>
                <w:sz w:val="14"/>
                <w:szCs w:val="14"/>
                <w:color w:val="auto"/>
                <w:w w:val="89"/>
              </w:rPr>
              <w:t>Services</w:t>
            </w:r>
          </w:p>
        </w:tc>
        <w:tc>
          <w:tcPr>
            <w:tcW w:w="260" w:type="dxa"/>
            <w:vAlign w:val="bottom"/>
          </w:tcPr>
          <w:p>
            <w:pPr>
              <w:spacing w:after="0"/>
              <w:rPr>
                <w:sz w:val="12"/>
                <w:szCs w:val="12"/>
                <w:color w:val="auto"/>
              </w:rPr>
            </w:pPr>
          </w:p>
        </w:tc>
        <w:tc>
          <w:tcPr>
            <w:tcW w:w="1060" w:type="dxa"/>
            <w:vAlign w:val="bottom"/>
          </w:tcPr>
          <w:p>
            <w:pPr>
              <w:jc w:val="center"/>
              <w:ind w:right="208"/>
              <w:spacing w:after="0" w:line="149" w:lineRule="exact"/>
              <w:rPr>
                <w:sz w:val="20"/>
                <w:szCs w:val="20"/>
                <w:color w:val="auto"/>
              </w:rPr>
            </w:pPr>
            <w:r>
              <w:rPr>
                <w:rFonts w:ascii="Arial" w:cs="Arial" w:eastAsia="Arial" w:hAnsi="Arial"/>
                <w:sz w:val="14"/>
                <w:szCs w:val="14"/>
                <w:color w:val="auto"/>
                <w:w w:val="91"/>
              </w:rPr>
              <w:t>transferred</w:t>
            </w:r>
          </w:p>
        </w:tc>
        <w:tc>
          <w:tcPr>
            <w:tcW w:w="360" w:type="dxa"/>
            <w:vAlign w:val="bottom"/>
          </w:tcPr>
          <w:p>
            <w:pPr>
              <w:spacing w:after="0"/>
              <w:rPr>
                <w:sz w:val="12"/>
                <w:szCs w:val="12"/>
                <w:color w:val="auto"/>
              </w:rPr>
            </w:pPr>
          </w:p>
        </w:tc>
        <w:tc>
          <w:tcPr>
            <w:tcW w:w="980" w:type="dxa"/>
            <w:vAlign w:val="bottom"/>
          </w:tcPr>
          <w:p>
            <w:pPr>
              <w:spacing w:after="0"/>
              <w:rPr>
                <w:sz w:val="12"/>
                <w:szCs w:val="12"/>
                <w:color w:val="auto"/>
              </w:rPr>
            </w:pPr>
          </w:p>
        </w:tc>
      </w:tr>
      <w:tr>
        <w:trPr>
          <w:trHeight w:val="149"/>
        </w:trPr>
        <w:tc>
          <w:tcPr>
            <w:tcW w:w="3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jc w:val="center"/>
              <w:ind w:right="188"/>
              <w:spacing w:after="0" w:line="149" w:lineRule="exact"/>
              <w:rPr>
                <w:sz w:val="20"/>
                <w:szCs w:val="20"/>
                <w:color w:val="auto"/>
              </w:rPr>
            </w:pPr>
            <w:r>
              <w:rPr>
                <w:rFonts w:ascii="Arial" w:cs="Arial" w:eastAsia="Arial" w:hAnsi="Arial"/>
                <w:sz w:val="14"/>
                <w:szCs w:val="14"/>
                <w:color w:val="auto"/>
                <w:w w:val="91"/>
              </w:rPr>
              <w:t>transferred</w:t>
            </w:r>
          </w:p>
        </w:tc>
        <w:tc>
          <w:tcPr>
            <w:tcW w:w="280" w:type="dxa"/>
            <w:vAlign w:val="bottom"/>
          </w:tcPr>
          <w:p>
            <w:pPr>
              <w:spacing w:after="0"/>
              <w:rPr>
                <w:sz w:val="12"/>
                <w:szCs w:val="12"/>
                <w:color w:val="auto"/>
              </w:rPr>
            </w:pPr>
          </w:p>
        </w:tc>
        <w:tc>
          <w:tcPr>
            <w:tcW w:w="1040" w:type="dxa"/>
            <w:vAlign w:val="bottom"/>
          </w:tcPr>
          <w:p>
            <w:pPr>
              <w:jc w:val="center"/>
              <w:ind w:right="228"/>
              <w:spacing w:after="0" w:line="149" w:lineRule="exact"/>
              <w:rPr>
                <w:sz w:val="20"/>
                <w:szCs w:val="20"/>
                <w:color w:val="auto"/>
              </w:rPr>
            </w:pPr>
            <w:r>
              <w:rPr>
                <w:rFonts w:ascii="Arial" w:cs="Arial" w:eastAsia="Arial" w:hAnsi="Arial"/>
                <w:sz w:val="14"/>
                <w:szCs w:val="14"/>
                <w:color w:val="auto"/>
                <w:w w:val="93"/>
              </w:rPr>
              <w:t>at a point</w:t>
            </w:r>
          </w:p>
        </w:tc>
        <w:tc>
          <w:tcPr>
            <w:tcW w:w="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jc w:val="center"/>
              <w:ind w:right="228"/>
              <w:spacing w:after="0" w:line="149" w:lineRule="exact"/>
              <w:rPr>
                <w:sz w:val="20"/>
                <w:szCs w:val="20"/>
                <w:color w:val="auto"/>
              </w:rPr>
            </w:pPr>
            <w:r>
              <w:rPr>
                <w:rFonts w:ascii="Arial" w:cs="Arial" w:eastAsia="Arial" w:hAnsi="Arial"/>
                <w:sz w:val="14"/>
                <w:szCs w:val="14"/>
                <w:color w:val="auto"/>
                <w:w w:val="91"/>
              </w:rPr>
              <w:t>transferred</w:t>
            </w:r>
          </w:p>
        </w:tc>
        <w:tc>
          <w:tcPr>
            <w:tcW w:w="260" w:type="dxa"/>
            <w:vAlign w:val="bottom"/>
          </w:tcPr>
          <w:p>
            <w:pPr>
              <w:spacing w:after="0"/>
              <w:rPr>
                <w:sz w:val="12"/>
                <w:szCs w:val="12"/>
                <w:color w:val="auto"/>
              </w:rPr>
            </w:pPr>
          </w:p>
        </w:tc>
        <w:tc>
          <w:tcPr>
            <w:tcW w:w="1060" w:type="dxa"/>
            <w:vAlign w:val="bottom"/>
          </w:tcPr>
          <w:p>
            <w:pPr>
              <w:jc w:val="center"/>
              <w:ind w:right="208"/>
              <w:spacing w:after="0" w:line="149" w:lineRule="exact"/>
              <w:rPr>
                <w:sz w:val="20"/>
                <w:szCs w:val="20"/>
                <w:color w:val="auto"/>
              </w:rPr>
            </w:pPr>
            <w:r>
              <w:rPr>
                <w:rFonts w:ascii="Arial" w:cs="Arial" w:eastAsia="Arial" w:hAnsi="Arial"/>
                <w:sz w:val="14"/>
                <w:szCs w:val="14"/>
                <w:color w:val="auto"/>
                <w:w w:val="93"/>
              </w:rPr>
              <w:t>at a point</w:t>
            </w:r>
          </w:p>
        </w:tc>
        <w:tc>
          <w:tcPr>
            <w:tcW w:w="360" w:type="dxa"/>
            <w:vAlign w:val="bottom"/>
          </w:tcPr>
          <w:p>
            <w:pPr>
              <w:spacing w:after="0"/>
              <w:rPr>
                <w:sz w:val="12"/>
                <w:szCs w:val="12"/>
                <w:color w:val="auto"/>
              </w:rPr>
            </w:pPr>
          </w:p>
        </w:tc>
        <w:tc>
          <w:tcPr>
            <w:tcW w:w="980" w:type="dxa"/>
            <w:vAlign w:val="bottom"/>
          </w:tcPr>
          <w:p>
            <w:pPr>
              <w:spacing w:after="0"/>
              <w:rPr>
                <w:sz w:val="12"/>
                <w:szCs w:val="12"/>
                <w:color w:val="auto"/>
              </w:rPr>
            </w:pPr>
          </w:p>
        </w:tc>
      </w:tr>
      <w:tr>
        <w:trPr>
          <w:trHeight w:val="167"/>
        </w:trPr>
        <w:tc>
          <w:tcPr>
            <w:tcW w:w="3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jc w:val="center"/>
              <w:ind w:right="188"/>
              <w:spacing w:after="0"/>
              <w:rPr>
                <w:sz w:val="20"/>
                <w:szCs w:val="20"/>
                <w:color w:val="auto"/>
              </w:rPr>
            </w:pPr>
            <w:r>
              <w:rPr>
                <w:rFonts w:ascii="Arial" w:cs="Arial" w:eastAsia="Arial" w:hAnsi="Arial"/>
                <w:sz w:val="14"/>
                <w:szCs w:val="14"/>
                <w:color w:val="auto"/>
                <w:w w:val="93"/>
              </w:rPr>
              <w:t>over time</w:t>
            </w:r>
          </w:p>
        </w:tc>
        <w:tc>
          <w:tcPr>
            <w:tcW w:w="280" w:type="dxa"/>
            <w:vAlign w:val="bottom"/>
          </w:tcPr>
          <w:p>
            <w:pPr>
              <w:spacing w:after="0"/>
              <w:rPr>
                <w:sz w:val="14"/>
                <w:szCs w:val="14"/>
                <w:color w:val="auto"/>
              </w:rPr>
            </w:pPr>
          </w:p>
        </w:tc>
        <w:tc>
          <w:tcPr>
            <w:tcW w:w="1040" w:type="dxa"/>
            <w:vAlign w:val="bottom"/>
          </w:tcPr>
          <w:p>
            <w:pPr>
              <w:jc w:val="center"/>
              <w:ind w:right="208"/>
              <w:spacing w:after="0"/>
              <w:rPr>
                <w:sz w:val="20"/>
                <w:szCs w:val="20"/>
                <w:color w:val="auto"/>
              </w:rPr>
            </w:pPr>
            <w:r>
              <w:rPr>
                <w:rFonts w:ascii="Arial" w:cs="Arial" w:eastAsia="Arial" w:hAnsi="Arial"/>
                <w:sz w:val="14"/>
                <w:szCs w:val="14"/>
                <w:color w:val="auto"/>
                <w:w w:val="96"/>
              </w:rPr>
              <w:t>in time</w:t>
            </w:r>
          </w:p>
        </w:tc>
        <w:tc>
          <w:tcPr>
            <w:tcW w:w="280" w:type="dxa"/>
            <w:vAlign w:val="bottom"/>
          </w:tcPr>
          <w:p>
            <w:pPr>
              <w:spacing w:after="0"/>
              <w:rPr>
                <w:sz w:val="14"/>
                <w:szCs w:val="14"/>
                <w:color w:val="auto"/>
              </w:rPr>
            </w:pPr>
          </w:p>
        </w:tc>
        <w:tc>
          <w:tcPr>
            <w:tcW w:w="1160" w:type="dxa"/>
            <w:vAlign w:val="bottom"/>
            <w:gridSpan w:val="2"/>
          </w:tcPr>
          <w:p>
            <w:pPr>
              <w:ind w:left="220"/>
              <w:spacing w:after="0"/>
              <w:rPr>
                <w:sz w:val="20"/>
                <w:szCs w:val="20"/>
                <w:color w:val="auto"/>
              </w:rPr>
            </w:pPr>
            <w:r>
              <w:rPr>
                <w:rFonts w:ascii="Arial" w:cs="Arial" w:eastAsia="Arial" w:hAnsi="Arial"/>
                <w:sz w:val="14"/>
                <w:szCs w:val="14"/>
                <w:color w:val="auto"/>
              </w:rPr>
              <w:t>Total</w:t>
            </w:r>
          </w:p>
        </w:tc>
        <w:tc>
          <w:tcPr>
            <w:tcW w:w="140" w:type="dxa"/>
            <w:vAlign w:val="bottom"/>
          </w:tcPr>
          <w:p>
            <w:pPr>
              <w:spacing w:after="0"/>
              <w:rPr>
                <w:sz w:val="14"/>
                <w:szCs w:val="14"/>
                <w:color w:val="auto"/>
              </w:rPr>
            </w:pPr>
          </w:p>
        </w:tc>
        <w:tc>
          <w:tcPr>
            <w:tcW w:w="1040" w:type="dxa"/>
            <w:vAlign w:val="bottom"/>
          </w:tcPr>
          <w:p>
            <w:pPr>
              <w:jc w:val="center"/>
              <w:ind w:right="208"/>
              <w:spacing w:after="0"/>
              <w:rPr>
                <w:sz w:val="20"/>
                <w:szCs w:val="20"/>
                <w:color w:val="auto"/>
              </w:rPr>
            </w:pPr>
            <w:r>
              <w:rPr>
                <w:rFonts w:ascii="Arial" w:cs="Arial" w:eastAsia="Arial" w:hAnsi="Arial"/>
                <w:sz w:val="14"/>
                <w:szCs w:val="14"/>
                <w:color w:val="auto"/>
                <w:w w:val="97"/>
              </w:rPr>
              <w:t>over time</w:t>
            </w:r>
          </w:p>
        </w:tc>
        <w:tc>
          <w:tcPr>
            <w:tcW w:w="260" w:type="dxa"/>
            <w:vAlign w:val="bottom"/>
          </w:tcPr>
          <w:p>
            <w:pPr>
              <w:spacing w:after="0"/>
              <w:rPr>
                <w:sz w:val="14"/>
                <w:szCs w:val="14"/>
                <w:color w:val="auto"/>
              </w:rPr>
            </w:pPr>
          </w:p>
        </w:tc>
        <w:tc>
          <w:tcPr>
            <w:tcW w:w="1060" w:type="dxa"/>
            <w:vAlign w:val="bottom"/>
          </w:tcPr>
          <w:p>
            <w:pPr>
              <w:jc w:val="center"/>
              <w:ind w:right="188"/>
              <w:spacing w:after="0"/>
              <w:rPr>
                <w:sz w:val="20"/>
                <w:szCs w:val="20"/>
                <w:color w:val="auto"/>
              </w:rPr>
            </w:pPr>
            <w:r>
              <w:rPr>
                <w:rFonts w:ascii="Arial" w:cs="Arial" w:eastAsia="Arial" w:hAnsi="Arial"/>
                <w:sz w:val="14"/>
                <w:szCs w:val="14"/>
                <w:color w:val="auto"/>
                <w:w w:val="96"/>
              </w:rPr>
              <w:t>in time</w:t>
            </w:r>
          </w:p>
        </w:tc>
        <w:tc>
          <w:tcPr>
            <w:tcW w:w="360" w:type="dxa"/>
            <w:vAlign w:val="bottom"/>
          </w:tcPr>
          <w:p>
            <w:pPr>
              <w:spacing w:after="0"/>
              <w:rPr>
                <w:sz w:val="14"/>
                <w:szCs w:val="14"/>
                <w:color w:val="auto"/>
              </w:rPr>
            </w:pPr>
          </w:p>
        </w:tc>
        <w:tc>
          <w:tcPr>
            <w:tcW w:w="980" w:type="dxa"/>
            <w:vAlign w:val="bottom"/>
          </w:tcPr>
          <w:p>
            <w:pPr>
              <w:jc w:val="right"/>
              <w:ind w:right="448"/>
              <w:spacing w:after="0"/>
              <w:rPr>
                <w:sz w:val="20"/>
                <w:szCs w:val="20"/>
                <w:color w:val="auto"/>
              </w:rPr>
            </w:pPr>
            <w:r>
              <w:rPr>
                <w:rFonts w:ascii="Arial" w:cs="Arial" w:eastAsia="Arial" w:hAnsi="Arial"/>
                <w:sz w:val="14"/>
                <w:szCs w:val="14"/>
                <w:color w:val="auto"/>
              </w:rPr>
              <w:t>Total</w:t>
            </w:r>
          </w:p>
        </w:tc>
      </w:tr>
      <w:tr>
        <w:trPr>
          <w:trHeight w:val="156"/>
        </w:trPr>
        <w:tc>
          <w:tcPr>
            <w:tcW w:w="364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Americas:</w:t>
            </w:r>
          </w:p>
        </w:tc>
        <w:tc>
          <w:tcPr>
            <w:tcW w:w="140" w:type="dxa"/>
            <w:vAlign w:val="bottom"/>
            <w:tcBorders>
              <w:top w:val="single" w:sz="8" w:color="auto"/>
            </w:tcBorders>
            <w:shd w:val="clear" w:color="auto" w:fill="CFF0FC"/>
          </w:tcPr>
          <w:p>
            <w:pPr>
              <w:spacing w:after="0"/>
              <w:rPr>
                <w:sz w:val="13"/>
                <w:szCs w:val="13"/>
                <w:color w:val="auto"/>
              </w:rPr>
            </w:pPr>
          </w:p>
        </w:tc>
        <w:tc>
          <w:tcPr>
            <w:tcW w:w="1040" w:type="dxa"/>
            <w:vAlign w:val="bottom"/>
            <w:tcBorders>
              <w:top w:val="single" w:sz="8" w:color="auto"/>
            </w:tcBorders>
            <w:shd w:val="clear" w:color="auto" w:fill="CFF0FC"/>
          </w:tcPr>
          <w:p>
            <w:pPr>
              <w:spacing w:after="0"/>
              <w:rPr>
                <w:sz w:val="13"/>
                <w:szCs w:val="13"/>
                <w:color w:val="auto"/>
              </w:rPr>
            </w:pPr>
          </w:p>
        </w:tc>
        <w:tc>
          <w:tcPr>
            <w:tcW w:w="280" w:type="dxa"/>
            <w:vAlign w:val="bottom"/>
            <w:tcBorders>
              <w:top w:val="single" w:sz="8" w:color="auto"/>
            </w:tcBorders>
            <w:shd w:val="clear" w:color="auto" w:fill="CFF0FC"/>
          </w:tcPr>
          <w:p>
            <w:pPr>
              <w:spacing w:after="0"/>
              <w:rPr>
                <w:sz w:val="13"/>
                <w:szCs w:val="13"/>
                <w:color w:val="auto"/>
              </w:rPr>
            </w:pPr>
          </w:p>
        </w:tc>
        <w:tc>
          <w:tcPr>
            <w:tcW w:w="1040" w:type="dxa"/>
            <w:vAlign w:val="bottom"/>
            <w:tcBorders>
              <w:top w:val="single" w:sz="8" w:color="auto"/>
            </w:tcBorders>
            <w:shd w:val="clear" w:color="auto" w:fill="CFF0FC"/>
          </w:tcPr>
          <w:p>
            <w:pPr>
              <w:spacing w:after="0"/>
              <w:rPr>
                <w:sz w:val="13"/>
                <w:szCs w:val="13"/>
                <w:color w:val="auto"/>
              </w:rPr>
            </w:pPr>
          </w:p>
        </w:tc>
        <w:tc>
          <w:tcPr>
            <w:tcW w:w="280" w:type="dxa"/>
            <w:vAlign w:val="bottom"/>
            <w:tcBorders>
              <w:top w:val="single" w:sz="8" w:color="auto"/>
            </w:tcBorders>
            <w:shd w:val="clear" w:color="auto" w:fill="CFF0FC"/>
          </w:tcPr>
          <w:p>
            <w:pPr>
              <w:spacing w:after="0"/>
              <w:rPr>
                <w:sz w:val="13"/>
                <w:szCs w:val="13"/>
                <w:color w:val="auto"/>
              </w:rPr>
            </w:pPr>
          </w:p>
        </w:tc>
        <w:tc>
          <w:tcPr>
            <w:tcW w:w="1020" w:type="dxa"/>
            <w:vAlign w:val="bottom"/>
            <w:tcBorders>
              <w:top w:val="single" w:sz="8" w:color="auto"/>
            </w:tcBorders>
            <w:shd w:val="clear" w:color="auto" w:fill="CFF0FC"/>
          </w:tcPr>
          <w:p>
            <w:pPr>
              <w:spacing w:after="0"/>
              <w:rPr>
                <w:sz w:val="13"/>
                <w:szCs w:val="13"/>
                <w:color w:val="auto"/>
              </w:rPr>
            </w:pPr>
          </w:p>
        </w:tc>
        <w:tc>
          <w:tcPr>
            <w:tcW w:w="14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1040" w:type="dxa"/>
            <w:vAlign w:val="bottom"/>
            <w:tcBorders>
              <w:top w:val="single" w:sz="8" w:color="auto"/>
            </w:tcBorders>
            <w:shd w:val="clear" w:color="auto" w:fill="CFF0FC"/>
          </w:tcPr>
          <w:p>
            <w:pPr>
              <w:spacing w:after="0"/>
              <w:rPr>
                <w:sz w:val="13"/>
                <w:szCs w:val="13"/>
                <w:color w:val="auto"/>
              </w:rPr>
            </w:pPr>
          </w:p>
        </w:tc>
        <w:tc>
          <w:tcPr>
            <w:tcW w:w="260" w:type="dxa"/>
            <w:vAlign w:val="bottom"/>
            <w:tcBorders>
              <w:top w:val="single" w:sz="8" w:color="auto"/>
            </w:tcBorders>
            <w:shd w:val="clear" w:color="auto" w:fill="CFF0FC"/>
          </w:tcPr>
          <w:p>
            <w:pPr>
              <w:spacing w:after="0"/>
              <w:rPr>
                <w:sz w:val="13"/>
                <w:szCs w:val="13"/>
                <w:color w:val="auto"/>
              </w:rPr>
            </w:pPr>
          </w:p>
        </w:tc>
        <w:tc>
          <w:tcPr>
            <w:tcW w:w="1060" w:type="dxa"/>
            <w:vAlign w:val="bottom"/>
            <w:tcBorders>
              <w:top w:val="single" w:sz="8" w:color="auto"/>
            </w:tcBorders>
            <w:shd w:val="clear" w:color="auto" w:fill="CFF0FC"/>
          </w:tcPr>
          <w:p>
            <w:pPr>
              <w:spacing w:after="0"/>
              <w:rPr>
                <w:sz w:val="13"/>
                <w:szCs w:val="13"/>
                <w:color w:val="auto"/>
              </w:rPr>
            </w:pPr>
          </w:p>
        </w:tc>
        <w:tc>
          <w:tcPr>
            <w:tcW w:w="360" w:type="dxa"/>
            <w:vAlign w:val="bottom"/>
            <w:tcBorders>
              <w:top w:val="single" w:sz="8" w:color="auto"/>
            </w:tcBorders>
            <w:shd w:val="clear" w:color="auto" w:fill="CFF0FC"/>
          </w:tcPr>
          <w:p>
            <w:pPr>
              <w:spacing w:after="0"/>
              <w:rPr>
                <w:sz w:val="13"/>
                <w:szCs w:val="13"/>
                <w:color w:val="auto"/>
              </w:rPr>
            </w:pPr>
          </w:p>
        </w:tc>
        <w:tc>
          <w:tcPr>
            <w:tcW w:w="980" w:type="dxa"/>
            <w:vAlign w:val="bottom"/>
            <w:tcBorders>
              <w:top w:val="single" w:sz="8" w:color="auto"/>
            </w:tcBorders>
            <w:shd w:val="clear" w:color="auto" w:fill="CFF0FC"/>
          </w:tcPr>
          <w:p>
            <w:pPr>
              <w:spacing w:after="0"/>
              <w:rPr>
                <w:sz w:val="13"/>
                <w:szCs w:val="13"/>
                <w:color w:val="auto"/>
              </w:rPr>
            </w:pPr>
          </w:p>
        </w:tc>
      </w:tr>
      <w:tr>
        <w:trPr>
          <w:trHeight w:val="162"/>
        </w:trPr>
        <w:tc>
          <w:tcPr>
            <w:tcW w:w="3640" w:type="dxa"/>
            <w:vAlign w:val="bottom"/>
          </w:tcPr>
          <w:p>
            <w:pPr>
              <w:ind w:left="260"/>
              <w:spacing w:after="0"/>
              <w:rPr>
                <w:sz w:val="20"/>
                <w:szCs w:val="20"/>
                <w:color w:val="auto"/>
              </w:rPr>
            </w:pPr>
            <w:r>
              <w:rPr>
                <w:rFonts w:ascii="Arial" w:cs="Arial" w:eastAsia="Arial" w:hAnsi="Arial"/>
                <w:sz w:val="14"/>
                <w:szCs w:val="14"/>
                <w:color w:val="auto"/>
              </w:rPr>
              <w:t>United States</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1,839.9</w:t>
            </w:r>
          </w:p>
        </w:tc>
        <w:tc>
          <w:tcPr>
            <w:tcW w:w="2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40.3</w:t>
            </w:r>
          </w:p>
        </w:tc>
        <w:tc>
          <w:tcPr>
            <w:tcW w:w="2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1,880.2</w:t>
            </w:r>
          </w:p>
        </w:tc>
        <w:tc>
          <w:tcPr>
            <w:tcW w:w="140" w:type="dxa"/>
            <w:vAlign w:val="bottom"/>
          </w:tcPr>
          <w:p>
            <w:pPr>
              <w:spacing w:after="0"/>
              <w:rPr>
                <w:sz w:val="14"/>
                <w:szCs w:val="14"/>
                <w:color w:val="auto"/>
              </w:rPr>
            </w:pP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1,851.5</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38.5</w:t>
            </w:r>
          </w:p>
        </w:tc>
        <w:tc>
          <w:tcPr>
            <w:tcW w:w="3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1,890.0</w:t>
            </w:r>
          </w:p>
        </w:tc>
      </w:tr>
      <w:tr>
        <w:trPr>
          <w:trHeight w:val="162"/>
        </w:trPr>
        <w:tc>
          <w:tcPr>
            <w:tcW w:w="3640" w:type="dxa"/>
            <w:vAlign w:val="bottom"/>
            <w:shd w:val="clear" w:color="auto" w:fill="CFF0FC"/>
          </w:tcPr>
          <w:p>
            <w:pPr>
              <w:ind w:left="260"/>
              <w:spacing w:after="0"/>
              <w:rPr>
                <w:sz w:val="20"/>
                <w:szCs w:val="20"/>
                <w:color w:val="auto"/>
              </w:rPr>
            </w:pPr>
            <w:r>
              <w:rPr>
                <w:rFonts w:ascii="Arial" w:cs="Arial" w:eastAsia="Arial" w:hAnsi="Arial"/>
                <w:sz w:val="14"/>
                <w:szCs w:val="14"/>
                <w:color w:val="auto"/>
              </w:rPr>
              <w:t>Other Americas</w:t>
            </w:r>
          </w:p>
        </w:tc>
        <w:tc>
          <w:tcPr>
            <w:tcW w:w="140" w:type="dxa"/>
            <w:vAlign w:val="bottom"/>
            <w:tcBorders>
              <w:bottom w:val="single" w:sz="8" w:color="auto"/>
            </w:tcBorders>
            <w:shd w:val="clear" w:color="auto" w:fill="CFF0FC"/>
          </w:tcPr>
          <w:p>
            <w:pPr>
              <w:spacing w:after="0"/>
              <w:rPr>
                <w:sz w:val="14"/>
                <w:szCs w:val="14"/>
                <w:color w:val="auto"/>
              </w:rPr>
            </w:pPr>
          </w:p>
        </w:tc>
        <w:tc>
          <w:tcPr>
            <w:tcW w:w="104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1,228.3</w:t>
            </w:r>
          </w:p>
        </w:tc>
        <w:tc>
          <w:tcPr>
            <w:tcW w:w="280" w:type="dxa"/>
            <w:vAlign w:val="bottom"/>
            <w:tcBorders>
              <w:bottom w:val="single" w:sz="8" w:color="auto"/>
            </w:tcBorders>
            <w:shd w:val="clear" w:color="auto" w:fill="CFF0FC"/>
          </w:tcPr>
          <w:p>
            <w:pPr>
              <w:spacing w:after="0"/>
              <w:rPr>
                <w:sz w:val="14"/>
                <w:szCs w:val="14"/>
                <w:color w:val="auto"/>
              </w:rPr>
            </w:pPr>
          </w:p>
        </w:tc>
        <w:tc>
          <w:tcPr>
            <w:tcW w:w="104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12.9</w:t>
            </w:r>
          </w:p>
        </w:tc>
        <w:tc>
          <w:tcPr>
            <w:tcW w:w="280" w:type="dxa"/>
            <w:vAlign w:val="bottom"/>
            <w:tcBorders>
              <w:bottom w:val="single" w:sz="8" w:color="auto"/>
            </w:tcBorders>
            <w:shd w:val="clear" w:color="auto" w:fill="CFF0FC"/>
          </w:tcPr>
          <w:p>
            <w:pPr>
              <w:spacing w:after="0"/>
              <w:rPr>
                <w:sz w:val="14"/>
                <w:szCs w:val="14"/>
                <w:color w:val="auto"/>
              </w:rPr>
            </w:pPr>
          </w:p>
        </w:tc>
        <w:tc>
          <w:tcPr>
            <w:tcW w:w="102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1,241.2</w:t>
            </w:r>
          </w:p>
        </w:tc>
        <w:tc>
          <w:tcPr>
            <w:tcW w:w="140" w:type="dxa"/>
            <w:vAlign w:val="bottom"/>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104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1,212.0</w:t>
            </w:r>
          </w:p>
        </w:tc>
        <w:tc>
          <w:tcPr>
            <w:tcW w:w="260" w:type="dxa"/>
            <w:vAlign w:val="bottom"/>
            <w:tcBorders>
              <w:bottom w:val="single" w:sz="8" w:color="auto"/>
            </w:tcBorders>
            <w:shd w:val="clear" w:color="auto" w:fill="CFF0FC"/>
          </w:tcPr>
          <w:p>
            <w:pPr>
              <w:spacing w:after="0"/>
              <w:rPr>
                <w:sz w:val="14"/>
                <w:szCs w:val="14"/>
                <w:color w:val="auto"/>
              </w:rPr>
            </w:pPr>
          </w:p>
        </w:tc>
        <w:tc>
          <w:tcPr>
            <w:tcW w:w="106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13.1</w:t>
            </w:r>
          </w:p>
        </w:tc>
        <w:tc>
          <w:tcPr>
            <w:tcW w:w="360" w:type="dxa"/>
            <w:vAlign w:val="bottom"/>
            <w:tcBorders>
              <w:bottom w:val="single" w:sz="8" w:color="auto"/>
            </w:tcBorders>
            <w:shd w:val="clear" w:color="auto" w:fill="CFF0FC"/>
          </w:tcPr>
          <w:p>
            <w:pPr>
              <w:spacing w:after="0"/>
              <w:rPr>
                <w:sz w:val="14"/>
                <w:szCs w:val="14"/>
                <w:color w:val="auto"/>
              </w:rPr>
            </w:pPr>
          </w:p>
        </w:tc>
        <w:tc>
          <w:tcPr>
            <w:tcW w:w="98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1,225.1</w:t>
            </w:r>
          </w:p>
        </w:tc>
      </w:tr>
      <w:tr>
        <w:trPr>
          <w:trHeight w:val="156"/>
        </w:trPr>
        <w:tc>
          <w:tcPr>
            <w:tcW w:w="364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3,068.2</w:t>
            </w:r>
          </w:p>
        </w:tc>
        <w:tc>
          <w:tcPr>
            <w:tcW w:w="2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rPr>
              <w:t>53.2</w:t>
            </w:r>
          </w:p>
        </w:tc>
        <w:tc>
          <w:tcPr>
            <w:tcW w:w="2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3,121.4</w:t>
            </w:r>
          </w:p>
        </w:tc>
        <w:tc>
          <w:tcPr>
            <w:tcW w:w="14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rPr>
              <w:t>3,063.5</w:t>
            </w:r>
          </w:p>
        </w:tc>
        <w:tc>
          <w:tcPr>
            <w:tcW w:w="26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rPr>
              <w:t>51.6</w:t>
            </w:r>
          </w:p>
        </w:tc>
        <w:tc>
          <w:tcPr>
            <w:tcW w:w="3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rPr>
              <w:t>3,115.1</w:t>
            </w:r>
          </w:p>
        </w:tc>
      </w:tr>
      <w:tr>
        <w:trPr>
          <w:trHeight w:val="156"/>
        </w:trPr>
        <w:tc>
          <w:tcPr>
            <w:tcW w:w="364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Southern Europe:</w:t>
            </w:r>
          </w:p>
        </w:tc>
        <w:tc>
          <w:tcPr>
            <w:tcW w:w="14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r>
      <w:tr>
        <w:trPr>
          <w:trHeight w:val="162"/>
        </w:trPr>
        <w:tc>
          <w:tcPr>
            <w:tcW w:w="3640" w:type="dxa"/>
            <w:vAlign w:val="bottom"/>
          </w:tcPr>
          <w:p>
            <w:pPr>
              <w:ind w:left="260"/>
              <w:spacing w:after="0"/>
              <w:rPr>
                <w:sz w:val="20"/>
                <w:szCs w:val="20"/>
                <w:color w:val="auto"/>
              </w:rPr>
            </w:pPr>
            <w:r>
              <w:rPr>
                <w:rFonts w:ascii="Arial" w:cs="Arial" w:eastAsia="Arial" w:hAnsi="Arial"/>
                <w:sz w:val="14"/>
                <w:szCs w:val="14"/>
                <w:color w:val="auto"/>
              </w:rPr>
              <w:t>France</w:t>
            </w:r>
          </w:p>
        </w:tc>
        <w:tc>
          <w:tcPr>
            <w:tcW w:w="140" w:type="dxa"/>
            <w:vAlign w:val="bottom"/>
          </w:tcPr>
          <w:p>
            <w:pPr>
              <w:spacing w:after="0"/>
              <w:rPr>
                <w:sz w:val="14"/>
                <w:szCs w:val="14"/>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4,066.0</w:t>
            </w:r>
          </w:p>
        </w:tc>
        <w:tc>
          <w:tcPr>
            <w:tcW w:w="280" w:type="dxa"/>
            <w:vAlign w:val="bottom"/>
          </w:tcPr>
          <w:p>
            <w:pPr>
              <w:spacing w:after="0"/>
              <w:rPr>
                <w:sz w:val="14"/>
                <w:szCs w:val="14"/>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37.7</w:t>
            </w:r>
          </w:p>
        </w:tc>
        <w:tc>
          <w:tcPr>
            <w:tcW w:w="280" w:type="dxa"/>
            <w:vAlign w:val="bottom"/>
          </w:tcPr>
          <w:p>
            <w:pPr>
              <w:spacing w:after="0"/>
              <w:rPr>
                <w:sz w:val="14"/>
                <w:szCs w:val="14"/>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4,103.7</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4,356.6</w:t>
            </w:r>
          </w:p>
        </w:tc>
        <w:tc>
          <w:tcPr>
            <w:tcW w:w="260" w:type="dxa"/>
            <w:vAlign w:val="bottom"/>
          </w:tcPr>
          <w:p>
            <w:pPr>
              <w:spacing w:after="0"/>
              <w:rPr>
                <w:sz w:val="14"/>
                <w:szCs w:val="14"/>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40.5</w:t>
            </w:r>
          </w:p>
        </w:tc>
        <w:tc>
          <w:tcPr>
            <w:tcW w:w="360" w:type="dxa"/>
            <w:vAlign w:val="bottom"/>
          </w:tcPr>
          <w:p>
            <w:pPr>
              <w:spacing w:after="0"/>
              <w:rPr>
                <w:sz w:val="14"/>
                <w:szCs w:val="14"/>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4,397.1</w:t>
            </w:r>
          </w:p>
        </w:tc>
      </w:tr>
      <w:tr>
        <w:trPr>
          <w:trHeight w:val="162"/>
        </w:trPr>
        <w:tc>
          <w:tcPr>
            <w:tcW w:w="3640" w:type="dxa"/>
            <w:vAlign w:val="bottom"/>
            <w:shd w:val="clear" w:color="auto" w:fill="CFF0FC"/>
          </w:tcPr>
          <w:p>
            <w:pPr>
              <w:ind w:left="260"/>
              <w:spacing w:after="0"/>
              <w:rPr>
                <w:sz w:val="20"/>
                <w:szCs w:val="20"/>
                <w:color w:val="auto"/>
              </w:rPr>
            </w:pPr>
            <w:r>
              <w:rPr>
                <w:rFonts w:ascii="Arial" w:cs="Arial" w:eastAsia="Arial" w:hAnsi="Arial"/>
                <w:sz w:val="14"/>
                <w:szCs w:val="14"/>
                <w:color w:val="auto"/>
              </w:rPr>
              <w:t>Italy</w:t>
            </w:r>
          </w:p>
        </w:tc>
        <w:tc>
          <w:tcPr>
            <w:tcW w:w="140" w:type="dxa"/>
            <w:vAlign w:val="bottom"/>
            <w:shd w:val="clear" w:color="auto" w:fill="CFF0FC"/>
          </w:tcPr>
          <w:p>
            <w:pPr>
              <w:spacing w:after="0"/>
              <w:rPr>
                <w:sz w:val="14"/>
                <w:szCs w:val="14"/>
                <w:color w:val="auto"/>
              </w:rPr>
            </w:pPr>
          </w:p>
        </w:tc>
        <w:tc>
          <w:tcPr>
            <w:tcW w:w="10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1,100.0</w:t>
            </w:r>
          </w:p>
        </w:tc>
        <w:tc>
          <w:tcPr>
            <w:tcW w:w="280" w:type="dxa"/>
            <w:vAlign w:val="bottom"/>
            <w:shd w:val="clear" w:color="auto" w:fill="CFF0FC"/>
          </w:tcPr>
          <w:p>
            <w:pPr>
              <w:spacing w:after="0"/>
              <w:rPr>
                <w:sz w:val="14"/>
                <w:szCs w:val="14"/>
                <w:color w:val="auto"/>
              </w:rPr>
            </w:pPr>
          </w:p>
        </w:tc>
        <w:tc>
          <w:tcPr>
            <w:tcW w:w="104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26.5</w:t>
            </w:r>
          </w:p>
        </w:tc>
        <w:tc>
          <w:tcPr>
            <w:tcW w:w="280" w:type="dxa"/>
            <w:vAlign w:val="bottom"/>
            <w:shd w:val="clear" w:color="auto" w:fill="CFF0FC"/>
          </w:tcPr>
          <w:p>
            <w:pPr>
              <w:spacing w:after="0"/>
              <w:rPr>
                <w:sz w:val="14"/>
                <w:szCs w:val="14"/>
                <w:color w:val="auto"/>
              </w:rPr>
            </w:pPr>
          </w:p>
        </w:tc>
        <w:tc>
          <w:tcPr>
            <w:tcW w:w="10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1,126.5</w:t>
            </w:r>
          </w:p>
        </w:tc>
        <w:tc>
          <w:tcPr>
            <w:tcW w:w="1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4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1,241.2</w:t>
            </w:r>
          </w:p>
        </w:tc>
        <w:tc>
          <w:tcPr>
            <w:tcW w:w="260" w:type="dxa"/>
            <w:vAlign w:val="bottom"/>
            <w:shd w:val="clear" w:color="auto" w:fill="CFF0FC"/>
          </w:tcPr>
          <w:p>
            <w:pPr>
              <w:spacing w:after="0"/>
              <w:rPr>
                <w:sz w:val="14"/>
                <w:szCs w:val="14"/>
                <w:color w:val="auto"/>
              </w:rPr>
            </w:pPr>
          </w:p>
        </w:tc>
        <w:tc>
          <w:tcPr>
            <w:tcW w:w="10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25.6</w:t>
            </w:r>
          </w:p>
        </w:tc>
        <w:tc>
          <w:tcPr>
            <w:tcW w:w="360" w:type="dxa"/>
            <w:vAlign w:val="bottom"/>
            <w:shd w:val="clear" w:color="auto" w:fill="CFF0FC"/>
          </w:tcPr>
          <w:p>
            <w:pPr>
              <w:spacing w:after="0"/>
              <w:rPr>
                <w:sz w:val="14"/>
                <w:szCs w:val="14"/>
                <w:color w:val="auto"/>
              </w:rPr>
            </w:pPr>
          </w:p>
        </w:tc>
        <w:tc>
          <w:tcPr>
            <w:tcW w:w="98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1,266.8</w:t>
            </w:r>
          </w:p>
        </w:tc>
      </w:tr>
      <w:tr>
        <w:trPr>
          <w:trHeight w:val="162"/>
        </w:trPr>
        <w:tc>
          <w:tcPr>
            <w:tcW w:w="3640" w:type="dxa"/>
            <w:vAlign w:val="bottom"/>
            <w:tcBorders>
              <w:bottom w:val="single" w:sz="8" w:color="CFF0FC"/>
            </w:tcBorders>
          </w:tcPr>
          <w:p>
            <w:pPr>
              <w:ind w:left="260"/>
              <w:spacing w:after="0"/>
              <w:rPr>
                <w:sz w:val="20"/>
                <w:szCs w:val="20"/>
                <w:color w:val="auto"/>
              </w:rPr>
            </w:pPr>
            <w:r>
              <w:rPr>
                <w:rFonts w:ascii="Arial" w:cs="Arial" w:eastAsia="Arial" w:hAnsi="Arial"/>
                <w:sz w:val="14"/>
                <w:szCs w:val="14"/>
                <w:color w:val="auto"/>
              </w:rPr>
              <w:t>Other Southern Europe</w:t>
            </w:r>
          </w:p>
        </w:tc>
        <w:tc>
          <w:tcPr>
            <w:tcW w:w="1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1,572.9</w:t>
            </w:r>
          </w:p>
        </w:tc>
        <w:tc>
          <w:tcPr>
            <w:tcW w:w="2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37.9</w:t>
            </w:r>
          </w:p>
        </w:tc>
        <w:tc>
          <w:tcPr>
            <w:tcW w:w="2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1,610.8</w:t>
            </w:r>
          </w:p>
        </w:tc>
        <w:tc>
          <w:tcPr>
            <w:tcW w:w="14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1,378.3</w:t>
            </w:r>
          </w:p>
        </w:tc>
        <w:tc>
          <w:tcPr>
            <w:tcW w:w="2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35.4</w:t>
            </w:r>
          </w:p>
        </w:tc>
        <w:tc>
          <w:tcPr>
            <w:tcW w:w="3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1,413.7</w:t>
            </w:r>
          </w:p>
        </w:tc>
      </w:tr>
      <w:tr>
        <w:trPr>
          <w:trHeight w:val="156"/>
        </w:trPr>
        <w:tc>
          <w:tcPr>
            <w:tcW w:w="3640" w:type="dxa"/>
            <w:vAlign w:val="bottom"/>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spacing w:after="0"/>
              <w:rPr>
                <w:sz w:val="13"/>
                <w:szCs w:val="13"/>
                <w:color w:val="auto"/>
              </w:rPr>
            </w:pPr>
          </w:p>
        </w:tc>
        <w:tc>
          <w:tcPr>
            <w:tcW w:w="104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6,738.9</w:t>
            </w:r>
          </w:p>
        </w:tc>
        <w:tc>
          <w:tcPr>
            <w:tcW w:w="280" w:type="dxa"/>
            <w:vAlign w:val="bottom"/>
            <w:tcBorders>
              <w:bottom w:val="single" w:sz="8" w:color="auto"/>
            </w:tcBorders>
            <w:shd w:val="clear" w:color="auto" w:fill="CFF0FC"/>
          </w:tcPr>
          <w:p>
            <w:pPr>
              <w:spacing w:after="0"/>
              <w:rPr>
                <w:sz w:val="13"/>
                <w:szCs w:val="13"/>
                <w:color w:val="auto"/>
              </w:rPr>
            </w:pPr>
          </w:p>
        </w:tc>
        <w:tc>
          <w:tcPr>
            <w:tcW w:w="1040" w:type="dxa"/>
            <w:vAlign w:val="bottom"/>
            <w:tcBorders>
              <w:bottom w:val="single" w:sz="8" w:color="auto"/>
            </w:tcBorders>
            <w:shd w:val="clear" w:color="auto" w:fill="CFF0FC"/>
          </w:tcPr>
          <w:p>
            <w:pPr>
              <w:jc w:val="right"/>
              <w:ind w:right="68"/>
              <w:spacing w:after="0" w:line="155" w:lineRule="exact"/>
              <w:rPr>
                <w:sz w:val="20"/>
                <w:szCs w:val="20"/>
                <w:color w:val="auto"/>
              </w:rPr>
            </w:pPr>
            <w:r>
              <w:rPr>
                <w:rFonts w:ascii="Arial" w:cs="Arial" w:eastAsia="Arial" w:hAnsi="Arial"/>
                <w:sz w:val="14"/>
                <w:szCs w:val="14"/>
                <w:color w:val="auto"/>
              </w:rPr>
              <w:t>102.1</w:t>
            </w:r>
          </w:p>
        </w:tc>
        <w:tc>
          <w:tcPr>
            <w:tcW w:w="280" w:type="dxa"/>
            <w:vAlign w:val="bottom"/>
            <w:tcBorders>
              <w:bottom w:val="single" w:sz="8" w:color="auto"/>
            </w:tcBorders>
            <w:shd w:val="clear" w:color="auto" w:fill="CFF0FC"/>
          </w:tcPr>
          <w:p>
            <w:pPr>
              <w:spacing w:after="0"/>
              <w:rPr>
                <w:sz w:val="13"/>
                <w:szCs w:val="13"/>
                <w:color w:val="auto"/>
              </w:rPr>
            </w:pPr>
          </w:p>
        </w:tc>
        <w:tc>
          <w:tcPr>
            <w:tcW w:w="102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6,841.0</w:t>
            </w:r>
          </w:p>
        </w:tc>
        <w:tc>
          <w:tcPr>
            <w:tcW w:w="140" w:type="dxa"/>
            <w:vAlign w:val="bottom"/>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spacing w:after="0"/>
              <w:rPr>
                <w:sz w:val="13"/>
                <w:szCs w:val="13"/>
                <w:color w:val="auto"/>
              </w:rPr>
            </w:pPr>
          </w:p>
        </w:tc>
        <w:tc>
          <w:tcPr>
            <w:tcW w:w="1040" w:type="dxa"/>
            <w:vAlign w:val="bottom"/>
            <w:tcBorders>
              <w:bottom w:val="single" w:sz="8" w:color="auto"/>
            </w:tcBorders>
            <w:shd w:val="clear" w:color="auto" w:fill="CFF0FC"/>
          </w:tcPr>
          <w:p>
            <w:pPr>
              <w:jc w:val="right"/>
              <w:ind w:right="68"/>
              <w:spacing w:after="0" w:line="155" w:lineRule="exact"/>
              <w:rPr>
                <w:sz w:val="20"/>
                <w:szCs w:val="20"/>
                <w:color w:val="auto"/>
              </w:rPr>
            </w:pPr>
            <w:r>
              <w:rPr>
                <w:rFonts w:ascii="Arial" w:cs="Arial" w:eastAsia="Arial" w:hAnsi="Arial"/>
                <w:sz w:val="14"/>
                <w:szCs w:val="14"/>
                <w:color w:val="auto"/>
              </w:rPr>
              <w:t>6,976.1</w:t>
            </w:r>
          </w:p>
        </w:tc>
        <w:tc>
          <w:tcPr>
            <w:tcW w:w="260" w:type="dxa"/>
            <w:vAlign w:val="bottom"/>
            <w:tcBorders>
              <w:bottom w:val="single" w:sz="8" w:color="auto"/>
            </w:tcBorders>
            <w:shd w:val="clear" w:color="auto" w:fill="CFF0FC"/>
          </w:tcPr>
          <w:p>
            <w:pPr>
              <w:spacing w:after="0"/>
              <w:rPr>
                <w:sz w:val="13"/>
                <w:szCs w:val="13"/>
                <w:color w:val="auto"/>
              </w:rPr>
            </w:pPr>
          </w:p>
        </w:tc>
        <w:tc>
          <w:tcPr>
            <w:tcW w:w="1060" w:type="dxa"/>
            <w:vAlign w:val="bottom"/>
            <w:tcBorders>
              <w:bottom w:val="single" w:sz="8" w:color="auto"/>
            </w:tcBorders>
            <w:shd w:val="clear" w:color="auto" w:fill="CFF0FC"/>
          </w:tcPr>
          <w:p>
            <w:pPr>
              <w:jc w:val="right"/>
              <w:ind w:right="68"/>
              <w:spacing w:after="0" w:line="155" w:lineRule="exact"/>
              <w:rPr>
                <w:sz w:val="20"/>
                <w:szCs w:val="20"/>
                <w:color w:val="auto"/>
              </w:rPr>
            </w:pPr>
            <w:r>
              <w:rPr>
                <w:rFonts w:ascii="Arial" w:cs="Arial" w:eastAsia="Arial" w:hAnsi="Arial"/>
                <w:sz w:val="14"/>
                <w:szCs w:val="14"/>
                <w:color w:val="auto"/>
              </w:rPr>
              <w:t>101.5</w:t>
            </w:r>
          </w:p>
        </w:tc>
        <w:tc>
          <w:tcPr>
            <w:tcW w:w="360" w:type="dxa"/>
            <w:vAlign w:val="bottom"/>
            <w:tcBorders>
              <w:bottom w:val="single" w:sz="8" w:color="auto"/>
            </w:tcBorders>
            <w:shd w:val="clear" w:color="auto" w:fill="CFF0FC"/>
          </w:tcPr>
          <w:p>
            <w:pPr>
              <w:spacing w:after="0"/>
              <w:rPr>
                <w:sz w:val="13"/>
                <w:szCs w:val="13"/>
                <w:color w:val="auto"/>
              </w:rPr>
            </w:pPr>
          </w:p>
        </w:tc>
        <w:tc>
          <w:tcPr>
            <w:tcW w:w="980" w:type="dxa"/>
            <w:vAlign w:val="bottom"/>
            <w:tcBorders>
              <w:bottom w:val="single" w:sz="8" w:color="auto"/>
            </w:tcBorders>
            <w:shd w:val="clear" w:color="auto" w:fill="CFF0FC"/>
          </w:tcPr>
          <w:p>
            <w:pPr>
              <w:jc w:val="right"/>
              <w:ind w:right="68"/>
              <w:spacing w:after="0" w:line="155" w:lineRule="exact"/>
              <w:rPr>
                <w:sz w:val="20"/>
                <w:szCs w:val="20"/>
                <w:color w:val="auto"/>
              </w:rPr>
            </w:pPr>
            <w:r>
              <w:rPr>
                <w:rFonts w:ascii="Arial" w:cs="Arial" w:eastAsia="Arial" w:hAnsi="Arial"/>
                <w:sz w:val="14"/>
                <w:szCs w:val="14"/>
                <w:color w:val="auto"/>
              </w:rPr>
              <w:t>7,077.6</w:t>
            </w:r>
          </w:p>
        </w:tc>
      </w:tr>
      <w:tr>
        <w:trPr>
          <w:trHeight w:val="156"/>
        </w:trPr>
        <w:tc>
          <w:tcPr>
            <w:tcW w:w="3640" w:type="dxa"/>
            <w:vAlign w:val="bottom"/>
          </w:tcPr>
          <w:p>
            <w:pPr>
              <w:spacing w:after="0" w:line="155" w:lineRule="exact"/>
              <w:rPr>
                <w:sz w:val="20"/>
                <w:szCs w:val="20"/>
                <w:color w:val="auto"/>
              </w:rPr>
            </w:pPr>
            <w:r>
              <w:rPr>
                <w:rFonts w:ascii="Arial" w:cs="Arial" w:eastAsia="Arial" w:hAnsi="Arial"/>
                <w:sz w:val="14"/>
                <w:szCs w:val="14"/>
                <w:color w:val="auto"/>
              </w:rPr>
              <w:t>Northern Europe</w:t>
            </w:r>
          </w:p>
        </w:tc>
        <w:tc>
          <w:tcPr>
            <w:tcW w:w="140" w:type="dxa"/>
            <w:vAlign w:val="bottom"/>
          </w:tcPr>
          <w:p>
            <w:pPr>
              <w:spacing w:after="0"/>
              <w:rPr>
                <w:sz w:val="13"/>
                <w:szCs w:val="13"/>
                <w:color w:val="auto"/>
              </w:rPr>
            </w:pPr>
          </w:p>
        </w:tc>
        <w:tc>
          <w:tcPr>
            <w:tcW w:w="1040" w:type="dxa"/>
            <w:vAlign w:val="bottom"/>
          </w:tcPr>
          <w:p>
            <w:pPr>
              <w:jc w:val="right"/>
              <w:ind w:right="48"/>
              <w:spacing w:after="0" w:line="155" w:lineRule="exact"/>
              <w:rPr>
                <w:sz w:val="20"/>
                <w:szCs w:val="20"/>
                <w:color w:val="auto"/>
              </w:rPr>
            </w:pPr>
            <w:r>
              <w:rPr>
                <w:rFonts w:ascii="Arial" w:cs="Arial" w:eastAsia="Arial" w:hAnsi="Arial"/>
                <w:sz w:val="14"/>
                <w:szCs w:val="14"/>
                <w:color w:val="auto"/>
              </w:rPr>
              <w:t>3,433.9</w:t>
            </w:r>
          </w:p>
        </w:tc>
        <w:tc>
          <w:tcPr>
            <w:tcW w:w="280" w:type="dxa"/>
            <w:vAlign w:val="bottom"/>
          </w:tcPr>
          <w:p>
            <w:pPr>
              <w:spacing w:after="0"/>
              <w:rPr>
                <w:sz w:val="13"/>
                <w:szCs w:val="13"/>
                <w:color w:val="auto"/>
              </w:rPr>
            </w:pPr>
          </w:p>
        </w:tc>
        <w:tc>
          <w:tcPr>
            <w:tcW w:w="1040" w:type="dxa"/>
            <w:vAlign w:val="bottom"/>
          </w:tcPr>
          <w:p>
            <w:pPr>
              <w:jc w:val="right"/>
              <w:ind w:right="68"/>
              <w:spacing w:after="0" w:line="155" w:lineRule="exact"/>
              <w:rPr>
                <w:sz w:val="20"/>
                <w:szCs w:val="20"/>
                <w:color w:val="auto"/>
              </w:rPr>
            </w:pPr>
            <w:r>
              <w:rPr>
                <w:rFonts w:ascii="Arial" w:cs="Arial" w:eastAsia="Arial" w:hAnsi="Arial"/>
                <w:sz w:val="14"/>
                <w:szCs w:val="14"/>
                <w:color w:val="auto"/>
              </w:rPr>
              <w:t>95.6</w:t>
            </w:r>
          </w:p>
        </w:tc>
        <w:tc>
          <w:tcPr>
            <w:tcW w:w="280" w:type="dxa"/>
            <w:vAlign w:val="bottom"/>
          </w:tcPr>
          <w:p>
            <w:pPr>
              <w:spacing w:after="0"/>
              <w:rPr>
                <w:sz w:val="13"/>
                <w:szCs w:val="13"/>
                <w:color w:val="auto"/>
              </w:rPr>
            </w:pPr>
          </w:p>
        </w:tc>
        <w:tc>
          <w:tcPr>
            <w:tcW w:w="1020" w:type="dxa"/>
            <w:vAlign w:val="bottom"/>
          </w:tcPr>
          <w:p>
            <w:pPr>
              <w:jc w:val="right"/>
              <w:ind w:right="48"/>
              <w:spacing w:after="0" w:line="155" w:lineRule="exact"/>
              <w:rPr>
                <w:sz w:val="20"/>
                <w:szCs w:val="20"/>
                <w:color w:val="auto"/>
              </w:rPr>
            </w:pPr>
            <w:r>
              <w:rPr>
                <w:rFonts w:ascii="Arial" w:cs="Arial" w:eastAsia="Arial" w:hAnsi="Arial"/>
                <w:sz w:val="14"/>
                <w:szCs w:val="14"/>
                <w:color w:val="auto"/>
              </w:rPr>
              <w:t>3,529.5</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jc w:val="right"/>
              <w:ind w:right="68"/>
              <w:spacing w:after="0" w:line="155" w:lineRule="exact"/>
              <w:rPr>
                <w:sz w:val="20"/>
                <w:szCs w:val="20"/>
                <w:color w:val="auto"/>
              </w:rPr>
            </w:pPr>
            <w:r>
              <w:rPr>
                <w:rFonts w:ascii="Arial" w:cs="Arial" w:eastAsia="Arial" w:hAnsi="Arial"/>
                <w:sz w:val="14"/>
                <w:szCs w:val="14"/>
                <w:color w:val="auto"/>
              </w:rPr>
              <w:t>3,989.9</w:t>
            </w:r>
          </w:p>
        </w:tc>
        <w:tc>
          <w:tcPr>
            <w:tcW w:w="260" w:type="dxa"/>
            <w:vAlign w:val="bottom"/>
          </w:tcPr>
          <w:p>
            <w:pPr>
              <w:spacing w:after="0"/>
              <w:rPr>
                <w:sz w:val="13"/>
                <w:szCs w:val="13"/>
                <w:color w:val="auto"/>
              </w:rPr>
            </w:pPr>
          </w:p>
        </w:tc>
        <w:tc>
          <w:tcPr>
            <w:tcW w:w="1060" w:type="dxa"/>
            <w:vAlign w:val="bottom"/>
          </w:tcPr>
          <w:p>
            <w:pPr>
              <w:jc w:val="right"/>
              <w:ind w:right="68"/>
              <w:spacing w:after="0" w:line="155" w:lineRule="exact"/>
              <w:rPr>
                <w:sz w:val="20"/>
                <w:szCs w:val="20"/>
                <w:color w:val="auto"/>
              </w:rPr>
            </w:pPr>
            <w:r>
              <w:rPr>
                <w:rFonts w:ascii="Arial" w:cs="Arial" w:eastAsia="Arial" w:hAnsi="Arial"/>
                <w:sz w:val="14"/>
                <w:szCs w:val="14"/>
                <w:color w:val="auto"/>
              </w:rPr>
              <w:t>108.0</w:t>
            </w:r>
          </w:p>
        </w:tc>
        <w:tc>
          <w:tcPr>
            <w:tcW w:w="360" w:type="dxa"/>
            <w:vAlign w:val="bottom"/>
          </w:tcPr>
          <w:p>
            <w:pPr>
              <w:spacing w:after="0"/>
              <w:rPr>
                <w:sz w:val="13"/>
                <w:szCs w:val="13"/>
                <w:color w:val="auto"/>
              </w:rPr>
            </w:pPr>
          </w:p>
        </w:tc>
        <w:tc>
          <w:tcPr>
            <w:tcW w:w="980" w:type="dxa"/>
            <w:vAlign w:val="bottom"/>
          </w:tcPr>
          <w:p>
            <w:pPr>
              <w:jc w:val="right"/>
              <w:ind w:right="68"/>
              <w:spacing w:after="0" w:line="155" w:lineRule="exact"/>
              <w:rPr>
                <w:sz w:val="20"/>
                <w:szCs w:val="20"/>
                <w:color w:val="auto"/>
              </w:rPr>
            </w:pPr>
            <w:r>
              <w:rPr>
                <w:rFonts w:ascii="Arial" w:cs="Arial" w:eastAsia="Arial" w:hAnsi="Arial"/>
                <w:sz w:val="14"/>
                <w:szCs w:val="14"/>
                <w:color w:val="auto"/>
              </w:rPr>
              <w:t>4,097.9</w:t>
            </w:r>
          </w:p>
        </w:tc>
      </w:tr>
      <w:tr>
        <w:trPr>
          <w:trHeight w:val="162"/>
        </w:trPr>
        <w:tc>
          <w:tcPr>
            <w:tcW w:w="3640" w:type="dxa"/>
            <w:vAlign w:val="bottom"/>
            <w:shd w:val="clear" w:color="auto" w:fill="CFF0FC"/>
          </w:tcPr>
          <w:p>
            <w:pPr>
              <w:spacing w:after="0"/>
              <w:rPr>
                <w:sz w:val="20"/>
                <w:szCs w:val="20"/>
                <w:color w:val="auto"/>
              </w:rPr>
            </w:pPr>
            <w:r>
              <w:rPr>
                <w:rFonts w:ascii="Arial" w:cs="Arial" w:eastAsia="Arial" w:hAnsi="Arial"/>
                <w:sz w:val="14"/>
                <w:szCs w:val="14"/>
                <w:color w:val="auto"/>
              </w:rPr>
              <w:t>APME</w:t>
            </w:r>
          </w:p>
        </w:tc>
        <w:tc>
          <w:tcPr>
            <w:tcW w:w="140" w:type="dxa"/>
            <w:vAlign w:val="bottom"/>
            <w:shd w:val="clear" w:color="auto" w:fill="CFF0FC"/>
          </w:tcPr>
          <w:p>
            <w:pPr>
              <w:spacing w:after="0"/>
              <w:rPr>
                <w:sz w:val="14"/>
                <w:szCs w:val="14"/>
                <w:color w:val="auto"/>
              </w:rPr>
            </w:pPr>
          </w:p>
        </w:tc>
        <w:tc>
          <w:tcPr>
            <w:tcW w:w="10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1,947.4</w:t>
            </w:r>
          </w:p>
        </w:tc>
        <w:tc>
          <w:tcPr>
            <w:tcW w:w="280" w:type="dxa"/>
            <w:vAlign w:val="bottom"/>
            <w:shd w:val="clear" w:color="auto" w:fill="CFF0FC"/>
          </w:tcPr>
          <w:p>
            <w:pPr>
              <w:spacing w:after="0"/>
              <w:rPr>
                <w:sz w:val="14"/>
                <w:szCs w:val="14"/>
                <w:color w:val="auto"/>
              </w:rPr>
            </w:pPr>
          </w:p>
        </w:tc>
        <w:tc>
          <w:tcPr>
            <w:tcW w:w="104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83.3</w:t>
            </w:r>
          </w:p>
        </w:tc>
        <w:tc>
          <w:tcPr>
            <w:tcW w:w="280" w:type="dxa"/>
            <w:vAlign w:val="bottom"/>
            <w:shd w:val="clear" w:color="auto" w:fill="CFF0FC"/>
          </w:tcPr>
          <w:p>
            <w:pPr>
              <w:spacing w:after="0"/>
              <w:rPr>
                <w:sz w:val="14"/>
                <w:szCs w:val="14"/>
                <w:color w:val="auto"/>
              </w:rPr>
            </w:pPr>
          </w:p>
        </w:tc>
        <w:tc>
          <w:tcPr>
            <w:tcW w:w="10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2,030.7</w:t>
            </w:r>
          </w:p>
        </w:tc>
        <w:tc>
          <w:tcPr>
            <w:tcW w:w="1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4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2,056.4</w:t>
            </w:r>
          </w:p>
        </w:tc>
        <w:tc>
          <w:tcPr>
            <w:tcW w:w="260" w:type="dxa"/>
            <w:vAlign w:val="bottom"/>
            <w:shd w:val="clear" w:color="auto" w:fill="CFF0FC"/>
          </w:tcPr>
          <w:p>
            <w:pPr>
              <w:spacing w:after="0"/>
              <w:rPr>
                <w:sz w:val="14"/>
                <w:szCs w:val="14"/>
                <w:color w:val="auto"/>
              </w:rPr>
            </w:pPr>
          </w:p>
        </w:tc>
        <w:tc>
          <w:tcPr>
            <w:tcW w:w="10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101.6</w:t>
            </w:r>
          </w:p>
        </w:tc>
        <w:tc>
          <w:tcPr>
            <w:tcW w:w="360" w:type="dxa"/>
            <w:vAlign w:val="bottom"/>
            <w:shd w:val="clear" w:color="auto" w:fill="CFF0FC"/>
          </w:tcPr>
          <w:p>
            <w:pPr>
              <w:spacing w:after="0"/>
              <w:rPr>
                <w:sz w:val="14"/>
                <w:szCs w:val="14"/>
                <w:color w:val="auto"/>
              </w:rPr>
            </w:pPr>
          </w:p>
        </w:tc>
        <w:tc>
          <w:tcPr>
            <w:tcW w:w="98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2,158.0</w:t>
            </w:r>
          </w:p>
        </w:tc>
      </w:tr>
      <w:tr>
        <w:trPr>
          <w:trHeight w:val="162"/>
        </w:trPr>
        <w:tc>
          <w:tcPr>
            <w:tcW w:w="364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Right Management</w:t>
            </w:r>
          </w:p>
        </w:tc>
        <w:tc>
          <w:tcPr>
            <w:tcW w:w="1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144.3</w:t>
            </w:r>
          </w:p>
        </w:tc>
        <w:tc>
          <w:tcPr>
            <w:tcW w:w="2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144.3</w:t>
            </w:r>
          </w:p>
        </w:tc>
        <w:tc>
          <w:tcPr>
            <w:tcW w:w="14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149.4</w:t>
            </w:r>
          </w:p>
        </w:tc>
        <w:tc>
          <w:tcPr>
            <w:tcW w:w="2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149.4</w:t>
            </w:r>
          </w:p>
        </w:tc>
      </w:tr>
      <w:tr>
        <w:trPr>
          <w:trHeight w:val="156"/>
        </w:trPr>
        <w:tc>
          <w:tcPr>
            <w:tcW w:w="3640" w:type="dxa"/>
            <w:vAlign w:val="bottom"/>
            <w:tcBorders>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Total</w:t>
            </w:r>
          </w:p>
        </w:tc>
        <w:tc>
          <w:tcPr>
            <w:tcW w:w="14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15,332.7</w:t>
            </w:r>
          </w:p>
        </w:tc>
        <w:tc>
          <w:tcPr>
            <w:tcW w:w="280" w:type="dxa"/>
            <w:vAlign w:val="bottom"/>
            <w:tcBorders>
              <w:bottom w:val="single" w:sz="8" w:color="auto"/>
            </w:tcBorders>
            <w:shd w:val="clear" w:color="auto" w:fill="CFF0FC"/>
          </w:tcPr>
          <w:p>
            <w:pPr>
              <w:jc w:val="right"/>
              <w:ind w:right="8"/>
              <w:spacing w:after="0" w:line="155" w:lineRule="exact"/>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FF0FC"/>
          </w:tcPr>
          <w:p>
            <w:pPr>
              <w:jc w:val="right"/>
              <w:ind w:right="68"/>
              <w:spacing w:after="0" w:line="155" w:lineRule="exact"/>
              <w:rPr>
                <w:sz w:val="20"/>
                <w:szCs w:val="20"/>
                <w:color w:val="auto"/>
              </w:rPr>
            </w:pPr>
            <w:r>
              <w:rPr>
                <w:rFonts w:ascii="Arial" w:cs="Arial" w:eastAsia="Arial" w:hAnsi="Arial"/>
                <w:sz w:val="14"/>
                <w:szCs w:val="14"/>
                <w:color w:val="auto"/>
              </w:rPr>
              <w:t>334.2</w:t>
            </w:r>
          </w:p>
        </w:tc>
        <w:tc>
          <w:tcPr>
            <w:tcW w:w="280" w:type="dxa"/>
            <w:vAlign w:val="bottom"/>
            <w:tcBorders>
              <w:bottom w:val="single" w:sz="8" w:color="auto"/>
            </w:tcBorders>
            <w:shd w:val="clear" w:color="auto" w:fill="CFF0FC"/>
          </w:tcPr>
          <w:p>
            <w:pPr>
              <w:jc w:val="right"/>
              <w:ind w:right="8"/>
              <w:spacing w:after="0" w:line="155" w:lineRule="exact"/>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15,666.9</w:t>
            </w:r>
          </w:p>
        </w:tc>
        <w:tc>
          <w:tcPr>
            <w:tcW w:w="140" w:type="dxa"/>
            <w:vAlign w:val="bottom"/>
            <w:tcBorders>
              <w:bottom w:val="single" w:sz="8" w:color="CFF0FC"/>
            </w:tcBorders>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jc w:val="right"/>
              <w:ind w:right="29"/>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shd w:val="clear" w:color="auto" w:fill="CFF0FC"/>
          </w:tcPr>
          <w:p>
            <w:pPr>
              <w:jc w:val="right"/>
              <w:ind w:right="68"/>
              <w:spacing w:after="0" w:line="155" w:lineRule="exact"/>
              <w:rPr>
                <w:sz w:val="20"/>
                <w:szCs w:val="20"/>
                <w:color w:val="auto"/>
              </w:rPr>
            </w:pPr>
            <w:r>
              <w:rPr>
                <w:rFonts w:ascii="Arial" w:cs="Arial" w:eastAsia="Arial" w:hAnsi="Arial"/>
                <w:sz w:val="14"/>
                <w:szCs w:val="14"/>
                <w:color w:val="auto"/>
              </w:rPr>
              <w:t>16,235.3</w:t>
            </w:r>
          </w:p>
        </w:tc>
        <w:tc>
          <w:tcPr>
            <w:tcW w:w="26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FF0FC"/>
          </w:tcPr>
          <w:p>
            <w:pPr>
              <w:jc w:val="right"/>
              <w:ind w:right="68"/>
              <w:spacing w:after="0" w:line="155" w:lineRule="exact"/>
              <w:rPr>
                <w:sz w:val="20"/>
                <w:szCs w:val="20"/>
                <w:color w:val="auto"/>
              </w:rPr>
            </w:pPr>
            <w:r>
              <w:rPr>
                <w:rFonts w:ascii="Arial" w:cs="Arial" w:eastAsia="Arial" w:hAnsi="Arial"/>
                <w:sz w:val="14"/>
                <w:szCs w:val="14"/>
                <w:color w:val="auto"/>
              </w:rPr>
              <w:t>362.7</w:t>
            </w:r>
          </w:p>
        </w:tc>
        <w:tc>
          <w:tcPr>
            <w:tcW w:w="360" w:type="dxa"/>
            <w:vAlign w:val="bottom"/>
            <w:tcBorders>
              <w:bottom w:val="single" w:sz="8" w:color="auto"/>
            </w:tcBorders>
            <w:shd w:val="clear" w:color="auto" w:fill="CFF0FC"/>
          </w:tcPr>
          <w:p>
            <w:pPr>
              <w:jc w:val="right"/>
              <w:ind w:right="88"/>
              <w:spacing w:after="0" w:line="155" w:lineRule="exact"/>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FF0FC"/>
          </w:tcPr>
          <w:p>
            <w:pPr>
              <w:jc w:val="right"/>
              <w:ind w:right="68"/>
              <w:spacing w:after="0" w:line="155" w:lineRule="exact"/>
              <w:rPr>
                <w:sz w:val="20"/>
                <w:szCs w:val="20"/>
                <w:color w:val="auto"/>
              </w:rPr>
            </w:pPr>
            <w:r>
              <w:rPr>
                <w:rFonts w:ascii="Arial" w:cs="Arial" w:eastAsia="Arial" w:hAnsi="Arial"/>
                <w:sz w:val="14"/>
                <w:szCs w:val="14"/>
                <w:color w:val="auto"/>
              </w:rPr>
              <w:t>16,598.0</w:t>
            </w:r>
          </w:p>
        </w:tc>
      </w:tr>
      <w:tr>
        <w:trPr>
          <w:trHeight w:val="20"/>
        </w:trPr>
        <w:tc>
          <w:tcPr>
            <w:tcW w:w="36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260" w:hanging="252"/>
        <w:spacing w:after="0"/>
        <w:tabs>
          <w:tab w:leader="none" w:pos="26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Share-Based Compensation Plans</w:t>
      </w:r>
    </w:p>
    <w:p>
      <w:pPr>
        <w:spacing w:after="0" w:line="185"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For the three months ended September 30, 2019 and 2018, we recognized share-based compensation expense of $5.9 and $6.7, respectively, and $18.8 and $19.5 for the nine months ended September 30, 2019 and 2018, respectively. The expense relates to stock options, deferred stock, restricted stock and performance share units. We recognize share-based compensation expense in selling and administrative expenses on a straight-line basis over the service period of each award. Consideration received from share-based awards was $6.3 and $4.7 for the nine months ended September 30, 2019 and 2018, respectively.</w:t>
      </w:r>
    </w:p>
    <w:p>
      <w:pPr>
        <w:spacing w:after="0" w:line="188" w:lineRule="exact"/>
        <w:rPr>
          <w:sz w:val="20"/>
          <w:szCs w:val="20"/>
          <w:color w:val="auto"/>
        </w:rPr>
      </w:pPr>
    </w:p>
    <w:p>
      <w:pPr>
        <w:ind w:left="260" w:hanging="252"/>
        <w:spacing w:after="0"/>
        <w:tabs>
          <w:tab w:leader="none" w:pos="26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Acquisitions and Dispositions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Switzerland Acquisitions</w:t>
      </w:r>
    </w:p>
    <w:p>
      <w:pPr>
        <w:spacing w:after="0" w:line="198"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On April 3, 2019, we acquired the remaining 51% controlling interest in our Swiss franchise (“Manpower Switzerland”) to obtain full ownership of the entity. Additionally, as part of the purchase agreement we acquired the remaining 20% interest in Experis AG. Manpower Switzerland provides contingent staffing services under our Manpower brand in the four main language regions in Switzerland. Both Manpower Switzerland and Experis AG are reported in our Southern Europe segment. The aggregate cash consideration paid was $219.5 and was funded through cash on hand. Of the total consideration paid, $58.3 was for the acquired interests and the remaining $161.2 was for cash and cash equivalents. The aggregate cash consideration paid reflects a post-closing settlement of net debt and net working capital adjustments of $6.8, which we paid out during the third quarter of 2019. The acquisition of the remaining interest of Experis AG was accounted for as an equity transaction as we previously consolidated the entity.</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3" w:name="page14"/>
    <w:bookmarkEnd w:id="13"/>
    <w:p>
      <w:pPr>
        <w:ind w:right="60"/>
        <w:spacing w:after="0" w:line="257" w:lineRule="auto"/>
        <w:rPr>
          <w:sz w:val="20"/>
          <w:szCs w:val="20"/>
          <w:color w:val="auto"/>
        </w:rPr>
      </w:pPr>
      <w:r>
        <w:rPr>
          <w:rFonts w:ascii="Arial" w:cs="Arial" w:eastAsia="Arial" w:hAnsi="Arial"/>
          <w:sz w:val="18"/>
          <w:szCs w:val="18"/>
          <w:color w:val="auto"/>
        </w:rPr>
        <w:t>Our investment in Manpower Switzerland prior to the acquisition was accounted for under the equity method of accounting and we recorded our share of equity income or loss in interest and other expenses (income), net on the Consolidated Statements of Operations. The acquisition of the remaining controlling interest in Manpower Switzerland was accounted for as a business combination, and the assets and liabilities of Manpower Switzerland were included in the Consolidated Balance Sheets as of the acquisition date and the results of its operations have been included in the Consolidated Statements of Operations subsequent to the acquisition date.</w:t>
      </w:r>
    </w:p>
    <w:p>
      <w:pPr>
        <w:spacing w:after="0" w:line="161"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The aggregate of the consideration paid and the fair value of previously held equity interest totaled $415.1, or $97.6 net of cash acquired. In connection with the business combination, we recognized a one-time, non-cash gain on the disposition of our previously held equity interest in Manpower Switzerland of $80.4, which is included within interest and other expenses (income), net on the Consolidated Statements of Operations. Of the $80.4, $32.5 represented foreign currency translation adjustments related to the previously held equity interest from accumulated other comprehensive income.</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fair value of the assets acquired and liabilities assumed as of the acquisition date of April 3, 2019:</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97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600" w:type="dxa"/>
            <w:vAlign w:val="bottom"/>
            <w:tcBorders>
              <w:top w:val="single" w:sz="8" w:color="auto"/>
            </w:tcBorders>
            <w:gridSpan w:val="2"/>
            <w:shd w:val="clear" w:color="auto" w:fill="CFF0FC"/>
          </w:tcPr>
          <w:p>
            <w:pPr>
              <w:jc w:val="right"/>
              <w:ind w:right="470"/>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317.5</w:t>
            </w:r>
          </w:p>
        </w:tc>
      </w:tr>
      <w:tr>
        <w:trPr>
          <w:trHeight w:val="230"/>
        </w:trPr>
        <w:tc>
          <w:tcPr>
            <w:tcW w:w="9760" w:type="dxa"/>
            <w:vAlign w:val="bottom"/>
          </w:tcPr>
          <w:p>
            <w:pPr>
              <w:spacing w:after="0"/>
              <w:rPr>
                <w:sz w:val="20"/>
                <w:szCs w:val="20"/>
                <w:color w:val="auto"/>
              </w:rPr>
            </w:pPr>
            <w:r>
              <w:rPr>
                <w:rFonts w:ascii="Arial" w:cs="Arial" w:eastAsia="Arial" w:hAnsi="Arial"/>
                <w:sz w:val="18"/>
                <w:szCs w:val="18"/>
                <w:color w:val="auto"/>
              </w:rPr>
              <w:t>Accounts receivable</w:t>
            </w: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60.4</w:t>
            </w:r>
          </w:p>
        </w:tc>
      </w:tr>
      <w:tr>
        <w:trPr>
          <w:trHeight w:val="230"/>
        </w:trPr>
        <w:tc>
          <w:tcPr>
            <w:tcW w:w="9760" w:type="dxa"/>
            <w:vAlign w:val="bottom"/>
            <w:shd w:val="clear" w:color="auto" w:fill="CFF0FC"/>
          </w:tcPr>
          <w:p>
            <w:pPr>
              <w:spacing w:after="0"/>
              <w:rPr>
                <w:sz w:val="20"/>
                <w:szCs w:val="20"/>
                <w:color w:val="auto"/>
              </w:rPr>
            </w:pPr>
            <w:r>
              <w:rPr>
                <w:rFonts w:ascii="Arial" w:cs="Arial" w:eastAsia="Arial" w:hAnsi="Arial"/>
                <w:sz w:val="18"/>
                <w:szCs w:val="18"/>
                <w:color w:val="auto"/>
              </w:rPr>
              <w:t>Prepaid expenses and other assets</w:t>
            </w:r>
          </w:p>
        </w:tc>
        <w:tc>
          <w:tcPr>
            <w:tcW w:w="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31.4</w:t>
            </w:r>
          </w:p>
        </w:tc>
      </w:tr>
      <w:tr>
        <w:trPr>
          <w:trHeight w:val="230"/>
        </w:trPr>
        <w:tc>
          <w:tcPr>
            <w:tcW w:w="9760" w:type="dxa"/>
            <w:vAlign w:val="bottom"/>
          </w:tcPr>
          <w:p>
            <w:pPr>
              <w:spacing w:after="0"/>
              <w:rPr>
                <w:sz w:val="20"/>
                <w:szCs w:val="20"/>
                <w:color w:val="auto"/>
              </w:rPr>
            </w:pPr>
            <w:r>
              <w:rPr>
                <w:rFonts w:ascii="Arial" w:cs="Arial" w:eastAsia="Arial" w:hAnsi="Arial"/>
                <w:sz w:val="18"/>
                <w:szCs w:val="18"/>
                <w:color w:val="auto"/>
              </w:rPr>
              <w:t>Goodwill</w:t>
            </w: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33.8</w:t>
            </w:r>
          </w:p>
        </w:tc>
      </w:tr>
      <w:tr>
        <w:trPr>
          <w:trHeight w:val="230"/>
        </w:trPr>
        <w:tc>
          <w:tcPr>
            <w:tcW w:w="9760" w:type="dxa"/>
            <w:vAlign w:val="bottom"/>
            <w:shd w:val="clear" w:color="auto" w:fill="CFF0FC"/>
          </w:tcPr>
          <w:p>
            <w:pPr>
              <w:spacing w:after="0"/>
              <w:rPr>
                <w:sz w:val="20"/>
                <w:szCs w:val="20"/>
                <w:color w:val="auto"/>
              </w:rPr>
            </w:pPr>
            <w:r>
              <w:rPr>
                <w:rFonts w:ascii="Arial" w:cs="Arial" w:eastAsia="Arial" w:hAnsi="Arial"/>
                <w:sz w:val="18"/>
                <w:szCs w:val="18"/>
                <w:color w:val="auto"/>
              </w:rPr>
              <w:t>Intangible assets subject to amortization, customer relationship</w:t>
            </w:r>
          </w:p>
        </w:tc>
        <w:tc>
          <w:tcPr>
            <w:tcW w:w="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19.6</w:t>
            </w:r>
          </w:p>
        </w:tc>
      </w:tr>
      <w:tr>
        <w:trPr>
          <w:trHeight w:val="230"/>
        </w:trPr>
        <w:tc>
          <w:tcPr>
            <w:tcW w:w="9760" w:type="dxa"/>
            <w:vAlign w:val="bottom"/>
          </w:tcPr>
          <w:p>
            <w:pPr>
              <w:spacing w:after="0"/>
              <w:rPr>
                <w:sz w:val="20"/>
                <w:szCs w:val="20"/>
                <w:color w:val="auto"/>
              </w:rPr>
            </w:pPr>
            <w:r>
              <w:rPr>
                <w:rFonts w:ascii="Arial" w:cs="Arial" w:eastAsia="Arial" w:hAnsi="Arial"/>
                <w:sz w:val="18"/>
                <w:szCs w:val="18"/>
                <w:color w:val="auto"/>
              </w:rPr>
              <w:t>Intangible assets not subject to amortization, reacquired franchise rights</w:t>
            </w: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25.5</w:t>
            </w:r>
          </w:p>
        </w:tc>
      </w:tr>
      <w:tr>
        <w:trPr>
          <w:trHeight w:val="230"/>
        </w:trPr>
        <w:tc>
          <w:tcPr>
            <w:tcW w:w="976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w:t>
            </w:r>
          </w:p>
        </w:tc>
        <w:tc>
          <w:tcPr>
            <w:tcW w:w="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0.4</w:t>
            </w:r>
          </w:p>
        </w:tc>
      </w:tr>
      <w:tr>
        <w:trPr>
          <w:trHeight w:val="230"/>
        </w:trPr>
        <w:tc>
          <w:tcPr>
            <w:tcW w:w="9760" w:type="dxa"/>
            <w:vAlign w:val="bottom"/>
          </w:tcPr>
          <w:p>
            <w:pPr>
              <w:spacing w:after="0"/>
              <w:rPr>
                <w:sz w:val="20"/>
                <w:szCs w:val="20"/>
                <w:color w:val="auto"/>
              </w:rPr>
            </w:pPr>
            <w:r>
              <w:rPr>
                <w:rFonts w:ascii="Arial" w:cs="Arial" w:eastAsia="Arial" w:hAnsi="Arial"/>
                <w:sz w:val="18"/>
                <w:szCs w:val="18"/>
                <w:color w:val="auto"/>
              </w:rPr>
              <w:t>Accounts payable</w:t>
            </w: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(21.6)</w:t>
            </w:r>
          </w:p>
        </w:tc>
      </w:tr>
      <w:tr>
        <w:trPr>
          <w:trHeight w:val="230"/>
        </w:trPr>
        <w:tc>
          <w:tcPr>
            <w:tcW w:w="9760" w:type="dxa"/>
            <w:vAlign w:val="bottom"/>
            <w:shd w:val="clear" w:color="auto" w:fill="CFF0FC"/>
          </w:tcPr>
          <w:p>
            <w:pPr>
              <w:spacing w:after="0"/>
              <w:rPr>
                <w:sz w:val="20"/>
                <w:szCs w:val="20"/>
                <w:color w:val="auto"/>
              </w:rPr>
            </w:pPr>
            <w:r>
              <w:rPr>
                <w:rFonts w:ascii="Arial" w:cs="Arial" w:eastAsia="Arial" w:hAnsi="Arial"/>
                <w:sz w:val="18"/>
                <w:szCs w:val="18"/>
                <w:color w:val="auto"/>
              </w:rPr>
              <w:t>Employee compensation payable</w:t>
            </w:r>
          </w:p>
        </w:tc>
        <w:tc>
          <w:tcPr>
            <w:tcW w:w="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r>
      <w:tr>
        <w:trPr>
          <w:trHeight w:val="230"/>
        </w:trPr>
        <w:tc>
          <w:tcPr>
            <w:tcW w:w="9760" w:type="dxa"/>
            <w:vAlign w:val="bottom"/>
          </w:tcPr>
          <w:p>
            <w:pPr>
              <w:spacing w:after="0"/>
              <w:rPr>
                <w:sz w:val="20"/>
                <w:szCs w:val="20"/>
                <w:color w:val="auto"/>
              </w:rPr>
            </w:pPr>
            <w:r>
              <w:rPr>
                <w:rFonts w:ascii="Arial" w:cs="Arial" w:eastAsia="Arial" w:hAnsi="Arial"/>
                <w:sz w:val="18"/>
                <w:szCs w:val="18"/>
                <w:color w:val="auto"/>
              </w:rPr>
              <w:t>Accrued liabilities</w:t>
            </w: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30"/>
        </w:trPr>
        <w:tc>
          <w:tcPr>
            <w:tcW w:w="9760" w:type="dxa"/>
            <w:vAlign w:val="bottom"/>
            <w:shd w:val="clear" w:color="auto" w:fill="CFF0FC"/>
          </w:tcPr>
          <w:p>
            <w:pPr>
              <w:spacing w:after="0"/>
              <w:rPr>
                <w:sz w:val="20"/>
                <w:szCs w:val="20"/>
                <w:color w:val="auto"/>
              </w:rPr>
            </w:pPr>
            <w:r>
              <w:rPr>
                <w:rFonts w:ascii="Arial" w:cs="Arial" w:eastAsia="Arial" w:hAnsi="Arial"/>
                <w:sz w:val="18"/>
                <w:szCs w:val="18"/>
                <w:color w:val="auto"/>
              </w:rPr>
              <w:t>Accrued payroll taxes and insurance</w:t>
            </w:r>
          </w:p>
        </w:tc>
        <w:tc>
          <w:tcPr>
            <w:tcW w:w="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w:t>
            </w:r>
          </w:p>
        </w:tc>
      </w:tr>
      <w:tr>
        <w:trPr>
          <w:trHeight w:val="230"/>
        </w:trPr>
        <w:tc>
          <w:tcPr>
            <w:tcW w:w="9760" w:type="dxa"/>
            <w:vAlign w:val="bottom"/>
          </w:tcPr>
          <w:p>
            <w:pPr>
              <w:spacing w:after="0"/>
              <w:rPr>
                <w:sz w:val="20"/>
                <w:szCs w:val="20"/>
                <w:color w:val="auto"/>
              </w:rPr>
            </w:pPr>
            <w:r>
              <w:rPr>
                <w:rFonts w:ascii="Arial" w:cs="Arial" w:eastAsia="Arial" w:hAnsi="Arial"/>
                <w:sz w:val="18"/>
                <w:szCs w:val="18"/>
                <w:color w:val="auto"/>
              </w:rPr>
              <w:t>Value added taxes payable</w:t>
            </w: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30"/>
        </w:trPr>
        <w:tc>
          <w:tcPr>
            <w:tcW w:w="9760" w:type="dxa"/>
            <w:vAlign w:val="bottom"/>
            <w:shd w:val="clear" w:color="auto" w:fill="CFF0FC"/>
          </w:tcPr>
          <w:p>
            <w:pPr>
              <w:spacing w:after="0"/>
              <w:rPr>
                <w:sz w:val="20"/>
                <w:szCs w:val="20"/>
                <w:color w:val="auto"/>
              </w:rPr>
            </w:pPr>
            <w:r>
              <w:rPr>
                <w:rFonts w:ascii="Arial" w:cs="Arial" w:eastAsia="Arial" w:hAnsi="Arial"/>
                <w:sz w:val="18"/>
                <w:szCs w:val="18"/>
                <w:color w:val="auto"/>
              </w:rPr>
              <w:t>Other long-term liabilities</w:t>
            </w:r>
          </w:p>
        </w:tc>
        <w:tc>
          <w:tcPr>
            <w:tcW w:w="20" w:type="dxa"/>
            <w:vAlign w:val="bottom"/>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(24.6)</w:t>
            </w:r>
          </w:p>
        </w:tc>
      </w:tr>
      <w:tr>
        <w:trPr>
          <w:trHeight w:val="223"/>
        </w:trPr>
        <w:tc>
          <w:tcPr>
            <w:tcW w:w="9760" w:type="dxa"/>
            <w:vAlign w:val="bottom"/>
          </w:tcPr>
          <w:p>
            <w:pPr>
              <w:ind w:left="260"/>
              <w:spacing w:after="0"/>
              <w:rPr>
                <w:sz w:val="20"/>
                <w:szCs w:val="20"/>
                <w:color w:val="auto"/>
              </w:rPr>
            </w:pPr>
            <w:r>
              <w:rPr>
                <w:rFonts w:ascii="Arial" w:cs="Arial" w:eastAsia="Arial" w:hAnsi="Arial"/>
                <w:sz w:val="18"/>
                <w:szCs w:val="18"/>
                <w:color w:val="auto"/>
              </w:rPr>
              <w:t>Total assets acquired, and liabilities assumed</w:t>
            </w:r>
          </w:p>
        </w:tc>
        <w:tc>
          <w:tcPr>
            <w:tcW w:w="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470"/>
              <w:spacing w:after="0"/>
              <w:rPr>
                <w:sz w:val="20"/>
                <w:szCs w:val="20"/>
                <w:color w:val="auto"/>
              </w:rPr>
            </w:pPr>
            <w:r>
              <w:rPr>
                <w:rFonts w:ascii="Arial" w:cs="Arial" w:eastAsia="Arial" w:hAnsi="Arial"/>
                <w:sz w:val="10"/>
                <w:szCs w:val="10"/>
                <w:color w:val="auto"/>
                <w:w w:val="71"/>
              </w:rPr>
              <w:t>$</w:t>
            </w: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415.1</w:t>
            </w:r>
          </w:p>
        </w:tc>
      </w:tr>
      <w:tr>
        <w:trPr>
          <w:trHeight w:val="20"/>
        </w:trPr>
        <w:tc>
          <w:tcPr>
            <w:tcW w:w="9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The amounts in the above table represent the preliminary allocation of purchase price and are subject to revision when valuations are finalized for intangible assets in the fourth quarter of 2019. The customer relationship intangible asset is expected to be amortized over a 15 year useful life. The goodwill from the acquisition is not expected to be deductible for income tax purposes.</w:t>
      </w:r>
    </w:p>
    <w:p>
      <w:pPr>
        <w:spacing w:after="0" w:line="154" w:lineRule="exact"/>
        <w:rPr>
          <w:sz w:val="20"/>
          <w:szCs w:val="20"/>
          <w:color w:val="auto"/>
        </w:rPr>
      </w:pPr>
    </w:p>
    <w:p>
      <w:pPr>
        <w:ind w:right="180"/>
        <w:spacing w:after="0" w:line="258" w:lineRule="auto"/>
        <w:rPr>
          <w:sz w:val="20"/>
          <w:szCs w:val="20"/>
          <w:color w:val="auto"/>
        </w:rPr>
      </w:pPr>
      <w:r>
        <w:rPr>
          <w:rFonts w:ascii="Arial" w:cs="Arial" w:eastAsia="Arial" w:hAnsi="Arial"/>
          <w:sz w:val="18"/>
          <w:szCs w:val="18"/>
          <w:color w:val="auto"/>
        </w:rPr>
        <w:t>Manpower Switzerland contributed net revenues from services of $227.8 since the acquisition. Our consolidated unaudited proforma historical net revenues from services, as if Manpower Switzerland had been acquired at the beginning of 2018, are estimated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40" w:type="dxa"/>
            <w:vAlign w:val="bottom"/>
          </w:tcPr>
          <w:p>
            <w:pPr>
              <w:spacing w:after="0"/>
              <w:rPr>
                <w:sz w:val="19"/>
                <w:szCs w:val="19"/>
                <w:color w:val="auto"/>
              </w:rPr>
            </w:pPr>
          </w:p>
        </w:tc>
        <w:tc>
          <w:tcPr>
            <w:tcW w:w="2960" w:type="dxa"/>
            <w:vAlign w:val="bottom"/>
            <w:tcBorders>
              <w:bottom w:val="single" w:sz="8" w:color="auto"/>
            </w:tcBorders>
            <w:gridSpan w:val="4"/>
          </w:tcPr>
          <w:p>
            <w:pPr>
              <w:ind w:left="640"/>
              <w:spacing w:after="0"/>
              <w:rPr>
                <w:sz w:val="20"/>
                <w:szCs w:val="20"/>
                <w:color w:val="auto"/>
              </w:rPr>
            </w:pPr>
            <w:r>
              <w:rPr>
                <w:rFonts w:ascii="Arial" w:cs="Arial" w:eastAsia="Arial" w:hAnsi="Arial"/>
                <w:sz w:val="18"/>
                <w:szCs w:val="18"/>
                <w:color w:val="auto"/>
                <w:w w:val="90"/>
              </w:rPr>
              <w:t>3 Months Ended September 30,</w:t>
            </w:r>
          </w:p>
        </w:tc>
        <w:tc>
          <w:tcPr>
            <w:tcW w:w="7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3240" w:type="dxa"/>
            <w:vAlign w:val="bottom"/>
            <w:tcBorders>
              <w:bottom w:val="single" w:sz="8" w:color="auto"/>
            </w:tcBorders>
            <w:gridSpan w:val="4"/>
          </w:tcPr>
          <w:p>
            <w:pPr>
              <w:jc w:val="right"/>
              <w:ind w:right="610"/>
              <w:spacing w:after="0"/>
              <w:rPr>
                <w:sz w:val="20"/>
                <w:szCs w:val="20"/>
                <w:color w:val="auto"/>
              </w:rPr>
            </w:pPr>
            <w:r>
              <w:rPr>
                <w:rFonts w:ascii="Arial" w:cs="Arial" w:eastAsia="Arial" w:hAnsi="Arial"/>
                <w:sz w:val="18"/>
                <w:szCs w:val="18"/>
                <w:color w:val="auto"/>
                <w:w w:val="99"/>
              </w:rPr>
              <w:t>9 Months Ended September 30,</w:t>
            </w:r>
          </w:p>
        </w:tc>
      </w:tr>
      <w:tr>
        <w:trPr>
          <w:trHeight w:val="223"/>
        </w:trPr>
        <w:tc>
          <w:tcPr>
            <w:tcW w:w="4040" w:type="dxa"/>
            <w:vAlign w:val="bottom"/>
            <w:tcBorders>
              <w:bottom w:val="single" w:sz="8" w:color="CFF0FC"/>
            </w:tcBorders>
          </w:tcPr>
          <w:p>
            <w:pPr>
              <w:spacing w:after="0"/>
              <w:rPr>
                <w:sz w:val="19"/>
                <w:szCs w:val="19"/>
                <w:color w:val="auto"/>
              </w:rPr>
            </w:pPr>
          </w:p>
        </w:tc>
        <w:tc>
          <w:tcPr>
            <w:tcW w:w="1060" w:type="dxa"/>
            <w:vAlign w:val="bottom"/>
            <w:tcBorders>
              <w:bottom w:val="single" w:sz="8" w:color="auto"/>
            </w:tcBorders>
          </w:tcPr>
          <w:p>
            <w:pPr>
              <w:ind w:left="640"/>
              <w:spacing w:after="0"/>
              <w:rPr>
                <w:sz w:val="20"/>
                <w:szCs w:val="20"/>
                <w:color w:val="auto"/>
              </w:rPr>
            </w:pPr>
            <w:r>
              <w:rPr>
                <w:rFonts w:ascii="Arial" w:cs="Arial" w:eastAsia="Arial" w:hAnsi="Arial"/>
                <w:sz w:val="18"/>
                <w:szCs w:val="18"/>
                <w:color w:val="auto"/>
                <w:w w:val="99"/>
              </w:rPr>
              <w:t>2019</w:t>
            </w:r>
          </w:p>
        </w:tc>
        <w:tc>
          <w:tcPr>
            <w:tcW w:w="720" w:type="dxa"/>
            <w:vAlign w:val="bottom"/>
            <w:tcBorders>
              <w:bottom w:val="single" w:sz="8" w:color="auto"/>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2018</w:t>
            </w:r>
          </w:p>
        </w:tc>
        <w:tc>
          <w:tcPr>
            <w:tcW w:w="720" w:type="dxa"/>
            <w:vAlign w:val="bottom"/>
            <w:tcBorders>
              <w:bottom w:val="single" w:sz="8" w:color="auto"/>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color w:val="auto"/>
              </w:rPr>
              <w:t>2019</w:t>
            </w:r>
          </w:p>
        </w:tc>
        <w:tc>
          <w:tcPr>
            <w:tcW w:w="1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color w:val="auto"/>
              </w:rPr>
              <w:t>2018</w:t>
            </w:r>
          </w:p>
        </w:tc>
      </w:tr>
      <w:tr>
        <w:trPr>
          <w:trHeight w:val="223"/>
        </w:trPr>
        <w:tc>
          <w:tcPr>
            <w:tcW w:w="4040" w:type="dxa"/>
            <w:vAlign w:val="bottom"/>
            <w:shd w:val="clear" w:color="auto" w:fill="CFF0FC"/>
          </w:tcPr>
          <w:p>
            <w:pPr>
              <w:spacing w:after="0"/>
              <w:rPr>
                <w:sz w:val="20"/>
                <w:szCs w:val="20"/>
                <w:color w:val="auto"/>
              </w:rPr>
            </w:pPr>
            <w:r>
              <w:rPr>
                <w:rFonts w:ascii="Arial" w:cs="Arial" w:eastAsia="Arial" w:hAnsi="Arial"/>
                <w:sz w:val="18"/>
                <w:szCs w:val="18"/>
                <w:color w:val="auto"/>
              </w:rPr>
              <w:t>Net revenues from services</w:t>
            </w:r>
          </w:p>
        </w:tc>
        <w:tc>
          <w:tcPr>
            <w:tcW w:w="1060" w:type="dxa"/>
            <w:vAlign w:val="bottom"/>
            <w:shd w:val="clear" w:color="auto" w:fill="CFF0FC"/>
          </w:tcPr>
          <w:p>
            <w:pPr>
              <w:jc w:val="right"/>
              <w:ind w:right="89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6"/>
              </w:rPr>
              <w:t>5,248.9</w:t>
            </w: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877"/>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6"/>
              </w:rPr>
              <w:t>5,552.4</w:t>
            </w: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15,765.5</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16,950.1</w:t>
            </w: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Acquisitions</w:t>
      </w:r>
    </w:p>
    <w:p>
      <w:pPr>
        <w:spacing w:after="0" w:line="185" w:lineRule="exact"/>
        <w:rPr>
          <w:sz w:val="20"/>
          <w:szCs w:val="20"/>
          <w:color w:val="auto"/>
        </w:rPr>
      </w:pPr>
    </w:p>
    <w:p>
      <w:pPr>
        <w:ind w:right="200"/>
        <w:spacing w:after="0" w:line="273" w:lineRule="auto"/>
        <w:rPr>
          <w:sz w:val="20"/>
          <w:szCs w:val="20"/>
          <w:color w:val="auto"/>
        </w:rPr>
      </w:pPr>
      <w:r>
        <w:rPr>
          <w:rFonts w:ascii="Arial" w:cs="Arial" w:eastAsia="Arial" w:hAnsi="Arial"/>
          <w:sz w:val="17"/>
          <w:szCs w:val="17"/>
          <w:color w:val="auto"/>
        </w:rPr>
        <w:t>From time to time, we acquire and invest in companies throughout the world, including franchises. The total cash consideration paid for acquisitions excluding Manpower Switzerland and Experis AG, net of cash acquired, was $39.5 for the nine months ended September 30, 2019. The balance includes consideration payments for franchises in the United States and contingent consideration payments related to previous acquisitions, of which $13.0 had been recognized as a liability at the acquisition date. For the nine months ended September 30, 2018, the total cash consideration for acquisitions, net of cash acquired, was $50.9, the majority of which took place in the Netherlands. This balance includes initial acquisition payments of $8.2 and contingent consideration payments of $42.7, of which $18.6 had been recognized as a liability at the acquisition date.</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i w:val="1"/>
          <w:iCs w:val="1"/>
          <w:color w:val="auto"/>
        </w:rPr>
        <w:t>ManpowerGroup Greater China Limited Disposition</w:t>
      </w:r>
    </w:p>
    <w:p>
      <w:pPr>
        <w:spacing w:after="0" w:line="198"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On July 10, 2019, our joint venture in Greater China, ManpowerGroup Greater China Limited, became listed on the Main Board of the Stock Exchange of Hong Kong Limited through an initial public offering. Prior to the initial public offering, we owned a 51% controlling interest in the joint venture and consolidated the financial position and results of its operations into our Consolidated Financial Statements as part of our APME segment. As a result of the offering, in which ManpowerGroup Greater China Limited issued new shares representing 25% of the equity of the company, our ownership interest was diluted to 38.25%, and then further diluted to 36.87% as the underwriters exercised their overallotment option in full on August 7, 2019. As a result, we deconsolidated the joint venture as of the listing date and account for our remaining interest under the equity method of accounting and record our share of equity income or loss in interest and other expenses (income), net in the Consolidated Statement of Operations. In connection with the deconsolidation of the joint venture, we recognized a one-time non-cash gain of $30.4, which was included in selling and administrative expenses in the Consolidated Statement of Operations for the three and nine months ended September 30, 2019. Included in the $30.4 was foreign currency translation adjustment losses of $6.2 related to the joint venture from accumulated other comprehensive income.</w:t>
      </w:r>
    </w:p>
    <w:p>
      <w:pPr>
        <w:spacing w:after="0" w:line="137" w:lineRule="exact"/>
        <w:rPr>
          <w:sz w:val="20"/>
          <w:szCs w:val="20"/>
          <w:color w:val="auto"/>
        </w:rPr>
      </w:pPr>
    </w:p>
    <w:p>
      <w:pPr>
        <w:ind w:left="260" w:hanging="252"/>
        <w:spacing w:after="0"/>
        <w:tabs>
          <w:tab w:leader="none" w:pos="260"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Restructuring Costs</w:t>
      </w:r>
    </w:p>
    <w:p>
      <w:pPr>
        <w:spacing w:after="0" w:line="18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recorded net restructuring costs of $42.5 and $39.3 during the nine months ended September 30, 2019 and 2018 respectively, in selling and administrative expenses, primarily related to severances and office closures and consolidations in multiple countries and territories. During the nine months ended September 30, 2019, the costs paid, utilized or transferred out of our restructuring reserve was $42.5. We expect a majority of the remaining $15.5 reserve will be paid, utilized or transferred out by the end of 2019.</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restructuring reserve by reportable segment and Corporate are shown below.</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3"/>
          </w:tcPr>
          <w:p>
            <w:pPr>
              <w:ind w:left="40"/>
              <w:spacing w:after="0"/>
              <w:rPr>
                <w:sz w:val="20"/>
                <w:szCs w:val="20"/>
                <w:color w:val="auto"/>
              </w:rPr>
            </w:pPr>
            <w:r>
              <w:rPr>
                <w:rFonts w:ascii="Arial" w:cs="Arial" w:eastAsia="Arial" w:hAnsi="Arial"/>
                <w:sz w:val="18"/>
                <w:szCs w:val="18"/>
                <w:b w:val="1"/>
                <w:bCs w:val="1"/>
                <w:color w:val="auto"/>
              </w:rPr>
              <w:t>Southern</w:t>
            </w:r>
          </w:p>
        </w:tc>
        <w:tc>
          <w:tcPr>
            <w:tcW w:w="90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w w:val="97"/>
              </w:rPr>
              <w:t>Northern</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ind w:left="100"/>
              <w:spacing w:after="0"/>
              <w:rPr>
                <w:sz w:val="20"/>
                <w:szCs w:val="20"/>
                <w:color w:val="auto"/>
              </w:rPr>
            </w:pPr>
            <w:r>
              <w:rPr>
                <w:rFonts w:ascii="Arial" w:cs="Arial" w:eastAsia="Arial" w:hAnsi="Arial"/>
                <w:sz w:val="18"/>
                <w:szCs w:val="18"/>
                <w:b w:val="1"/>
                <w:bCs w:val="1"/>
                <w:color w:val="auto"/>
              </w:rPr>
              <w:t>Right</w:t>
            </w: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34"/>
        </w:trPr>
        <w:tc>
          <w:tcPr>
            <w:tcW w:w="3560" w:type="dxa"/>
            <w:vAlign w:val="bottom"/>
          </w:tcPr>
          <w:p>
            <w:pPr>
              <w:spacing w:after="0"/>
              <w:rPr>
                <w:sz w:val="20"/>
                <w:szCs w:val="20"/>
                <w:color w:val="auto"/>
              </w:rPr>
            </w:pPr>
          </w:p>
        </w:tc>
        <w:tc>
          <w:tcPr>
            <w:tcW w:w="1580" w:type="dxa"/>
            <w:vAlign w:val="bottom"/>
            <w:gridSpan w:val="3"/>
          </w:tcPr>
          <w:p>
            <w:pPr>
              <w:ind w:left="560"/>
              <w:spacing w:after="0"/>
              <w:rPr>
                <w:sz w:val="20"/>
                <w:szCs w:val="20"/>
                <w:color w:val="auto"/>
              </w:rPr>
            </w:pPr>
            <w:r>
              <w:rPr>
                <w:rFonts w:ascii="Arial" w:cs="Arial" w:eastAsia="Arial" w:hAnsi="Arial"/>
                <w:sz w:val="18"/>
                <w:szCs w:val="18"/>
                <w:b w:val="1"/>
                <w:bCs w:val="1"/>
                <w:color w:val="auto"/>
              </w:rPr>
              <w:t>Americas</w:t>
            </w:r>
            <w:r>
              <w:rPr>
                <w:rFonts w:ascii="Arial" w:cs="Arial" w:eastAsia="Arial" w:hAnsi="Arial"/>
                <w:sz w:val="15"/>
                <w:szCs w:val="15"/>
                <w:b w:val="1"/>
                <w:bCs w:val="1"/>
                <w:color w:val="auto"/>
              </w:rPr>
              <w:t>(1)</w:t>
            </w:r>
          </w:p>
        </w:tc>
        <w:tc>
          <w:tcPr>
            <w:tcW w:w="100" w:type="dxa"/>
            <w:vAlign w:val="bottom"/>
          </w:tcPr>
          <w:p>
            <w:pPr>
              <w:spacing w:after="0"/>
              <w:rPr>
                <w:sz w:val="20"/>
                <w:szCs w:val="20"/>
                <w:color w:val="auto"/>
              </w:rPr>
            </w:pPr>
          </w:p>
        </w:tc>
        <w:tc>
          <w:tcPr>
            <w:tcW w:w="1020" w:type="dxa"/>
            <w:vAlign w:val="bottom"/>
            <w:gridSpan w:val="3"/>
          </w:tcPr>
          <w:p>
            <w:pPr>
              <w:ind w:left="20"/>
              <w:spacing w:after="0"/>
              <w:rPr>
                <w:sz w:val="20"/>
                <w:szCs w:val="20"/>
                <w:color w:val="auto"/>
              </w:rPr>
            </w:pPr>
            <w:r>
              <w:rPr>
                <w:rFonts w:ascii="Arial" w:cs="Arial" w:eastAsia="Arial" w:hAnsi="Arial"/>
                <w:sz w:val="18"/>
                <w:szCs w:val="18"/>
                <w:b w:val="1"/>
                <w:bCs w:val="1"/>
                <w:color w:val="auto"/>
              </w:rPr>
              <w:t>Europe</w:t>
            </w:r>
            <w:r>
              <w:rPr>
                <w:rFonts w:ascii="Arial" w:cs="Arial" w:eastAsia="Arial" w:hAnsi="Arial"/>
                <w:sz w:val="15"/>
                <w:szCs w:val="15"/>
                <w:b w:val="1"/>
                <w:bCs w:val="1"/>
                <w:color w:val="auto"/>
              </w:rPr>
              <w:t>(2)</w:t>
            </w:r>
          </w:p>
        </w:tc>
        <w:tc>
          <w:tcPr>
            <w:tcW w:w="100" w:type="dxa"/>
            <w:vAlign w:val="bottom"/>
          </w:tcPr>
          <w:p>
            <w:pPr>
              <w:spacing w:after="0"/>
              <w:rPr>
                <w:sz w:val="20"/>
                <w:szCs w:val="20"/>
                <w:color w:val="auto"/>
              </w:rPr>
            </w:pPr>
          </w:p>
        </w:tc>
        <w:tc>
          <w:tcPr>
            <w:tcW w:w="800" w:type="dxa"/>
            <w:vAlign w:val="bottom"/>
          </w:tcPr>
          <w:p>
            <w:pPr>
              <w:jc w:val="right"/>
              <w:ind w:right="130"/>
              <w:spacing w:after="0"/>
              <w:rPr>
                <w:sz w:val="20"/>
                <w:szCs w:val="20"/>
                <w:color w:val="auto"/>
              </w:rPr>
            </w:pPr>
            <w:r>
              <w:rPr>
                <w:rFonts w:ascii="Arial" w:cs="Arial" w:eastAsia="Arial" w:hAnsi="Arial"/>
                <w:sz w:val="18"/>
                <w:szCs w:val="18"/>
                <w:b w:val="1"/>
                <w:bCs w:val="1"/>
                <w:color w:val="auto"/>
                <w:w w:val="90"/>
              </w:rPr>
              <w:t>Europe</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ind w:left="20"/>
              <w:spacing w:after="0"/>
              <w:rPr>
                <w:sz w:val="20"/>
                <w:szCs w:val="20"/>
                <w:color w:val="auto"/>
              </w:rPr>
            </w:pPr>
            <w:r>
              <w:rPr>
                <w:rFonts w:ascii="Arial" w:cs="Arial" w:eastAsia="Arial" w:hAnsi="Arial"/>
                <w:sz w:val="18"/>
                <w:szCs w:val="18"/>
                <w:b w:val="1"/>
                <w:bCs w:val="1"/>
                <w:color w:val="auto"/>
              </w:rPr>
              <w:t>APME</w:t>
            </w:r>
          </w:p>
        </w:tc>
        <w:tc>
          <w:tcPr>
            <w:tcW w:w="1240" w:type="dxa"/>
            <w:vAlign w:val="bottom"/>
            <w:gridSpan w:val="3"/>
          </w:tcPr>
          <w:p>
            <w:pPr>
              <w:spacing w:after="0"/>
              <w:rPr>
                <w:sz w:val="20"/>
                <w:szCs w:val="20"/>
                <w:color w:val="auto"/>
              </w:rPr>
            </w:pPr>
            <w:r>
              <w:rPr>
                <w:rFonts w:ascii="Arial" w:cs="Arial" w:eastAsia="Arial" w:hAnsi="Arial"/>
                <w:sz w:val="18"/>
                <w:szCs w:val="18"/>
                <w:b w:val="1"/>
                <w:bCs w:val="1"/>
                <w:color w:val="auto"/>
              </w:rPr>
              <w:t>Management</w:t>
            </w:r>
          </w:p>
        </w:tc>
        <w:tc>
          <w:tcPr>
            <w:tcW w:w="1020" w:type="dxa"/>
            <w:vAlign w:val="bottom"/>
            <w:gridSpan w:val="3"/>
          </w:tcPr>
          <w:p>
            <w:pPr>
              <w:spacing w:after="0"/>
              <w:rPr>
                <w:sz w:val="20"/>
                <w:szCs w:val="20"/>
                <w:color w:val="auto"/>
              </w:rPr>
            </w:pPr>
            <w:r>
              <w:rPr>
                <w:rFonts w:ascii="Arial" w:cs="Arial" w:eastAsia="Arial" w:hAnsi="Arial"/>
                <w:sz w:val="18"/>
                <w:szCs w:val="18"/>
                <w:b w:val="1"/>
                <w:bCs w:val="1"/>
                <w:color w:val="auto"/>
              </w:rPr>
              <w:t>Corporate</w:t>
            </w:r>
          </w:p>
        </w:tc>
        <w:tc>
          <w:tcPr>
            <w:tcW w:w="140" w:type="dxa"/>
            <w:vAlign w:val="bottom"/>
          </w:tcPr>
          <w:p>
            <w:pPr>
              <w:spacing w:after="0"/>
              <w:rPr>
                <w:sz w:val="20"/>
                <w:szCs w:val="20"/>
                <w:color w:val="auto"/>
              </w:rPr>
            </w:pPr>
          </w:p>
        </w:tc>
        <w:tc>
          <w:tcPr>
            <w:tcW w:w="740" w:type="dxa"/>
            <w:vAlign w:val="bottom"/>
          </w:tcPr>
          <w:p>
            <w:pPr>
              <w:jc w:val="right"/>
              <w:ind w:right="190"/>
              <w:spacing w:after="0"/>
              <w:rPr>
                <w:sz w:val="20"/>
                <w:szCs w:val="20"/>
                <w:color w:val="auto"/>
              </w:rPr>
            </w:pPr>
            <w:r>
              <w:rPr>
                <w:rFonts w:ascii="Arial" w:cs="Arial" w:eastAsia="Arial" w:hAnsi="Arial"/>
                <w:sz w:val="18"/>
                <w:szCs w:val="18"/>
                <w:b w:val="1"/>
                <w:bCs w:val="1"/>
                <w:color w:val="auto"/>
              </w:rPr>
              <w:t>Total</w:t>
            </w:r>
          </w:p>
        </w:tc>
      </w:tr>
      <w:tr>
        <w:trPr>
          <w:trHeight w:val="223"/>
        </w:trPr>
        <w:tc>
          <w:tcPr>
            <w:tcW w:w="35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December 31, 2018</w:t>
            </w:r>
          </w:p>
        </w:tc>
        <w:tc>
          <w:tcPr>
            <w:tcW w:w="56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0.3</w:t>
            </w:r>
          </w:p>
        </w:tc>
        <w:tc>
          <w:tcPr>
            <w:tcW w:w="10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1.7</w:t>
            </w: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13.1</w:t>
            </w: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0.4</w:t>
            </w:r>
          </w:p>
        </w:tc>
        <w:tc>
          <w:tcPr>
            <w:tcW w:w="1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15.5</w:t>
            </w:r>
          </w:p>
        </w:tc>
      </w:tr>
      <w:tr>
        <w:trPr>
          <w:trHeight w:val="230"/>
        </w:trPr>
        <w:tc>
          <w:tcPr>
            <w:tcW w:w="3560" w:type="dxa"/>
            <w:vAlign w:val="bottom"/>
          </w:tcPr>
          <w:p>
            <w:pPr>
              <w:ind w:left="140"/>
              <w:spacing w:after="0"/>
              <w:rPr>
                <w:sz w:val="20"/>
                <w:szCs w:val="20"/>
                <w:color w:val="auto"/>
              </w:rPr>
            </w:pPr>
            <w:r>
              <w:rPr>
                <w:rFonts w:ascii="Arial" w:cs="Arial" w:eastAsia="Arial" w:hAnsi="Arial"/>
                <w:sz w:val="18"/>
                <w:szCs w:val="18"/>
                <w:color w:val="auto"/>
              </w:rPr>
              <w:t>Severance costs</w:t>
            </w: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17.6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32.7</w:t>
            </w:r>
          </w:p>
        </w:tc>
      </w:tr>
      <w:tr>
        <w:trPr>
          <w:trHeight w:val="230"/>
        </w:trPr>
        <w:tc>
          <w:tcPr>
            <w:tcW w:w="35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Office closure costs and other</w:t>
            </w:r>
          </w:p>
        </w:tc>
        <w:tc>
          <w:tcPr>
            <w:tcW w:w="5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0.9</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4.5</w:t>
            </w: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9.8</w:t>
            </w:r>
          </w:p>
        </w:tc>
      </w:tr>
      <w:tr>
        <w:trPr>
          <w:trHeight w:val="230"/>
        </w:trPr>
        <w:tc>
          <w:tcPr>
            <w:tcW w:w="356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Costs paid, utilized or transferred out</w:t>
            </w:r>
            <w:r>
              <w:rPr>
                <w:rFonts w:ascii="Arial" w:cs="Arial" w:eastAsia="Arial" w:hAnsi="Arial"/>
                <w:sz w:val="15"/>
                <w:szCs w:val="15"/>
                <w:color w:val="auto"/>
              </w:rPr>
              <w:t>(3)</w:t>
            </w:r>
          </w:p>
        </w:tc>
        <w:tc>
          <w:tcPr>
            <w:tcW w:w="56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w:t>
            </w:r>
          </w:p>
        </w:tc>
        <w:tc>
          <w:tcPr>
            <w:tcW w:w="1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w:t>
            </w:r>
          </w:p>
        </w:tc>
      </w:tr>
      <w:tr>
        <w:trPr>
          <w:trHeight w:val="223"/>
        </w:trPr>
        <w:tc>
          <w:tcPr>
            <w:tcW w:w="35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September 30, 2019</w:t>
            </w:r>
          </w:p>
        </w:tc>
        <w:tc>
          <w:tcPr>
            <w:tcW w:w="56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9.5</w:t>
            </w:r>
          </w:p>
        </w:tc>
        <w:tc>
          <w:tcPr>
            <w:tcW w:w="1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15.5</w:t>
            </w:r>
          </w:p>
        </w:tc>
      </w:tr>
      <w:tr>
        <w:trPr>
          <w:trHeight w:val="20"/>
        </w:trPr>
        <w:tc>
          <w:tcPr>
            <w:tcW w:w="3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left="480" w:hanging="472"/>
        <w:spacing w:after="0"/>
        <w:tabs>
          <w:tab w:leader="none" w:pos="48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Balances related to the United States were $0.3 and $0.6 as of December 31, 2018 and September 30, 2019, respectively.</w:t>
      </w:r>
    </w:p>
    <w:p>
      <w:pPr>
        <w:spacing w:after="0" w:line="23" w:lineRule="exact"/>
        <w:rPr>
          <w:rFonts w:ascii="Arial" w:cs="Arial" w:eastAsia="Arial" w:hAnsi="Arial"/>
          <w:sz w:val="18"/>
          <w:szCs w:val="18"/>
          <w:color w:val="auto"/>
        </w:rPr>
      </w:pPr>
    </w:p>
    <w:p>
      <w:pPr>
        <w:ind w:left="480" w:right="120" w:hanging="472"/>
        <w:spacing w:after="0" w:line="250" w:lineRule="auto"/>
        <w:tabs>
          <w:tab w:leader="none" w:pos="48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Balances related to France were $0.9 and $0.8 as of December 31, 2018 and September 30, 2019, respectively. Balances related to Italy were $0.5 and $0.7 as of December 31, 2018 and September 30, 2019, respectively.</w:t>
      </w:r>
    </w:p>
    <w:p>
      <w:pPr>
        <w:ind w:left="480" w:hanging="472"/>
        <w:spacing w:after="0"/>
        <w:tabs>
          <w:tab w:leader="none" w:pos="48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Restructuring reserve of $4.6 was transferred to current operating lease liabilities during the nine months ended September 30, 2019.</w:t>
      </w:r>
    </w:p>
    <w:p>
      <w:pPr>
        <w:spacing w:after="0" w:line="170" w:lineRule="exact"/>
        <w:rPr>
          <w:sz w:val="20"/>
          <w:szCs w:val="20"/>
          <w:color w:val="auto"/>
        </w:rPr>
      </w:pPr>
    </w:p>
    <w:p>
      <w:pPr>
        <w:ind w:left="260" w:hanging="252"/>
        <w:spacing w:after="0"/>
        <w:tabs>
          <w:tab w:leader="none" w:pos="26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Income Taxes</w:t>
      </w:r>
    </w:p>
    <w:p>
      <w:pPr>
        <w:spacing w:after="0" w:line="185"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We recorded income tax expense at an effective rate of 28.6% for three months ended September 30, 2019, as compared to an effective rate of 23.0% for the three months ended September 30, 2018. The 2019 rate was unfavorably impacted by the transition of the French CICE subsidy, which was non-taxable, to new French subsidies in January 2019 that are taxable, partially offset by the favorable impact of the gain from the ManpowerGroup Greater China Limited disposition, which was non-taxable. The 2018 rate was favorably impacted by the enactment of the Tax Act of 2017 and certain discrete tax benefits. The 28.6% effective tax rate in the quarter was higher than the United States Federal statutory rate of 21% primarily due to the French business tax and overall mix of earnings.</w:t>
      </w:r>
    </w:p>
    <w:p>
      <w:pPr>
        <w:spacing w:after="0" w:line="166" w:lineRule="exact"/>
        <w:rPr>
          <w:sz w:val="20"/>
          <w:szCs w:val="20"/>
          <w:color w:val="auto"/>
        </w:rPr>
      </w:pPr>
    </w:p>
    <w:p>
      <w:pPr>
        <w:jc w:val="both"/>
        <w:ind w:right="100"/>
        <w:spacing w:after="0" w:line="286" w:lineRule="auto"/>
        <w:rPr>
          <w:sz w:val="20"/>
          <w:szCs w:val="20"/>
          <w:color w:val="auto"/>
        </w:rPr>
      </w:pPr>
      <w:r>
        <w:rPr>
          <w:rFonts w:ascii="Arial" w:cs="Arial" w:eastAsia="Arial" w:hAnsi="Arial"/>
          <w:sz w:val="17"/>
          <w:szCs w:val="17"/>
          <w:color w:val="auto"/>
        </w:rPr>
        <w:t>We recorded income tax expense at the effective rate of 34.5% for the nine months ended September 30, 2019, as compared to an effective rate of 26.3% for the nine months ended September 30, 2018. The 34.5% effective tax rate was higher than the United States Federal statutory rate of 21% primarily due to the French business tax, our overall mix of earnings, and the recognition of valuation allowances in Germany.</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5" w:name="page16"/>
    <w:bookmarkEnd w:id="15"/>
    <w:p>
      <w:pPr>
        <w:jc w:val="both"/>
        <w:ind w:right="280"/>
        <w:spacing w:after="0" w:line="312" w:lineRule="auto"/>
        <w:rPr>
          <w:sz w:val="20"/>
          <w:szCs w:val="20"/>
          <w:color w:val="auto"/>
        </w:rPr>
      </w:pPr>
      <w:r>
        <w:rPr>
          <w:rFonts w:ascii="Arial" w:cs="Arial" w:eastAsia="Arial" w:hAnsi="Arial"/>
          <w:sz w:val="16"/>
          <w:szCs w:val="16"/>
          <w:color w:val="auto"/>
        </w:rPr>
        <w:t>As of September 30, 2019, we had gross unrecognized tax benefits related to various tax jurisdictions, including interest and penalties, of $31.1 that would favorably impact the effective tax rate if recognized. As of December 31, 2018, we had gross unrecognized tax benefits related to various tax jurisdictions, including interest and penalties, of $34.2. We do not expect our unrecognized tax benefits to change significantly over the next 12 months.</w:t>
      </w:r>
    </w:p>
    <w:p>
      <w:pPr>
        <w:spacing w:after="0" w:line="120"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We conduct business globally in various countries and territories. We are routinely audited by the tax authorities of the various tax jurisdictions in which we operate. Generally, the tax years that could be subject to examination are 2012 through 2019 for our major operations in France, Germany, Japan, the United Kingdom and the United States. As of September 30, 2019, we are subject to tax audits in Austria, Canada, Denmark, Germany and the United States. We believe that the resolution of these audits will not have a material impact on earnings.</w:t>
      </w:r>
    </w:p>
    <w:p>
      <w:pPr>
        <w:spacing w:after="0" w:line="131" w:lineRule="exact"/>
        <w:rPr>
          <w:sz w:val="20"/>
          <w:szCs w:val="20"/>
          <w:color w:val="auto"/>
        </w:rPr>
      </w:pPr>
    </w:p>
    <w:p>
      <w:pPr>
        <w:ind w:left="260" w:hanging="252"/>
        <w:spacing w:after="0"/>
        <w:tabs>
          <w:tab w:leader="none" w:pos="260"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Net Earnings Per Share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calculations of net earnings per share – basic and net earnings per share – diluted were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40" w:type="dxa"/>
            <w:vAlign w:val="bottom"/>
            <w:gridSpan w:val="4"/>
          </w:tcPr>
          <w:p>
            <w:pPr>
              <w:jc w:val="right"/>
              <w:ind w:right="570"/>
              <w:spacing w:after="0"/>
              <w:rPr>
                <w:sz w:val="20"/>
                <w:szCs w:val="20"/>
                <w:color w:val="auto"/>
              </w:rPr>
            </w:pPr>
            <w:r>
              <w:rPr>
                <w:rFonts w:ascii="Arial" w:cs="Arial" w:eastAsia="Arial" w:hAnsi="Arial"/>
                <w:sz w:val="18"/>
                <w:szCs w:val="18"/>
                <w:b w:val="1"/>
                <w:bCs w:val="1"/>
                <w:color w:val="auto"/>
              </w:rPr>
              <w:t>3 Months Ended</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500" w:type="dxa"/>
            <w:vAlign w:val="bottom"/>
            <w:gridSpan w:val="4"/>
          </w:tcPr>
          <w:p>
            <w:pPr>
              <w:jc w:val="right"/>
              <w:ind w:right="710"/>
              <w:spacing w:after="0"/>
              <w:rPr>
                <w:sz w:val="20"/>
                <w:szCs w:val="20"/>
                <w:color w:val="auto"/>
              </w:rPr>
            </w:pPr>
            <w:r>
              <w:rPr>
                <w:rFonts w:ascii="Arial" w:cs="Arial" w:eastAsia="Arial" w:hAnsi="Arial"/>
                <w:sz w:val="18"/>
                <w:szCs w:val="18"/>
                <w:b w:val="1"/>
                <w:bCs w:val="1"/>
                <w:color w:val="auto"/>
              </w:rPr>
              <w:t>9 Months Ended</w:t>
            </w:r>
          </w:p>
        </w:tc>
        <w:tc>
          <w:tcPr>
            <w:tcW w:w="0" w:type="dxa"/>
            <w:vAlign w:val="bottom"/>
          </w:tcPr>
          <w:p>
            <w:pPr>
              <w:spacing w:after="0"/>
              <w:rPr>
                <w:sz w:val="1"/>
                <w:szCs w:val="1"/>
                <w:color w:val="auto"/>
              </w:rPr>
            </w:pPr>
          </w:p>
        </w:tc>
      </w:tr>
      <w:tr>
        <w:trPr>
          <w:trHeight w:val="234"/>
        </w:trPr>
        <w:tc>
          <w:tcPr>
            <w:tcW w:w="5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4"/>
          </w:tcPr>
          <w:p>
            <w:pPr>
              <w:jc w:val="right"/>
              <w:ind w:right="650"/>
              <w:spacing w:after="0"/>
              <w:rPr>
                <w:sz w:val="20"/>
                <w:szCs w:val="20"/>
                <w:color w:val="auto"/>
              </w:rPr>
            </w:pPr>
            <w:r>
              <w:rPr>
                <w:rFonts w:ascii="Arial" w:cs="Arial" w:eastAsia="Arial" w:hAnsi="Arial"/>
                <w:sz w:val="18"/>
                <w:szCs w:val="18"/>
                <w:b w:val="1"/>
                <w:bCs w:val="1"/>
                <w:color w:val="auto"/>
              </w:rPr>
              <w:t>September 30,</w:t>
            </w:r>
          </w:p>
        </w:tc>
        <w:tc>
          <w:tcPr>
            <w:tcW w:w="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gridSpan w:val="4"/>
          </w:tcPr>
          <w:p>
            <w:pPr>
              <w:jc w:val="right"/>
              <w:ind w:right="79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23"/>
        </w:trPr>
        <w:tc>
          <w:tcPr>
            <w:tcW w:w="5180" w:type="dxa"/>
            <w:vAlign w:val="bottom"/>
            <w:tcBorders>
              <w:bottom w:val="single" w:sz="8" w:color="CFF0FC"/>
            </w:tcBorders>
          </w:tcPr>
          <w:p>
            <w:pPr>
              <w:spacing w:after="0"/>
              <w:rPr>
                <w:sz w:val="19"/>
                <w:szCs w:val="19"/>
                <w:color w:val="auto"/>
              </w:rPr>
            </w:pPr>
          </w:p>
        </w:tc>
        <w:tc>
          <w:tcPr>
            <w:tcW w:w="9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1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1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1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23"/>
        </w:trPr>
        <w:tc>
          <w:tcPr>
            <w:tcW w:w="51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earnings available to common shareholders</w:t>
            </w:r>
          </w:p>
        </w:tc>
        <w:tc>
          <w:tcPr>
            <w:tcW w:w="9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146.1</w:t>
            </w:r>
          </w:p>
        </w:tc>
        <w:tc>
          <w:tcPr>
            <w:tcW w:w="1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158.0</w:t>
            </w:r>
          </w:p>
        </w:tc>
        <w:tc>
          <w:tcPr>
            <w:tcW w:w="1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326.9</w:t>
            </w:r>
          </w:p>
        </w:tc>
        <w:tc>
          <w:tcPr>
            <w:tcW w:w="1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398.4</w:t>
            </w:r>
          </w:p>
        </w:tc>
        <w:tc>
          <w:tcPr>
            <w:tcW w:w="0" w:type="dxa"/>
            <w:vAlign w:val="bottom"/>
          </w:tcPr>
          <w:p>
            <w:pPr>
              <w:spacing w:after="0"/>
              <w:rPr>
                <w:sz w:val="1"/>
                <w:szCs w:val="1"/>
                <w:color w:val="auto"/>
              </w:rPr>
            </w:pPr>
          </w:p>
        </w:tc>
      </w:tr>
      <w:tr>
        <w:trPr>
          <w:trHeight w:val="20"/>
        </w:trPr>
        <w:tc>
          <w:tcPr>
            <w:tcW w:w="5180" w:type="dxa"/>
            <w:vAlign w:val="bottom"/>
            <w:vMerge w:val="restart"/>
          </w:tcPr>
          <w:p>
            <w:pPr>
              <w:spacing w:after="0"/>
              <w:rPr>
                <w:sz w:val="20"/>
                <w:szCs w:val="20"/>
                <w:color w:val="auto"/>
              </w:rPr>
            </w:pPr>
            <w:r>
              <w:rPr>
                <w:rFonts w:ascii="Arial" w:cs="Arial" w:eastAsia="Arial" w:hAnsi="Arial"/>
                <w:sz w:val="18"/>
                <w:szCs w:val="18"/>
                <w:color w:val="auto"/>
              </w:rPr>
              <w:t>Weighted-average common shares outstanding (in millions)</w:t>
            </w:r>
          </w:p>
        </w:tc>
        <w:tc>
          <w:tcPr>
            <w:tcW w:w="9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80" w:type="dxa"/>
            <w:vAlign w:val="bottom"/>
            <w:vMerge w:val="continue"/>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Weighted-average common shares outstanding - basic</w:t>
            </w:r>
          </w:p>
        </w:tc>
        <w:tc>
          <w:tcPr>
            <w:tcW w:w="9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59.9</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64.5</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60.2</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65.6</w:t>
            </w:r>
          </w:p>
        </w:tc>
        <w:tc>
          <w:tcPr>
            <w:tcW w:w="0" w:type="dxa"/>
            <w:vAlign w:val="bottom"/>
          </w:tcPr>
          <w:p>
            <w:pPr>
              <w:spacing w:after="0"/>
              <w:rPr>
                <w:sz w:val="1"/>
                <w:szCs w:val="1"/>
                <w:color w:val="auto"/>
              </w:rPr>
            </w:pPr>
          </w:p>
        </w:tc>
      </w:tr>
      <w:tr>
        <w:trPr>
          <w:trHeight w:val="230"/>
        </w:trPr>
        <w:tc>
          <w:tcPr>
            <w:tcW w:w="5180" w:type="dxa"/>
            <w:vAlign w:val="bottom"/>
          </w:tcPr>
          <w:p>
            <w:pPr>
              <w:ind w:left="500"/>
              <w:spacing w:after="0"/>
              <w:rPr>
                <w:sz w:val="20"/>
                <w:szCs w:val="20"/>
                <w:color w:val="auto"/>
              </w:rPr>
            </w:pPr>
            <w:r>
              <w:rPr>
                <w:rFonts w:ascii="Arial" w:cs="Arial" w:eastAsia="Arial" w:hAnsi="Arial"/>
                <w:sz w:val="18"/>
                <w:szCs w:val="18"/>
                <w:color w:val="auto"/>
              </w:rPr>
              <w:t>Effect of dilutive securities - stock options</w:t>
            </w: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0.1</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0.1</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0.1</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30"/>
        </w:trPr>
        <w:tc>
          <w:tcPr>
            <w:tcW w:w="51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Effect of other share-based awards</w:t>
            </w:r>
          </w:p>
        </w:tc>
        <w:tc>
          <w:tcPr>
            <w:tcW w:w="9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0.3</w:t>
            </w:r>
          </w:p>
        </w:tc>
        <w:tc>
          <w:tcPr>
            <w:tcW w:w="1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0.4</w:t>
            </w:r>
          </w:p>
        </w:tc>
        <w:tc>
          <w:tcPr>
            <w:tcW w:w="1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0.3</w:t>
            </w:r>
          </w:p>
        </w:tc>
        <w:tc>
          <w:tcPr>
            <w:tcW w:w="1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63"/>
        </w:trPr>
        <w:tc>
          <w:tcPr>
            <w:tcW w:w="51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Weighted-average common shares outstanding - diluted</w:t>
            </w:r>
          </w:p>
        </w:tc>
        <w:tc>
          <w:tcPr>
            <w:tcW w:w="900" w:type="dxa"/>
            <w:vAlign w:val="bottom"/>
            <w:tcBorders>
              <w:bottom w:val="single" w:sz="8" w:color="CFF0FC"/>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60.3</w:t>
            </w:r>
          </w:p>
        </w:tc>
        <w:tc>
          <w:tcPr>
            <w:tcW w:w="14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65.0</w:t>
            </w:r>
          </w:p>
        </w:tc>
        <w:tc>
          <w:tcPr>
            <w:tcW w:w="140" w:type="dxa"/>
            <w:vAlign w:val="bottom"/>
            <w:tcBorders>
              <w:bottom w:val="single" w:sz="8" w:color="CFF0FC"/>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60.6</w:t>
            </w:r>
          </w:p>
        </w:tc>
        <w:tc>
          <w:tcPr>
            <w:tcW w:w="140" w:type="dxa"/>
            <w:vAlign w:val="bottom"/>
            <w:tcBorders>
              <w:bottom w:val="single" w:sz="8" w:color="CFF0FC"/>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66.1</w:t>
            </w:r>
          </w:p>
        </w:tc>
        <w:tc>
          <w:tcPr>
            <w:tcW w:w="0" w:type="dxa"/>
            <w:vAlign w:val="bottom"/>
          </w:tcPr>
          <w:p>
            <w:pPr>
              <w:spacing w:after="0"/>
              <w:rPr>
                <w:sz w:val="1"/>
                <w:szCs w:val="1"/>
                <w:color w:val="auto"/>
              </w:rPr>
            </w:pPr>
          </w:p>
        </w:tc>
      </w:tr>
      <w:tr>
        <w:trPr>
          <w:trHeight w:val="210"/>
        </w:trPr>
        <w:tc>
          <w:tcPr>
            <w:tcW w:w="51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earnings per share - basic</w:t>
            </w:r>
          </w:p>
        </w:tc>
        <w:tc>
          <w:tcPr>
            <w:tcW w:w="9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2.44</w:t>
            </w:r>
          </w:p>
        </w:tc>
        <w:tc>
          <w:tcPr>
            <w:tcW w:w="1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2.45</w:t>
            </w:r>
          </w:p>
        </w:tc>
        <w:tc>
          <w:tcPr>
            <w:tcW w:w="1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5.43</w:t>
            </w:r>
          </w:p>
        </w:tc>
        <w:tc>
          <w:tcPr>
            <w:tcW w:w="1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6.08</w:t>
            </w:r>
          </w:p>
        </w:tc>
        <w:tc>
          <w:tcPr>
            <w:tcW w:w="0" w:type="dxa"/>
            <w:vAlign w:val="bottom"/>
          </w:tcPr>
          <w:p>
            <w:pPr>
              <w:spacing w:after="0"/>
              <w:rPr>
                <w:sz w:val="1"/>
                <w:szCs w:val="1"/>
                <w:color w:val="auto"/>
              </w:rPr>
            </w:pPr>
          </w:p>
        </w:tc>
      </w:tr>
      <w:tr>
        <w:trPr>
          <w:trHeight w:val="20"/>
        </w:trPr>
        <w:tc>
          <w:tcPr>
            <w:tcW w:w="5180" w:type="dxa"/>
            <w:vAlign w:val="bottom"/>
            <w:vMerge w:val="restart"/>
          </w:tcPr>
          <w:p>
            <w:pPr>
              <w:spacing w:after="0"/>
              <w:rPr>
                <w:sz w:val="20"/>
                <w:szCs w:val="20"/>
                <w:color w:val="auto"/>
              </w:rPr>
            </w:pPr>
            <w:r>
              <w:rPr>
                <w:rFonts w:ascii="Arial" w:cs="Arial" w:eastAsia="Arial" w:hAnsi="Arial"/>
                <w:sz w:val="18"/>
                <w:szCs w:val="18"/>
                <w:color w:val="auto"/>
              </w:rPr>
              <w:t>Net earnings per share - diluted</w:t>
            </w:r>
          </w:p>
        </w:tc>
        <w:tc>
          <w:tcPr>
            <w:tcW w:w="110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80" w:type="dxa"/>
            <w:vAlign w:val="bottom"/>
            <w:vMerge w:val="continue"/>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2.42</w:t>
            </w:r>
          </w:p>
        </w:tc>
        <w:tc>
          <w:tcPr>
            <w:tcW w:w="14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2.43</w:t>
            </w:r>
          </w:p>
        </w:tc>
        <w:tc>
          <w:tcPr>
            <w:tcW w:w="14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5.40</w:t>
            </w:r>
          </w:p>
        </w:tc>
        <w:tc>
          <w:tcPr>
            <w:tcW w:w="14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6.03</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There were 0.4 million and 0.3 million share-based awards excluded from the calculation of net earnings per share – diluted for the three months ended September 30, 2019 and 2018, respectively, and for the nine months ended September 30, 2019 and 2018, respectively, because their impact was anti-dilutive.</w:t>
      </w:r>
    </w:p>
    <w:p>
      <w:pPr>
        <w:spacing w:after="0" w:line="97" w:lineRule="exact"/>
        <w:rPr>
          <w:sz w:val="20"/>
          <w:szCs w:val="20"/>
          <w:color w:val="auto"/>
        </w:rPr>
      </w:pPr>
    </w:p>
    <w:p>
      <w:pPr>
        <w:ind w:left="260" w:hanging="252"/>
        <w:spacing w:after="0"/>
        <w:tabs>
          <w:tab w:leader="none" w:pos="260"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Goodwill and Other Intangible Assets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We have goodwill, finite-lived intangible assets and indefinite-lived intangible assets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6"/>
          </w:tcPr>
          <w:p>
            <w:pPr>
              <w:jc w:val="right"/>
              <w:ind w:right="90"/>
              <w:spacing w:after="0"/>
              <w:rPr>
                <w:sz w:val="20"/>
                <w:szCs w:val="20"/>
                <w:color w:val="auto"/>
              </w:rPr>
            </w:pPr>
            <w:r>
              <w:rPr>
                <w:rFonts w:ascii="Arial" w:cs="Arial" w:eastAsia="Arial" w:hAnsi="Arial"/>
                <w:sz w:val="18"/>
                <w:szCs w:val="18"/>
                <w:b w:val="1"/>
                <w:bCs w:val="1"/>
                <w:color w:val="auto"/>
              </w:rPr>
              <w:t>September 30, 2019</w:t>
            </w:r>
          </w:p>
        </w:tc>
        <w:tc>
          <w:tcPr>
            <w:tcW w:w="8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5"/>
          </w:tcPr>
          <w:p>
            <w:pPr>
              <w:ind w:left="20"/>
              <w:spacing w:after="0"/>
              <w:rPr>
                <w:sz w:val="20"/>
                <w:szCs w:val="20"/>
                <w:color w:val="auto"/>
              </w:rPr>
            </w:pPr>
            <w:r>
              <w:rPr>
                <w:rFonts w:ascii="Arial" w:cs="Arial" w:eastAsia="Arial" w:hAnsi="Arial"/>
                <w:sz w:val="18"/>
                <w:szCs w:val="18"/>
                <w:b w:val="1"/>
                <w:bCs w:val="1"/>
                <w:color w:val="auto"/>
                <w:w w:val="88"/>
              </w:rPr>
              <w:t>December 31, 2018</w:t>
            </w: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4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3"/>
          </w:tcPr>
          <w:p>
            <w:pPr>
              <w:spacing w:after="0" w:line="205" w:lineRule="exact"/>
              <w:rPr>
                <w:sz w:val="20"/>
                <w:szCs w:val="20"/>
                <w:color w:val="auto"/>
              </w:rPr>
            </w:pPr>
            <w:r>
              <w:rPr>
                <w:rFonts w:ascii="Arial" w:cs="Arial" w:eastAsia="Arial" w:hAnsi="Arial"/>
                <w:sz w:val="18"/>
                <w:szCs w:val="18"/>
                <w:b w:val="1"/>
                <w:bCs w:val="1"/>
                <w:color w:val="auto"/>
              </w:rPr>
              <w:t>Accumulated</w:t>
            </w: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3"/>
          </w:tcPr>
          <w:p>
            <w:pPr>
              <w:spacing w:after="0" w:line="205" w:lineRule="exact"/>
              <w:rPr>
                <w:sz w:val="20"/>
                <w:szCs w:val="20"/>
                <w:color w:val="auto"/>
              </w:rPr>
            </w:pPr>
            <w:r>
              <w:rPr>
                <w:rFonts w:ascii="Arial" w:cs="Arial" w:eastAsia="Arial" w:hAnsi="Arial"/>
                <w:sz w:val="18"/>
                <w:szCs w:val="18"/>
                <w:b w:val="1"/>
                <w:bCs w:val="1"/>
                <w:color w:val="auto"/>
              </w:rPr>
              <w:t>Accumulated</w:t>
            </w: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ind w:left="60"/>
              <w:spacing w:after="0"/>
              <w:rPr>
                <w:sz w:val="20"/>
                <w:szCs w:val="20"/>
                <w:color w:val="auto"/>
              </w:rPr>
            </w:pPr>
            <w:r>
              <w:rPr>
                <w:rFonts w:ascii="Arial" w:cs="Arial" w:eastAsia="Arial" w:hAnsi="Arial"/>
                <w:sz w:val="18"/>
                <w:szCs w:val="18"/>
                <w:b w:val="1"/>
                <w:bCs w:val="1"/>
                <w:color w:val="auto"/>
              </w:rPr>
              <w:t>Gross</w:t>
            </w:r>
          </w:p>
        </w:tc>
        <w:tc>
          <w:tcPr>
            <w:tcW w:w="1240" w:type="dxa"/>
            <w:vAlign w:val="bottom"/>
            <w:gridSpan w:val="3"/>
          </w:tcPr>
          <w:p>
            <w:pPr>
              <w:spacing w:after="0"/>
              <w:rPr>
                <w:sz w:val="20"/>
                <w:szCs w:val="20"/>
                <w:color w:val="auto"/>
              </w:rPr>
            </w:pPr>
            <w:r>
              <w:rPr>
                <w:rFonts w:ascii="Arial" w:cs="Arial" w:eastAsia="Arial" w:hAnsi="Arial"/>
                <w:sz w:val="18"/>
                <w:szCs w:val="18"/>
                <w:b w:val="1"/>
                <w:bCs w:val="1"/>
                <w:color w:val="auto"/>
              </w:rPr>
              <w:t>Amortization</w:t>
            </w:r>
          </w:p>
        </w:tc>
        <w:tc>
          <w:tcPr>
            <w:tcW w:w="200" w:type="dxa"/>
            <w:vAlign w:val="bottom"/>
          </w:tcPr>
          <w:p>
            <w:pPr>
              <w:spacing w:after="0"/>
              <w:rPr>
                <w:sz w:val="20"/>
                <w:szCs w:val="20"/>
                <w:color w:val="auto"/>
              </w:rPr>
            </w:pPr>
          </w:p>
        </w:tc>
        <w:tc>
          <w:tcPr>
            <w:tcW w:w="920" w:type="dxa"/>
            <w:vAlign w:val="bottom"/>
            <w:gridSpan w:val="2"/>
          </w:tcPr>
          <w:p>
            <w:pPr>
              <w:ind w:left="120"/>
              <w:spacing w:after="0"/>
              <w:rPr>
                <w:sz w:val="20"/>
                <w:szCs w:val="20"/>
                <w:color w:val="auto"/>
              </w:rPr>
            </w:pPr>
            <w:r>
              <w:rPr>
                <w:rFonts w:ascii="Arial" w:cs="Arial" w:eastAsia="Arial" w:hAnsi="Arial"/>
                <w:sz w:val="18"/>
                <w:szCs w:val="18"/>
                <w:b w:val="1"/>
                <w:bCs w:val="1"/>
                <w:color w:val="auto"/>
              </w:rPr>
              <w:t>Net</w:t>
            </w:r>
          </w:p>
        </w:tc>
        <w:tc>
          <w:tcPr>
            <w:tcW w:w="140" w:type="dxa"/>
            <w:vAlign w:val="bottom"/>
          </w:tcPr>
          <w:p>
            <w:pPr>
              <w:spacing w:after="0"/>
              <w:rPr>
                <w:sz w:val="20"/>
                <w:szCs w:val="20"/>
                <w:color w:val="auto"/>
              </w:rPr>
            </w:pPr>
          </w:p>
        </w:tc>
        <w:tc>
          <w:tcPr>
            <w:tcW w:w="740" w:type="dxa"/>
            <w:vAlign w:val="bottom"/>
          </w:tcPr>
          <w:p>
            <w:pPr>
              <w:jc w:val="right"/>
              <w:ind w:right="130"/>
              <w:spacing w:after="0"/>
              <w:rPr>
                <w:sz w:val="20"/>
                <w:szCs w:val="20"/>
                <w:color w:val="auto"/>
              </w:rPr>
            </w:pPr>
            <w:r>
              <w:rPr>
                <w:rFonts w:ascii="Arial" w:cs="Arial" w:eastAsia="Arial" w:hAnsi="Arial"/>
                <w:sz w:val="18"/>
                <w:szCs w:val="18"/>
                <w:b w:val="1"/>
                <w:bCs w:val="1"/>
                <w:color w:val="auto"/>
                <w:w w:val="96"/>
              </w:rPr>
              <w:t>Gross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3"/>
          </w:tcPr>
          <w:p>
            <w:pPr>
              <w:spacing w:after="0"/>
              <w:rPr>
                <w:sz w:val="20"/>
                <w:szCs w:val="20"/>
                <w:color w:val="auto"/>
              </w:rPr>
            </w:pPr>
            <w:r>
              <w:rPr>
                <w:rFonts w:ascii="Arial" w:cs="Arial" w:eastAsia="Arial" w:hAnsi="Arial"/>
                <w:sz w:val="18"/>
                <w:szCs w:val="18"/>
                <w:b w:val="1"/>
                <w:bCs w:val="1"/>
                <w:color w:val="auto"/>
              </w:rPr>
              <w:t>Amortization</w:t>
            </w:r>
          </w:p>
        </w:tc>
        <w:tc>
          <w:tcPr>
            <w:tcW w:w="200" w:type="dxa"/>
            <w:vAlign w:val="bottom"/>
          </w:tcPr>
          <w:p>
            <w:pPr>
              <w:spacing w:after="0"/>
              <w:rPr>
                <w:sz w:val="20"/>
                <w:szCs w:val="20"/>
                <w:color w:val="auto"/>
              </w:rPr>
            </w:pPr>
          </w:p>
        </w:tc>
        <w:tc>
          <w:tcPr>
            <w:tcW w:w="800" w:type="dxa"/>
            <w:vAlign w:val="bottom"/>
          </w:tcPr>
          <w:p>
            <w:pPr>
              <w:jc w:val="right"/>
              <w:ind w:right="330"/>
              <w:spacing w:after="0"/>
              <w:rPr>
                <w:sz w:val="20"/>
                <w:szCs w:val="20"/>
                <w:color w:val="auto"/>
              </w:rPr>
            </w:pPr>
            <w:r>
              <w:rPr>
                <w:rFonts w:ascii="Arial" w:cs="Arial" w:eastAsia="Arial" w:hAnsi="Arial"/>
                <w:sz w:val="18"/>
                <w:szCs w:val="18"/>
                <w:b w:val="1"/>
                <w:bCs w:val="1"/>
                <w:color w:val="auto"/>
              </w:rPr>
              <w:t>Net</w:t>
            </w:r>
          </w:p>
        </w:tc>
        <w:tc>
          <w:tcPr>
            <w:tcW w:w="0" w:type="dxa"/>
            <w:vAlign w:val="bottom"/>
          </w:tcPr>
          <w:p>
            <w:pPr>
              <w:spacing w:after="0"/>
              <w:rPr>
                <w:sz w:val="1"/>
                <w:szCs w:val="1"/>
                <w:color w:val="auto"/>
              </w:rPr>
            </w:pPr>
          </w:p>
        </w:tc>
      </w:tr>
      <w:tr>
        <w:trPr>
          <w:trHeight w:val="223"/>
        </w:trPr>
        <w:tc>
          <w:tcPr>
            <w:tcW w:w="45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Goodwill(1)</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1,231.8</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1,231.8</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1,297.</w:t>
            </w:r>
            <w:r>
              <w:rPr>
                <w:rFonts w:ascii="Arial" w:cs="Arial" w:eastAsia="Arial" w:hAnsi="Arial"/>
                <w:sz w:val="18"/>
                <w:szCs w:val="18"/>
                <w:u w:val="single" w:color="auto"/>
                <w:color w:val="auto"/>
              </w:rPr>
              <w:t>1</w:t>
            </w: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1,297.1</w:t>
            </w:r>
          </w:p>
        </w:tc>
        <w:tc>
          <w:tcPr>
            <w:tcW w:w="0" w:type="dxa"/>
            <w:vAlign w:val="bottom"/>
          </w:tcPr>
          <w:p>
            <w:pPr>
              <w:spacing w:after="0"/>
              <w:rPr>
                <w:sz w:val="1"/>
                <w:szCs w:val="1"/>
                <w:color w:val="auto"/>
              </w:rPr>
            </w:pPr>
          </w:p>
        </w:tc>
      </w:tr>
      <w:tr>
        <w:trPr>
          <w:trHeight w:val="20"/>
        </w:trPr>
        <w:tc>
          <w:tcPr>
            <w:tcW w:w="4580" w:type="dxa"/>
            <w:vAlign w:val="bottom"/>
            <w:vMerge w:val="restart"/>
          </w:tcPr>
          <w:p>
            <w:pPr>
              <w:spacing w:after="0"/>
              <w:rPr>
                <w:sz w:val="20"/>
                <w:szCs w:val="20"/>
                <w:color w:val="auto"/>
              </w:rPr>
            </w:pPr>
            <w:r>
              <w:rPr>
                <w:rFonts w:ascii="Arial" w:cs="Arial" w:eastAsia="Arial" w:hAnsi="Arial"/>
                <w:sz w:val="18"/>
                <w:szCs w:val="18"/>
                <w:color w:val="auto"/>
              </w:rPr>
              <w:t>Intangible assets:</w:t>
            </w: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Finite-lived:</w:t>
            </w: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tcPr>
          <w:p>
            <w:pPr>
              <w:ind w:left="500"/>
              <w:spacing w:after="0"/>
              <w:rPr>
                <w:sz w:val="20"/>
                <w:szCs w:val="20"/>
                <w:color w:val="auto"/>
              </w:rPr>
            </w:pPr>
            <w:r>
              <w:rPr>
                <w:rFonts w:ascii="Arial" w:cs="Arial" w:eastAsia="Arial" w:hAnsi="Arial"/>
                <w:sz w:val="18"/>
                <w:szCs w:val="18"/>
                <w:color w:val="auto"/>
              </w:rPr>
              <w:t>Customer relationships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458.8</w:t>
            </w:r>
          </w:p>
        </w:tc>
        <w:tc>
          <w:tcPr>
            <w:tcW w:w="120" w:type="dxa"/>
            <w:vAlign w:val="bottom"/>
          </w:tcPr>
          <w:p>
            <w:pPr>
              <w:spacing w:after="0"/>
              <w:rPr>
                <w:sz w:val="19"/>
                <w:szCs w:val="19"/>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366.8</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92.0</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444.8</w:t>
            </w:r>
          </w:p>
        </w:tc>
        <w:tc>
          <w:tcPr>
            <w:tcW w:w="580" w:type="dxa"/>
            <w:vAlign w:val="bottom"/>
            <w:gridSpan w:val="3"/>
          </w:tcPr>
          <w:p>
            <w:pPr>
              <w:ind w:left="22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351.7</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93.1</w:t>
            </w:r>
          </w:p>
        </w:tc>
        <w:tc>
          <w:tcPr>
            <w:tcW w:w="0" w:type="dxa"/>
            <w:vAlign w:val="bottom"/>
          </w:tcPr>
          <w:p>
            <w:pPr>
              <w:spacing w:after="0"/>
              <w:rPr>
                <w:sz w:val="1"/>
                <w:szCs w:val="1"/>
                <w:color w:val="auto"/>
              </w:rPr>
            </w:pPr>
          </w:p>
        </w:tc>
      </w:tr>
      <w:tr>
        <w:trPr>
          <w:trHeight w:val="230"/>
        </w:trPr>
        <w:tc>
          <w:tcPr>
            <w:tcW w:w="45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18.5</w:t>
            </w:r>
          </w:p>
        </w:tc>
        <w:tc>
          <w:tcPr>
            <w:tcW w:w="1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13.4</w:t>
            </w:r>
          </w:p>
        </w:tc>
        <w:tc>
          <w:tcPr>
            <w:tcW w:w="1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5.1</w:t>
            </w:r>
          </w:p>
        </w:tc>
        <w:tc>
          <w:tcPr>
            <w:tcW w:w="1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18.5</w:t>
            </w:r>
          </w:p>
        </w:tc>
        <w:tc>
          <w:tcPr>
            <w:tcW w:w="120" w:type="dxa"/>
            <w:vAlign w:val="bottom"/>
            <w:tcBorders>
              <w:bottom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16.0</w:t>
            </w:r>
          </w:p>
        </w:tc>
        <w:tc>
          <w:tcPr>
            <w:tcW w:w="1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3"/>
        </w:trPr>
        <w:tc>
          <w:tcPr>
            <w:tcW w:w="45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477.3</w:t>
            </w:r>
          </w:p>
        </w:tc>
        <w:tc>
          <w:tcPr>
            <w:tcW w:w="1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380.2</w:t>
            </w:r>
          </w:p>
        </w:tc>
        <w:tc>
          <w:tcPr>
            <w:tcW w:w="1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97.1</w:t>
            </w:r>
          </w:p>
        </w:tc>
        <w:tc>
          <w:tcPr>
            <w:tcW w:w="1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463.3</w:t>
            </w: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367.7</w:t>
            </w:r>
          </w:p>
        </w:tc>
        <w:tc>
          <w:tcPr>
            <w:tcW w:w="1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95.6</w:t>
            </w:r>
          </w:p>
        </w:tc>
        <w:tc>
          <w:tcPr>
            <w:tcW w:w="0" w:type="dxa"/>
            <w:vAlign w:val="bottom"/>
          </w:tcPr>
          <w:p>
            <w:pPr>
              <w:spacing w:after="0"/>
              <w:rPr>
                <w:sz w:val="1"/>
                <w:szCs w:val="1"/>
                <w:color w:val="auto"/>
              </w:rPr>
            </w:pPr>
          </w:p>
        </w:tc>
      </w:tr>
      <w:tr>
        <w:trPr>
          <w:trHeight w:val="223"/>
        </w:trPr>
        <w:tc>
          <w:tcPr>
            <w:tcW w:w="4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Indefinite-lived:</w:t>
            </w: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tcPr>
          <w:p>
            <w:pPr>
              <w:ind w:left="500"/>
              <w:spacing w:after="0"/>
              <w:rPr>
                <w:sz w:val="20"/>
                <w:szCs w:val="20"/>
                <w:color w:val="auto"/>
              </w:rPr>
            </w:pPr>
            <w:r>
              <w:rPr>
                <w:rFonts w:ascii="Arial" w:cs="Arial" w:eastAsia="Arial" w:hAnsi="Arial"/>
                <w:sz w:val="18"/>
                <w:szCs w:val="18"/>
                <w:color w:val="auto"/>
              </w:rPr>
              <w:t>Tradenames</w:t>
            </w:r>
            <w:r>
              <w:rPr>
                <w:rFonts w:ascii="Arial" w:cs="Arial" w:eastAsia="Arial" w:hAnsi="Arial"/>
                <w:sz w:val="15"/>
                <w:szCs w:val="15"/>
                <w:color w:val="auto"/>
              </w:rPr>
              <w:t>(2)</w:t>
            </w:r>
          </w:p>
        </w:tc>
        <w:tc>
          <w:tcPr>
            <w:tcW w:w="160" w:type="dxa"/>
            <w:vAlign w:val="bottom"/>
          </w:tcPr>
          <w:p>
            <w:pPr>
              <w:spacing w:after="0"/>
              <w:rPr>
                <w:sz w:val="19"/>
                <w:szCs w:val="19"/>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52.0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52.0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52.0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52.0</w:t>
            </w:r>
          </w:p>
        </w:tc>
        <w:tc>
          <w:tcPr>
            <w:tcW w:w="0" w:type="dxa"/>
            <w:vAlign w:val="bottom"/>
          </w:tcPr>
          <w:p>
            <w:pPr>
              <w:spacing w:after="0"/>
              <w:rPr>
                <w:sz w:val="1"/>
                <w:szCs w:val="1"/>
                <w:color w:val="auto"/>
              </w:rPr>
            </w:pPr>
          </w:p>
        </w:tc>
      </w:tr>
      <w:tr>
        <w:trPr>
          <w:trHeight w:val="230"/>
        </w:trPr>
        <w:tc>
          <w:tcPr>
            <w:tcW w:w="45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Reacquired franchise rights</w:t>
            </w: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123.8</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123.8</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98.7</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98.7</w:t>
            </w:r>
          </w:p>
        </w:tc>
        <w:tc>
          <w:tcPr>
            <w:tcW w:w="0" w:type="dxa"/>
            <w:vAlign w:val="bottom"/>
          </w:tcPr>
          <w:p>
            <w:pPr>
              <w:spacing w:after="0"/>
              <w:rPr>
                <w:sz w:val="1"/>
                <w:szCs w:val="1"/>
                <w:color w:val="auto"/>
              </w:rPr>
            </w:pPr>
          </w:p>
        </w:tc>
      </w:tr>
      <w:tr>
        <w:trPr>
          <w:trHeight w:val="223"/>
        </w:trPr>
        <w:tc>
          <w:tcPr>
            <w:tcW w:w="458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175.8</w:t>
            </w:r>
          </w:p>
        </w:tc>
        <w:tc>
          <w:tcPr>
            <w:tcW w:w="120" w:type="dxa"/>
            <w:vAlign w:val="bottom"/>
            <w:tcBorders>
              <w:bottom w:val="single" w:sz="8" w:color="CFF0FC"/>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175.8</w:t>
            </w:r>
          </w:p>
        </w:tc>
        <w:tc>
          <w:tcPr>
            <w:tcW w:w="12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150.7</w:t>
            </w:r>
          </w:p>
        </w:tc>
        <w:tc>
          <w:tcPr>
            <w:tcW w:w="120" w:type="dxa"/>
            <w:vAlign w:val="bottom"/>
            <w:tcBorders>
              <w:top w:val="single" w:sz="8" w:color="auto"/>
              <w:bottom w:val="single" w:sz="8" w:color="auto"/>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150.7</w:t>
            </w:r>
          </w:p>
        </w:tc>
        <w:tc>
          <w:tcPr>
            <w:tcW w:w="0" w:type="dxa"/>
            <w:vAlign w:val="bottom"/>
          </w:tcPr>
          <w:p>
            <w:pPr>
              <w:spacing w:after="0"/>
              <w:rPr>
                <w:sz w:val="1"/>
                <w:szCs w:val="1"/>
                <w:color w:val="auto"/>
              </w:rPr>
            </w:pPr>
          </w:p>
        </w:tc>
      </w:tr>
      <w:tr>
        <w:trPr>
          <w:trHeight w:val="223"/>
        </w:trPr>
        <w:tc>
          <w:tcPr>
            <w:tcW w:w="45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intangible assets</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653.1</w:t>
            </w:r>
          </w:p>
        </w:tc>
        <w:tc>
          <w:tcPr>
            <w:tcW w:w="12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380.2</w:t>
            </w:r>
          </w:p>
        </w:tc>
        <w:tc>
          <w:tcPr>
            <w:tcW w:w="1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272.9</w:t>
            </w:r>
          </w:p>
        </w:tc>
        <w:tc>
          <w:tcPr>
            <w:tcW w:w="1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614.0</w:t>
            </w:r>
          </w:p>
        </w:tc>
        <w:tc>
          <w:tcPr>
            <w:tcW w:w="12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367.7</w:t>
            </w:r>
          </w:p>
        </w:tc>
        <w:tc>
          <w:tcPr>
            <w:tcW w:w="1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246.3</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left="480" w:hanging="472"/>
        <w:spacing w:after="0"/>
        <w:tabs>
          <w:tab w:leader="none" w:pos="4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Balances were net of accumulated impairment loss of $577.4 and $513.4 as of September 30, 2019 and December 31, 2018, respectively.</w:t>
      </w:r>
    </w:p>
    <w:p>
      <w:pPr>
        <w:spacing w:after="0" w:line="34" w:lineRule="exact"/>
        <w:rPr>
          <w:rFonts w:ascii="Arial" w:cs="Arial" w:eastAsia="Arial" w:hAnsi="Arial"/>
          <w:sz w:val="17"/>
          <w:szCs w:val="17"/>
          <w:color w:val="auto"/>
        </w:rPr>
      </w:pPr>
    </w:p>
    <w:p>
      <w:pPr>
        <w:ind w:left="480" w:hanging="472"/>
        <w:spacing w:after="0"/>
        <w:tabs>
          <w:tab w:leader="none" w:pos="4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Balances were net of accumulated impairment loss of $139.5 as of both September 30, 2019 and December 31, 2018.</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6" w:name="page17"/>
    <w:bookmarkEnd w:id="16"/>
    <w:p>
      <w:pPr>
        <w:ind w:right="440"/>
        <w:spacing w:after="0" w:line="277" w:lineRule="auto"/>
        <w:rPr>
          <w:sz w:val="20"/>
          <w:szCs w:val="20"/>
          <w:color w:val="auto"/>
        </w:rPr>
      </w:pPr>
      <w:r>
        <w:rPr>
          <w:rFonts w:ascii="Arial" w:cs="Arial" w:eastAsia="Arial" w:hAnsi="Arial"/>
          <w:sz w:val="18"/>
          <w:szCs w:val="18"/>
          <w:color w:val="auto"/>
        </w:rPr>
        <w:t>Total consolidated amortization expense related to intangible assets for the remainder of 2019 is expected to be $7.4 and in each of the next five years as follows: 2020- $24.7, 2021- $14.2, 2022- $11.0, 2023- $9.2, 2024- $8.0.</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carrying value of goodwill by reportable segment and Corporate were as follows: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w w:val="93"/>
              </w:rPr>
              <w:t>Southern</w:t>
            </w:r>
          </w:p>
        </w:tc>
        <w:tc>
          <w:tcPr>
            <w:tcW w:w="100" w:type="dxa"/>
            <w:vAlign w:val="bottom"/>
          </w:tcPr>
          <w:p>
            <w:pPr>
              <w:spacing w:after="0"/>
              <w:rPr>
                <w:sz w:val="18"/>
                <w:szCs w:val="18"/>
                <w:color w:val="auto"/>
              </w:rPr>
            </w:pPr>
          </w:p>
        </w:tc>
        <w:tc>
          <w:tcPr>
            <w:tcW w:w="94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w w:val="99"/>
              </w:rPr>
              <w:t>Northern</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ind w:left="100"/>
              <w:spacing w:after="0"/>
              <w:rPr>
                <w:sz w:val="20"/>
                <w:szCs w:val="20"/>
                <w:color w:val="auto"/>
              </w:rPr>
            </w:pPr>
            <w:r>
              <w:rPr>
                <w:rFonts w:ascii="Arial" w:cs="Arial" w:eastAsia="Arial" w:hAnsi="Arial"/>
                <w:sz w:val="18"/>
                <w:szCs w:val="18"/>
                <w:b w:val="1"/>
                <w:bCs w:val="1"/>
                <w:color w:val="auto"/>
              </w:rPr>
              <w:t>Right</w:t>
            </w:r>
          </w:p>
        </w:tc>
        <w:tc>
          <w:tcPr>
            <w:tcW w:w="3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34"/>
        </w:trPr>
        <w:tc>
          <w:tcPr>
            <w:tcW w:w="3780" w:type="dxa"/>
            <w:vAlign w:val="bottom"/>
          </w:tcPr>
          <w:p>
            <w:pPr>
              <w:spacing w:after="0"/>
              <w:rPr>
                <w:sz w:val="20"/>
                <w:szCs w:val="20"/>
                <w:color w:val="auto"/>
              </w:rPr>
            </w:pPr>
          </w:p>
        </w:tc>
        <w:tc>
          <w:tcPr>
            <w:tcW w:w="1020" w:type="dxa"/>
            <w:vAlign w:val="bottom"/>
            <w:gridSpan w:val="2"/>
          </w:tcPr>
          <w:p>
            <w:pPr>
              <w:spacing w:after="0"/>
              <w:rPr>
                <w:sz w:val="20"/>
                <w:szCs w:val="20"/>
                <w:color w:val="auto"/>
              </w:rPr>
            </w:pPr>
            <w:r>
              <w:rPr>
                <w:rFonts w:ascii="Arial" w:cs="Arial" w:eastAsia="Arial" w:hAnsi="Arial"/>
                <w:sz w:val="18"/>
                <w:szCs w:val="18"/>
                <w:b w:val="1"/>
                <w:bCs w:val="1"/>
                <w:color w:val="auto"/>
              </w:rPr>
              <w:t>Americas</w:t>
            </w:r>
            <w:r>
              <w:rPr>
                <w:rFonts w:ascii="Arial" w:cs="Arial" w:eastAsia="Arial" w:hAnsi="Arial"/>
                <w:sz w:val="15"/>
                <w:szCs w:val="15"/>
                <w:b w:val="1"/>
                <w:bCs w:val="1"/>
                <w:color w:val="auto"/>
              </w:rPr>
              <w:t>(1)</w:t>
            </w:r>
          </w:p>
        </w:tc>
        <w:tc>
          <w:tcPr>
            <w:tcW w:w="120" w:type="dxa"/>
            <w:vAlign w:val="bottom"/>
          </w:tcPr>
          <w:p>
            <w:pPr>
              <w:spacing w:after="0"/>
              <w:rPr>
                <w:sz w:val="20"/>
                <w:szCs w:val="20"/>
                <w:color w:val="auto"/>
              </w:rPr>
            </w:pPr>
          </w:p>
        </w:tc>
        <w:tc>
          <w:tcPr>
            <w:tcW w:w="94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w w:val="94"/>
              </w:rPr>
              <w:t>Europe</w:t>
            </w:r>
            <w:r>
              <w:rPr>
                <w:rFonts w:ascii="Arial" w:cs="Arial" w:eastAsia="Arial" w:hAnsi="Arial"/>
                <w:sz w:val="15"/>
                <w:szCs w:val="15"/>
                <w:b w:val="1"/>
                <w:bCs w:val="1"/>
                <w:color w:val="auto"/>
                <w:w w:val="94"/>
              </w:rPr>
              <w:t>(2)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ind w:right="150"/>
              <w:spacing w:after="0"/>
              <w:rPr>
                <w:sz w:val="20"/>
                <w:szCs w:val="20"/>
                <w:color w:val="auto"/>
              </w:rPr>
            </w:pPr>
            <w:r>
              <w:rPr>
                <w:rFonts w:ascii="Arial" w:cs="Arial" w:eastAsia="Arial" w:hAnsi="Arial"/>
                <w:sz w:val="18"/>
                <w:szCs w:val="18"/>
                <w:b w:val="1"/>
                <w:bCs w:val="1"/>
                <w:color w:val="auto"/>
                <w:w w:val="90"/>
              </w:rPr>
              <w:t>Europe</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ind w:left="20"/>
              <w:spacing w:after="0"/>
              <w:rPr>
                <w:sz w:val="20"/>
                <w:szCs w:val="20"/>
                <w:color w:val="auto"/>
              </w:rPr>
            </w:pPr>
            <w:r>
              <w:rPr>
                <w:rFonts w:ascii="Arial" w:cs="Arial" w:eastAsia="Arial" w:hAnsi="Arial"/>
                <w:sz w:val="18"/>
                <w:szCs w:val="18"/>
                <w:b w:val="1"/>
                <w:bCs w:val="1"/>
                <w:color w:val="auto"/>
              </w:rPr>
              <w:t>APME</w:t>
            </w:r>
          </w:p>
        </w:tc>
        <w:tc>
          <w:tcPr>
            <w:tcW w:w="1220" w:type="dxa"/>
            <w:vAlign w:val="bottom"/>
            <w:gridSpan w:val="3"/>
          </w:tcPr>
          <w:p>
            <w:pPr>
              <w:spacing w:after="0"/>
              <w:rPr>
                <w:sz w:val="20"/>
                <w:szCs w:val="20"/>
                <w:color w:val="auto"/>
              </w:rPr>
            </w:pPr>
            <w:r>
              <w:rPr>
                <w:rFonts w:ascii="Arial" w:cs="Arial" w:eastAsia="Arial" w:hAnsi="Arial"/>
                <w:sz w:val="18"/>
                <w:szCs w:val="18"/>
                <w:b w:val="1"/>
                <w:bCs w:val="1"/>
                <w:color w:val="auto"/>
              </w:rPr>
              <w:t>Management</w:t>
            </w:r>
          </w:p>
        </w:tc>
        <w:tc>
          <w:tcPr>
            <w:tcW w:w="1200" w:type="dxa"/>
            <w:vAlign w:val="bottom"/>
            <w:gridSpan w:val="3"/>
          </w:tcPr>
          <w:p>
            <w:pPr>
              <w:spacing w:after="0"/>
              <w:rPr>
                <w:sz w:val="20"/>
                <w:szCs w:val="20"/>
                <w:color w:val="auto"/>
              </w:rPr>
            </w:pPr>
            <w:r>
              <w:rPr>
                <w:rFonts w:ascii="Arial" w:cs="Arial" w:eastAsia="Arial" w:hAnsi="Arial"/>
                <w:sz w:val="18"/>
                <w:szCs w:val="18"/>
                <w:b w:val="1"/>
                <w:bCs w:val="1"/>
                <w:color w:val="auto"/>
              </w:rPr>
              <w:t>Corporate</w:t>
            </w:r>
            <w:r>
              <w:rPr>
                <w:rFonts w:ascii="Arial" w:cs="Arial" w:eastAsia="Arial" w:hAnsi="Arial"/>
                <w:sz w:val="15"/>
                <w:szCs w:val="15"/>
                <w:b w:val="1"/>
                <w:bCs w:val="1"/>
                <w:color w:val="auto"/>
              </w:rPr>
              <w:t>(3)</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ind w:right="230"/>
              <w:spacing w:after="0"/>
              <w:rPr>
                <w:sz w:val="20"/>
                <w:szCs w:val="20"/>
                <w:color w:val="auto"/>
              </w:rPr>
            </w:pPr>
            <w:r>
              <w:rPr>
                <w:rFonts w:ascii="Arial" w:cs="Arial" w:eastAsia="Arial" w:hAnsi="Arial"/>
                <w:sz w:val="18"/>
                <w:szCs w:val="18"/>
                <w:b w:val="1"/>
                <w:bCs w:val="1"/>
                <w:color w:val="auto"/>
              </w:rPr>
              <w:t>Total</w:t>
            </w:r>
          </w:p>
        </w:tc>
      </w:tr>
      <w:tr>
        <w:trPr>
          <w:trHeight w:val="223"/>
        </w:trPr>
        <w:tc>
          <w:tcPr>
            <w:tcW w:w="3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December 31, 2018</w:t>
            </w:r>
          </w:p>
        </w:tc>
        <w:tc>
          <w:tcPr>
            <w:tcW w:w="3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519.9</w:t>
            </w:r>
          </w:p>
        </w:tc>
        <w:tc>
          <w:tcPr>
            <w:tcW w:w="1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7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112.2</w:t>
            </w: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435.4</w:t>
            </w: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102.0</w:t>
            </w:r>
          </w:p>
        </w:tc>
        <w:tc>
          <w:tcPr>
            <w:tcW w:w="1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62.1</w:t>
            </w:r>
          </w:p>
        </w:tc>
        <w:tc>
          <w:tcPr>
            <w:tcW w:w="10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65.5</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1,297.1</w:t>
            </w:r>
          </w:p>
        </w:tc>
      </w:tr>
      <w:tr>
        <w:trPr>
          <w:trHeight w:val="230"/>
        </w:trPr>
        <w:tc>
          <w:tcPr>
            <w:tcW w:w="3780" w:type="dxa"/>
            <w:vAlign w:val="bottom"/>
          </w:tcPr>
          <w:p>
            <w:pPr>
              <w:ind w:left="260"/>
              <w:spacing w:after="0"/>
              <w:rPr>
                <w:sz w:val="20"/>
                <w:szCs w:val="20"/>
                <w:color w:val="auto"/>
              </w:rPr>
            </w:pPr>
            <w:r>
              <w:rPr>
                <w:rFonts w:ascii="Arial" w:cs="Arial" w:eastAsia="Arial" w:hAnsi="Arial"/>
                <w:sz w:val="18"/>
                <w:szCs w:val="18"/>
                <w:color w:val="auto"/>
              </w:rPr>
              <w:t>Goodwill acquired</w:t>
            </w:r>
          </w:p>
        </w:tc>
        <w:tc>
          <w:tcPr>
            <w:tcW w:w="300" w:type="dxa"/>
            <w:vAlign w:val="bottom"/>
          </w:tcPr>
          <w:p>
            <w:pPr>
              <w:spacing w:after="0"/>
              <w:rPr>
                <w:sz w:val="19"/>
                <w:szCs w:val="19"/>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9.1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33.8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42.9</w:t>
            </w:r>
          </w:p>
        </w:tc>
      </w:tr>
      <w:tr>
        <w:trPr>
          <w:trHeight w:val="230"/>
        </w:trPr>
        <w:tc>
          <w:tcPr>
            <w:tcW w:w="3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Goodwill allocated to business units sold</w:t>
            </w:r>
            <w:r>
              <w:rPr>
                <w:rFonts w:ascii="Arial" w:cs="Arial" w:eastAsia="Arial" w:hAnsi="Arial"/>
                <w:sz w:val="15"/>
                <w:szCs w:val="15"/>
                <w:color w:val="auto"/>
              </w:rPr>
              <w:t>(4)</w:t>
            </w: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w:t>
            </w:r>
          </w:p>
        </w:tc>
      </w:tr>
      <w:tr>
        <w:trPr>
          <w:trHeight w:val="230"/>
        </w:trPr>
        <w:tc>
          <w:tcPr>
            <w:tcW w:w="3780" w:type="dxa"/>
            <w:vAlign w:val="bottom"/>
          </w:tcPr>
          <w:p>
            <w:pPr>
              <w:ind w:left="260"/>
              <w:spacing w:after="0"/>
              <w:rPr>
                <w:sz w:val="20"/>
                <w:szCs w:val="20"/>
                <w:color w:val="auto"/>
              </w:rPr>
            </w:pPr>
            <w:r>
              <w:rPr>
                <w:rFonts w:ascii="Arial" w:cs="Arial" w:eastAsia="Arial" w:hAnsi="Arial"/>
                <w:sz w:val="18"/>
                <w:szCs w:val="18"/>
                <w:color w:val="auto"/>
              </w:rPr>
              <w:t>Impairment charge</w:t>
            </w:r>
            <w:r>
              <w:rPr>
                <w:rFonts w:ascii="Arial" w:cs="Arial" w:eastAsia="Arial" w:hAnsi="Arial"/>
                <w:sz w:val="15"/>
                <w:szCs w:val="15"/>
                <w:color w:val="auto"/>
              </w:rPr>
              <w:t>(5)</w:t>
            </w:r>
          </w:p>
        </w:tc>
        <w:tc>
          <w:tcPr>
            <w:tcW w:w="300" w:type="dxa"/>
            <w:vAlign w:val="bottom"/>
          </w:tcPr>
          <w:p>
            <w:pPr>
              <w:spacing w:after="0"/>
              <w:rPr>
                <w:sz w:val="19"/>
                <w:szCs w:val="19"/>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(60.2)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(64.0)</w:t>
            </w:r>
          </w:p>
        </w:tc>
      </w:tr>
      <w:tr>
        <w:trPr>
          <w:trHeight w:val="230"/>
        </w:trPr>
        <w:tc>
          <w:tcPr>
            <w:tcW w:w="3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Currency and other impacts</w:t>
            </w:r>
          </w:p>
        </w:tc>
        <w:tc>
          <w:tcPr>
            <w:tcW w:w="30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0.9</w:t>
            </w:r>
          </w:p>
        </w:tc>
        <w:tc>
          <w:tcPr>
            <w:tcW w:w="1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(18.9)</w:t>
            </w:r>
          </w:p>
        </w:tc>
        <w:tc>
          <w:tcPr>
            <w:tcW w:w="1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(24.1)</w:t>
            </w:r>
          </w:p>
        </w:tc>
      </w:tr>
      <w:tr>
        <w:trPr>
          <w:trHeight w:val="223"/>
        </w:trPr>
        <w:tc>
          <w:tcPr>
            <w:tcW w:w="3780" w:type="dxa"/>
            <w:vAlign w:val="bottom"/>
          </w:tcPr>
          <w:p>
            <w:pPr>
              <w:spacing w:after="0"/>
              <w:rPr>
                <w:sz w:val="20"/>
                <w:szCs w:val="20"/>
                <w:color w:val="auto"/>
              </w:rPr>
            </w:pPr>
            <w:r>
              <w:rPr>
                <w:rFonts w:ascii="Arial" w:cs="Arial" w:eastAsia="Arial" w:hAnsi="Arial"/>
                <w:sz w:val="18"/>
                <w:szCs w:val="18"/>
                <w:color w:val="auto"/>
              </w:rPr>
              <w:t>Balance, September 30, 2019</w:t>
            </w:r>
          </w:p>
        </w:tc>
        <w:tc>
          <w:tcPr>
            <w:tcW w:w="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529.9</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77"/>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140.9</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356.3</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78.7</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62.1</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63.9</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1,231.8</w:t>
            </w:r>
          </w:p>
        </w:tc>
      </w:tr>
      <w:tr>
        <w:trPr>
          <w:trHeight w:val="20"/>
        </w:trPr>
        <w:tc>
          <w:tcPr>
            <w:tcW w:w="37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left="400" w:hanging="392"/>
        <w:spacing w:after="0"/>
        <w:tabs>
          <w:tab w:leader="none" w:pos="4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Balances related to the United States were $476.5 and $485.2 as of December 31, 2018 and September 30, 2019, respectively.</w:t>
      </w:r>
    </w:p>
    <w:p>
      <w:pPr>
        <w:spacing w:after="0" w:line="23" w:lineRule="exact"/>
        <w:rPr>
          <w:rFonts w:ascii="Arial" w:cs="Arial" w:eastAsia="Arial" w:hAnsi="Arial"/>
          <w:sz w:val="18"/>
          <w:szCs w:val="18"/>
          <w:color w:val="auto"/>
        </w:rPr>
      </w:pPr>
    </w:p>
    <w:p>
      <w:pPr>
        <w:ind w:left="480" w:right="260" w:hanging="472"/>
        <w:spacing w:after="0" w:line="250" w:lineRule="auto"/>
        <w:tabs>
          <w:tab w:leader="none" w:pos="4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Balances related to France were $68.9 and $65.5 as of December 31, 2018 and September 30, 2019, respectively. Balances related to Italy were $4.8 and $4.5 as of December 31, 2018 and September 30, 2019, respectively.</w:t>
      </w:r>
    </w:p>
    <w:p>
      <w:pPr>
        <w:ind w:left="480" w:right="80" w:hanging="472"/>
        <w:spacing w:after="0" w:line="265" w:lineRule="auto"/>
        <w:tabs>
          <w:tab w:leader="none" w:pos="4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majority of the Corporate balance relates to goodwill attributable to our acquisition of Jefferson Wells ($55.5) which is now part of the United States reporting unit. For purposes of monitoring our total assets by segment, we do not allocate the Corporate balance to the respective reportable segments as this is commensurate with how we operate our business. We do, however, include these balances within the appropriate reporting units for our goodwill impairment testing. See table below for the breakout of goodwill balances by reporting unit.</w:t>
      </w:r>
    </w:p>
    <w:p>
      <w:pPr>
        <w:ind w:left="480" w:hanging="452"/>
        <w:spacing w:after="0" w:line="250" w:lineRule="auto"/>
        <w:tabs>
          <w:tab w:leader="none" w:pos="414" w:val="left"/>
        </w:tabs>
        <w:numPr>
          <w:ilvl w:val="1"/>
          <w:numId w:val="14"/>
        </w:numPr>
        <w:rPr>
          <w:rFonts w:ascii="Arial" w:cs="Arial" w:eastAsia="Arial" w:hAnsi="Arial"/>
          <w:sz w:val="18"/>
          <w:szCs w:val="18"/>
          <w:color w:val="auto"/>
        </w:rPr>
      </w:pPr>
      <w:r>
        <w:rPr>
          <w:rFonts w:ascii="Arial" w:cs="Arial" w:eastAsia="Arial" w:hAnsi="Arial"/>
          <w:sz w:val="18"/>
          <w:szCs w:val="18"/>
          <w:color w:val="auto"/>
        </w:rPr>
        <w:t>Reductions relate to our China and Hong Kong reporting units, which were deconsolidated as of July 10, 2019. See Note 5 to the Consolidated Financial Statements for further information.</w:t>
      </w:r>
    </w:p>
    <w:p>
      <w:pPr>
        <w:ind w:left="480" w:right="40" w:hanging="452"/>
        <w:spacing w:after="0" w:line="261" w:lineRule="auto"/>
        <w:tabs>
          <w:tab w:leader="none" w:pos="411" w:val="left"/>
        </w:tabs>
        <w:numPr>
          <w:ilvl w:val="1"/>
          <w:numId w:val="14"/>
        </w:numPr>
        <w:rPr>
          <w:rFonts w:ascii="Arial" w:cs="Arial" w:eastAsia="Arial" w:hAnsi="Arial"/>
          <w:sz w:val="18"/>
          <w:szCs w:val="18"/>
          <w:color w:val="auto"/>
        </w:rPr>
      </w:pPr>
      <w:r>
        <w:rPr>
          <w:rFonts w:ascii="Arial" w:cs="Arial" w:eastAsia="Arial" w:hAnsi="Arial"/>
          <w:sz w:val="18"/>
          <w:szCs w:val="18"/>
          <w:color w:val="auto"/>
        </w:rPr>
        <w:t>The impairment charges of $60.2 and $3.8 relate to our Germany and New Zealand reporting units, respectively, which were recorded during the second quarter of 2019. See Note 1 to the Consolidated Financial Statements for further information.</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40" w:type="dxa"/>
            <w:vAlign w:val="bottom"/>
          </w:tcPr>
          <w:p>
            <w:pPr>
              <w:ind w:left="20"/>
              <w:spacing w:after="0"/>
              <w:rPr>
                <w:sz w:val="20"/>
                <w:szCs w:val="20"/>
                <w:color w:val="auto"/>
              </w:rPr>
            </w:pPr>
            <w:r>
              <w:rPr>
                <w:rFonts w:ascii="Arial" w:cs="Arial" w:eastAsia="Arial" w:hAnsi="Arial"/>
                <w:sz w:val="18"/>
                <w:szCs w:val="18"/>
                <w:color w:val="auto"/>
              </w:rPr>
              <w:t>Goodwill balances by reporting unit were as follows:</w:t>
            </w:r>
          </w:p>
        </w:tc>
        <w:tc>
          <w:tcPr>
            <w:tcW w:w="2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20" w:type="dxa"/>
            <w:vAlign w:val="bottom"/>
            <w:gridSpan w:val="2"/>
            <w:vMerge w:val="restart"/>
          </w:tcPr>
          <w:p>
            <w:pPr>
              <w:ind w:left="100"/>
              <w:spacing w:after="0"/>
              <w:rPr>
                <w:sz w:val="20"/>
                <w:szCs w:val="20"/>
                <w:color w:val="auto"/>
              </w:rPr>
            </w:pPr>
            <w:r>
              <w:rPr>
                <w:rFonts w:ascii="Arial" w:cs="Arial" w:eastAsia="Arial" w:hAnsi="Arial"/>
                <w:sz w:val="18"/>
                <w:szCs w:val="18"/>
                <w:b w:val="1"/>
                <w:bCs w:val="1"/>
                <w:color w:val="auto"/>
              </w:rPr>
              <w:t>September 30,</w:t>
            </w:r>
          </w:p>
        </w:tc>
        <w:tc>
          <w:tcPr>
            <w:tcW w:w="220" w:type="dxa"/>
            <w:vAlign w:val="bottom"/>
          </w:tcPr>
          <w:p>
            <w:pPr>
              <w:spacing w:after="0"/>
              <w:rPr>
                <w:sz w:val="20"/>
                <w:szCs w:val="20"/>
                <w:color w:val="auto"/>
              </w:rPr>
            </w:pPr>
          </w:p>
        </w:tc>
        <w:tc>
          <w:tcPr>
            <w:tcW w:w="1640" w:type="dxa"/>
            <w:vAlign w:val="bottom"/>
            <w:vMerge w:val="restart"/>
          </w:tcPr>
          <w:p>
            <w:pPr>
              <w:jc w:val="right"/>
              <w:ind w:right="370"/>
              <w:spacing w:after="0"/>
              <w:rPr>
                <w:sz w:val="20"/>
                <w:szCs w:val="20"/>
                <w:color w:val="auto"/>
              </w:rPr>
            </w:pPr>
            <w:r>
              <w:rPr>
                <w:rFonts w:ascii="Arial" w:cs="Arial" w:eastAsia="Arial" w:hAnsi="Arial"/>
                <w:sz w:val="18"/>
                <w:szCs w:val="18"/>
                <w:b w:val="1"/>
                <w:bCs w:val="1"/>
                <w:color w:val="auto"/>
                <w:w w:val="99"/>
              </w:rPr>
              <w:t>December 31,</w:t>
            </w:r>
          </w:p>
        </w:tc>
        <w:tc>
          <w:tcPr>
            <w:tcW w:w="0" w:type="dxa"/>
            <w:vAlign w:val="bottom"/>
          </w:tcPr>
          <w:p>
            <w:pPr>
              <w:spacing w:after="0"/>
              <w:rPr>
                <w:sz w:val="1"/>
                <w:szCs w:val="1"/>
                <w:color w:val="auto"/>
              </w:rPr>
            </w:pPr>
          </w:p>
        </w:tc>
      </w:tr>
      <w:tr>
        <w:trPr>
          <w:trHeight w:val="225"/>
        </w:trPr>
        <w:tc>
          <w:tcPr>
            <w:tcW w:w="474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2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740" w:type="dxa"/>
            <w:vAlign w:val="bottom"/>
            <w:tcBorders>
              <w:bottom w:val="single" w:sz="8" w:color="CFF0FC"/>
            </w:tcBorders>
          </w:tcPr>
          <w:p>
            <w:pPr>
              <w:spacing w:after="0"/>
              <w:rPr>
                <w:sz w:val="20"/>
                <w:szCs w:val="20"/>
                <w:color w:val="auto"/>
              </w:rPr>
            </w:pPr>
          </w:p>
        </w:tc>
        <w:tc>
          <w:tcPr>
            <w:tcW w:w="280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2019</w:t>
            </w:r>
          </w:p>
        </w:tc>
        <w:tc>
          <w:tcPr>
            <w:tcW w:w="20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23"/>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United States</w:t>
            </w:r>
          </w:p>
        </w:tc>
        <w:tc>
          <w:tcPr>
            <w:tcW w:w="280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6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540.7</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532.0</w:t>
            </w:r>
          </w:p>
        </w:tc>
        <w:tc>
          <w:tcPr>
            <w:tcW w:w="0" w:type="dxa"/>
            <w:vAlign w:val="bottom"/>
          </w:tcPr>
          <w:p>
            <w:pPr>
              <w:spacing w:after="0"/>
              <w:rPr>
                <w:sz w:val="1"/>
                <w:szCs w:val="1"/>
                <w:color w:val="auto"/>
              </w:rPr>
            </w:pPr>
          </w:p>
        </w:tc>
      </w:tr>
      <w:tr>
        <w:trPr>
          <w:trHeight w:val="230"/>
        </w:trPr>
        <w:tc>
          <w:tcPr>
            <w:tcW w:w="4740" w:type="dxa"/>
            <w:vAlign w:val="bottom"/>
          </w:tcPr>
          <w:p>
            <w:pPr>
              <w:spacing w:after="0"/>
              <w:rPr>
                <w:sz w:val="20"/>
                <w:szCs w:val="20"/>
                <w:color w:val="auto"/>
              </w:rPr>
            </w:pPr>
            <w:r>
              <w:rPr>
                <w:rFonts w:ascii="Arial" w:cs="Arial" w:eastAsia="Arial" w:hAnsi="Arial"/>
                <w:sz w:val="18"/>
                <w:szCs w:val="18"/>
                <w:color w:val="auto"/>
              </w:rPr>
              <w:t>Netherlands</w:t>
            </w:r>
          </w:p>
        </w:tc>
        <w:tc>
          <w:tcPr>
            <w:tcW w:w="2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106.5</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tcPr>
          <w:p>
            <w:pPr>
              <w:jc w:val="right"/>
              <w:ind w:right="50"/>
              <w:spacing w:after="0"/>
              <w:rPr>
                <w:sz w:val="20"/>
                <w:szCs w:val="20"/>
                <w:color w:val="auto"/>
              </w:rPr>
            </w:pPr>
            <w:r>
              <w:rPr>
                <w:rFonts w:ascii="Arial" w:cs="Arial" w:eastAsia="Arial" w:hAnsi="Arial"/>
                <w:sz w:val="18"/>
                <w:szCs w:val="18"/>
                <w:color w:val="auto"/>
              </w:rPr>
              <w:t>112.0</w:t>
            </w:r>
          </w:p>
        </w:tc>
        <w:tc>
          <w:tcPr>
            <w:tcW w:w="0" w:type="dxa"/>
            <w:vAlign w:val="bottom"/>
          </w:tcPr>
          <w:p>
            <w:pPr>
              <w:spacing w:after="0"/>
              <w:rPr>
                <w:sz w:val="1"/>
                <w:szCs w:val="1"/>
                <w:color w:val="auto"/>
              </w:rPr>
            </w:pPr>
          </w:p>
        </w:tc>
      </w:tr>
      <w:tr>
        <w:trPr>
          <w:trHeight w:val="230"/>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United Kingdom</w:t>
            </w:r>
          </w:p>
        </w:tc>
        <w:tc>
          <w:tcPr>
            <w:tcW w:w="28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90.2</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93.7</w:t>
            </w:r>
          </w:p>
        </w:tc>
        <w:tc>
          <w:tcPr>
            <w:tcW w:w="0" w:type="dxa"/>
            <w:vAlign w:val="bottom"/>
          </w:tcPr>
          <w:p>
            <w:pPr>
              <w:spacing w:after="0"/>
              <w:rPr>
                <w:sz w:val="1"/>
                <w:szCs w:val="1"/>
                <w:color w:val="auto"/>
              </w:rPr>
            </w:pPr>
          </w:p>
        </w:tc>
      </w:tr>
      <w:tr>
        <w:trPr>
          <w:trHeight w:val="230"/>
        </w:trPr>
        <w:tc>
          <w:tcPr>
            <w:tcW w:w="4740" w:type="dxa"/>
            <w:vAlign w:val="bottom"/>
          </w:tcPr>
          <w:p>
            <w:pPr>
              <w:spacing w:after="0"/>
              <w:rPr>
                <w:sz w:val="20"/>
                <w:szCs w:val="20"/>
                <w:color w:val="auto"/>
              </w:rPr>
            </w:pPr>
            <w:r>
              <w:rPr>
                <w:rFonts w:ascii="Arial" w:cs="Arial" w:eastAsia="Arial" w:hAnsi="Arial"/>
                <w:sz w:val="18"/>
                <w:szCs w:val="18"/>
                <w:color w:val="auto"/>
              </w:rPr>
              <w:t>France</w:t>
            </w:r>
          </w:p>
        </w:tc>
        <w:tc>
          <w:tcPr>
            <w:tcW w:w="2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65.5</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tcPr>
          <w:p>
            <w:pPr>
              <w:jc w:val="right"/>
              <w:ind w:right="50"/>
              <w:spacing w:after="0"/>
              <w:rPr>
                <w:sz w:val="20"/>
                <w:szCs w:val="20"/>
                <w:color w:val="auto"/>
              </w:rPr>
            </w:pPr>
            <w:r>
              <w:rPr>
                <w:rFonts w:ascii="Arial" w:cs="Arial" w:eastAsia="Arial" w:hAnsi="Arial"/>
                <w:sz w:val="18"/>
                <w:szCs w:val="18"/>
                <w:color w:val="auto"/>
              </w:rPr>
              <w:t>68.9</w:t>
            </w:r>
          </w:p>
        </w:tc>
        <w:tc>
          <w:tcPr>
            <w:tcW w:w="0" w:type="dxa"/>
            <w:vAlign w:val="bottom"/>
          </w:tcPr>
          <w:p>
            <w:pPr>
              <w:spacing w:after="0"/>
              <w:rPr>
                <w:sz w:val="1"/>
                <w:szCs w:val="1"/>
                <w:color w:val="auto"/>
              </w:rPr>
            </w:pPr>
          </w:p>
        </w:tc>
      </w:tr>
      <w:tr>
        <w:trPr>
          <w:trHeight w:val="230"/>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Germany</w:t>
            </w:r>
          </w:p>
        </w:tc>
        <w:tc>
          <w:tcPr>
            <w:tcW w:w="28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64.8</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129.2</w:t>
            </w:r>
          </w:p>
        </w:tc>
        <w:tc>
          <w:tcPr>
            <w:tcW w:w="0" w:type="dxa"/>
            <w:vAlign w:val="bottom"/>
          </w:tcPr>
          <w:p>
            <w:pPr>
              <w:spacing w:after="0"/>
              <w:rPr>
                <w:sz w:val="1"/>
                <w:szCs w:val="1"/>
                <w:color w:val="auto"/>
              </w:rPr>
            </w:pPr>
          </w:p>
        </w:tc>
      </w:tr>
      <w:tr>
        <w:trPr>
          <w:trHeight w:val="230"/>
        </w:trPr>
        <w:tc>
          <w:tcPr>
            <w:tcW w:w="4740" w:type="dxa"/>
            <w:vAlign w:val="bottom"/>
          </w:tcPr>
          <w:p>
            <w:pPr>
              <w:spacing w:after="0"/>
              <w:rPr>
                <w:sz w:val="20"/>
                <w:szCs w:val="20"/>
                <w:color w:val="auto"/>
              </w:rPr>
            </w:pPr>
            <w:r>
              <w:rPr>
                <w:rFonts w:ascii="Arial" w:cs="Arial" w:eastAsia="Arial" w:hAnsi="Arial"/>
                <w:sz w:val="18"/>
                <w:szCs w:val="18"/>
                <w:color w:val="auto"/>
              </w:rPr>
              <w:t>Right Management</w:t>
            </w:r>
          </w:p>
        </w:tc>
        <w:tc>
          <w:tcPr>
            <w:tcW w:w="2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62.1</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tcPr>
          <w:p>
            <w:pPr>
              <w:jc w:val="right"/>
              <w:ind w:right="50"/>
              <w:spacing w:after="0"/>
              <w:rPr>
                <w:sz w:val="20"/>
                <w:szCs w:val="20"/>
                <w:color w:val="auto"/>
              </w:rPr>
            </w:pPr>
            <w:r>
              <w:rPr>
                <w:rFonts w:ascii="Arial" w:cs="Arial" w:eastAsia="Arial" w:hAnsi="Arial"/>
                <w:sz w:val="18"/>
                <w:szCs w:val="18"/>
                <w:color w:val="auto"/>
              </w:rPr>
              <w:t>62.1</w:t>
            </w:r>
          </w:p>
        </w:tc>
        <w:tc>
          <w:tcPr>
            <w:tcW w:w="0" w:type="dxa"/>
            <w:vAlign w:val="bottom"/>
          </w:tcPr>
          <w:p>
            <w:pPr>
              <w:spacing w:after="0"/>
              <w:rPr>
                <w:sz w:val="1"/>
                <w:szCs w:val="1"/>
                <w:color w:val="auto"/>
              </w:rPr>
            </w:pPr>
          </w:p>
        </w:tc>
      </w:tr>
      <w:tr>
        <w:trPr>
          <w:trHeight w:val="230"/>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Other reporting units</w:t>
            </w:r>
          </w:p>
        </w:tc>
        <w:tc>
          <w:tcPr>
            <w:tcW w:w="28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6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302.0</w:t>
            </w:r>
          </w:p>
        </w:tc>
        <w:tc>
          <w:tcPr>
            <w:tcW w:w="2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6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299.2</w:t>
            </w:r>
          </w:p>
        </w:tc>
        <w:tc>
          <w:tcPr>
            <w:tcW w:w="0" w:type="dxa"/>
            <w:vAlign w:val="bottom"/>
          </w:tcPr>
          <w:p>
            <w:pPr>
              <w:spacing w:after="0"/>
              <w:rPr>
                <w:sz w:val="1"/>
                <w:szCs w:val="1"/>
                <w:color w:val="auto"/>
              </w:rPr>
            </w:pPr>
          </w:p>
        </w:tc>
      </w:tr>
      <w:tr>
        <w:trPr>
          <w:trHeight w:val="223"/>
        </w:trPr>
        <w:tc>
          <w:tcPr>
            <w:tcW w:w="4740" w:type="dxa"/>
            <w:vAlign w:val="bottom"/>
          </w:tcPr>
          <w:p>
            <w:pPr>
              <w:ind w:left="260"/>
              <w:spacing w:after="0"/>
              <w:rPr>
                <w:sz w:val="20"/>
                <w:szCs w:val="20"/>
                <w:color w:val="auto"/>
              </w:rPr>
            </w:pPr>
            <w:r>
              <w:rPr>
                <w:rFonts w:ascii="Arial" w:cs="Arial" w:eastAsia="Arial" w:hAnsi="Arial"/>
                <w:sz w:val="18"/>
                <w:szCs w:val="18"/>
                <w:color w:val="auto"/>
              </w:rPr>
              <w:t>Total goodwill</w:t>
            </w:r>
          </w:p>
        </w:tc>
        <w:tc>
          <w:tcPr>
            <w:tcW w:w="2800" w:type="dxa"/>
            <w:vAlign w:val="bottom"/>
          </w:tcPr>
          <w:p>
            <w:pPr>
              <w:spacing w:after="0"/>
              <w:rPr>
                <w:sz w:val="19"/>
                <w:szCs w:val="19"/>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6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1,231.8</w:t>
            </w:r>
          </w:p>
        </w:tc>
        <w:tc>
          <w:tcPr>
            <w:tcW w:w="2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1,297.1</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2800" w:type="dxa"/>
            <w:vAlign w:val="bottom"/>
            <w:vMerge w:val="restart"/>
          </w:tcPr>
          <w:p>
            <w:pPr>
              <w:jc w:val="right"/>
              <w:ind w:right="1650"/>
              <w:spacing w:after="0"/>
              <w:rPr>
                <w:sz w:val="20"/>
                <w:szCs w:val="20"/>
                <w:color w:val="auto"/>
              </w:rPr>
            </w:pPr>
            <w:r>
              <w:rPr>
                <w:rFonts w:ascii="Arial" w:cs="Arial" w:eastAsia="Arial" w:hAnsi="Arial"/>
                <w:sz w:val="18"/>
                <w:szCs w:val="18"/>
                <w:color w:val="auto"/>
              </w:rPr>
              <w:t>17</w:t>
            </w: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3"/>
        </w:trPr>
        <w:tc>
          <w:tcPr>
            <w:tcW w:w="4740" w:type="dxa"/>
            <w:vAlign w:val="bottom"/>
          </w:tcPr>
          <w:p>
            <w:pPr>
              <w:spacing w:after="0"/>
              <w:rPr>
                <w:sz w:val="24"/>
                <w:szCs w:val="24"/>
                <w:color w:val="auto"/>
              </w:rPr>
            </w:pPr>
          </w:p>
        </w:tc>
        <w:tc>
          <w:tcPr>
            <w:tcW w:w="28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740" w:type="dxa"/>
            <w:vAlign w:val="bottom"/>
            <w:tcBorders>
              <w:bottom w:val="single" w:sz="8" w:color="9A9A9A"/>
            </w:tcBorders>
          </w:tcPr>
          <w:p>
            <w:pPr>
              <w:spacing w:after="0"/>
              <w:rPr>
                <w:sz w:val="10"/>
                <w:szCs w:val="10"/>
                <w:color w:val="auto"/>
              </w:rPr>
            </w:pPr>
          </w:p>
        </w:tc>
        <w:tc>
          <w:tcPr>
            <w:tcW w:w="28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6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6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7" w:name="page18"/>
    <w:bookmarkEnd w:id="17"/>
    <w:p>
      <w:pPr>
        <w:ind w:left="360" w:hanging="352"/>
        <w:spacing w:after="0"/>
        <w:tabs>
          <w:tab w:leader="none" w:pos="360"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Retirement Plans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the net periodic benefit cost (credit) for our plans were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8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gridSpan w:val="5"/>
          </w:tcPr>
          <w:p>
            <w:pPr>
              <w:jc w:val="right"/>
              <w:ind w:right="170"/>
              <w:spacing w:after="0"/>
              <w:rPr>
                <w:sz w:val="20"/>
                <w:szCs w:val="20"/>
                <w:color w:val="auto"/>
              </w:rPr>
            </w:pPr>
            <w:r>
              <w:rPr>
                <w:rFonts w:ascii="Arial" w:cs="Arial" w:eastAsia="Arial" w:hAnsi="Arial"/>
                <w:sz w:val="18"/>
                <w:szCs w:val="18"/>
                <w:b w:val="1"/>
                <w:bCs w:val="1"/>
                <w:color w:val="auto"/>
                <w:w w:val="95"/>
              </w:rPr>
              <w:t>Defined Benefit Pension Plan</w:t>
            </w:r>
          </w:p>
        </w:tc>
        <w:tc>
          <w:tcPr>
            <w:tcW w:w="1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r>
      <w:tr>
        <w:trPr>
          <w:trHeight w:val="218"/>
        </w:trPr>
        <w:tc>
          <w:tcPr>
            <w:tcW w:w="38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220" w:type="dxa"/>
            <w:vAlign w:val="bottom"/>
            <w:gridSpan w:val="4"/>
          </w:tcPr>
          <w:p>
            <w:pPr>
              <w:jc w:val="center"/>
              <w:ind w:left="270"/>
              <w:spacing w:after="0"/>
              <w:rPr>
                <w:sz w:val="20"/>
                <w:szCs w:val="20"/>
                <w:color w:val="auto"/>
              </w:rPr>
            </w:pPr>
            <w:r>
              <w:rPr>
                <w:rFonts w:ascii="Arial" w:cs="Arial" w:eastAsia="Arial" w:hAnsi="Arial"/>
                <w:sz w:val="18"/>
                <w:szCs w:val="18"/>
                <w:b w:val="1"/>
                <w:bCs w:val="1"/>
                <w:color w:val="auto"/>
                <w:w w:val="90"/>
              </w:rPr>
              <w:t>3 Months Ended</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60" w:type="dxa"/>
            <w:vAlign w:val="bottom"/>
            <w:gridSpan w:val="4"/>
          </w:tcPr>
          <w:p>
            <w:pPr>
              <w:jc w:val="center"/>
              <w:ind w:right="290"/>
              <w:spacing w:after="0"/>
              <w:rPr>
                <w:sz w:val="20"/>
                <w:szCs w:val="20"/>
                <w:color w:val="auto"/>
              </w:rPr>
            </w:pPr>
            <w:r>
              <w:rPr>
                <w:rFonts w:ascii="Arial" w:cs="Arial" w:eastAsia="Arial" w:hAnsi="Arial"/>
                <w:sz w:val="18"/>
                <w:szCs w:val="18"/>
                <w:b w:val="1"/>
                <w:bCs w:val="1"/>
                <w:color w:val="auto"/>
                <w:w w:val="92"/>
              </w:rPr>
              <w:t>9 Months Ended</w:t>
            </w:r>
          </w:p>
        </w:tc>
      </w:tr>
      <w:tr>
        <w:trPr>
          <w:trHeight w:val="234"/>
        </w:trPr>
        <w:tc>
          <w:tcPr>
            <w:tcW w:w="388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2220" w:type="dxa"/>
            <w:vAlign w:val="bottom"/>
            <w:tcBorders>
              <w:bottom w:val="single" w:sz="8" w:color="auto"/>
            </w:tcBorders>
            <w:gridSpan w:val="4"/>
          </w:tcPr>
          <w:p>
            <w:pPr>
              <w:jc w:val="center"/>
              <w:ind w:left="270"/>
              <w:spacing w:after="0"/>
              <w:rPr>
                <w:sz w:val="20"/>
                <w:szCs w:val="20"/>
                <w:color w:val="auto"/>
              </w:rPr>
            </w:pPr>
            <w:r>
              <w:rPr>
                <w:rFonts w:ascii="Arial" w:cs="Arial" w:eastAsia="Arial" w:hAnsi="Arial"/>
                <w:sz w:val="18"/>
                <w:szCs w:val="18"/>
                <w:b w:val="1"/>
                <w:bCs w:val="1"/>
                <w:color w:val="auto"/>
                <w:w w:val="89"/>
              </w:rPr>
              <w:t>September 30,</w:t>
            </w:r>
          </w:p>
        </w:tc>
        <w:tc>
          <w:tcPr>
            <w:tcW w:w="46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4"/>
          </w:tcPr>
          <w:p>
            <w:pPr>
              <w:jc w:val="center"/>
              <w:ind w:right="270"/>
              <w:spacing w:after="0"/>
              <w:rPr>
                <w:sz w:val="20"/>
                <w:szCs w:val="20"/>
                <w:color w:val="auto"/>
              </w:rPr>
            </w:pPr>
            <w:r>
              <w:rPr>
                <w:rFonts w:ascii="Arial" w:cs="Arial" w:eastAsia="Arial" w:hAnsi="Arial"/>
                <w:sz w:val="18"/>
                <w:szCs w:val="18"/>
                <w:b w:val="1"/>
                <w:bCs w:val="1"/>
                <w:color w:val="auto"/>
                <w:w w:val="89"/>
              </w:rPr>
              <w:t>September 30,</w:t>
            </w:r>
          </w:p>
        </w:tc>
      </w:tr>
      <w:tr>
        <w:trPr>
          <w:trHeight w:val="223"/>
        </w:trPr>
        <w:tc>
          <w:tcPr>
            <w:tcW w:w="3880" w:type="dxa"/>
            <w:vAlign w:val="bottom"/>
            <w:tcBorders>
              <w:bottom w:val="single" w:sz="8" w:color="CFF0FC"/>
            </w:tcBorders>
          </w:tcPr>
          <w:p>
            <w:pPr>
              <w:spacing w:after="0"/>
              <w:rPr>
                <w:sz w:val="19"/>
                <w:szCs w:val="19"/>
                <w:color w:val="auto"/>
              </w:rPr>
            </w:pPr>
          </w:p>
        </w:tc>
        <w:tc>
          <w:tcPr>
            <w:tcW w:w="2020" w:type="dxa"/>
            <w:vAlign w:val="bottom"/>
            <w:tcBorders>
              <w:bottom w:val="single" w:sz="8" w:color="CFF0FC"/>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460" w:type="dxa"/>
            <w:vAlign w:val="bottom"/>
            <w:tcBorders>
              <w:bottom w:val="single" w:sz="8" w:color="auto"/>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460" w:type="dxa"/>
            <w:vAlign w:val="bottom"/>
            <w:tcBorders>
              <w:bottom w:val="single" w:sz="8" w:color="auto"/>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1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2018</w:t>
            </w:r>
          </w:p>
        </w:tc>
      </w:tr>
      <w:tr>
        <w:trPr>
          <w:trHeight w:val="223"/>
        </w:trPr>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Service cost</w:t>
            </w:r>
          </w:p>
        </w:tc>
        <w:tc>
          <w:tcPr>
            <w:tcW w:w="202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630"/>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4.1</w:t>
            </w: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637"/>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2.6</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10.9</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8.2</w:t>
            </w:r>
          </w:p>
        </w:tc>
      </w:tr>
      <w:tr>
        <w:trPr>
          <w:trHeight w:val="230"/>
        </w:trPr>
        <w:tc>
          <w:tcPr>
            <w:tcW w:w="3880" w:type="dxa"/>
            <w:vAlign w:val="bottom"/>
          </w:tcPr>
          <w:p>
            <w:pPr>
              <w:spacing w:after="0"/>
              <w:rPr>
                <w:sz w:val="20"/>
                <w:szCs w:val="20"/>
                <w:color w:val="auto"/>
              </w:rPr>
            </w:pPr>
            <w:r>
              <w:rPr>
                <w:rFonts w:ascii="Arial" w:cs="Arial" w:eastAsia="Arial" w:hAnsi="Arial"/>
                <w:sz w:val="18"/>
                <w:szCs w:val="18"/>
                <w:color w:val="auto"/>
              </w:rPr>
              <w:t>Interest cost</w:t>
            </w:r>
          </w:p>
        </w:tc>
        <w:tc>
          <w:tcPr>
            <w:tcW w:w="20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3.2</w:t>
            </w: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2.9</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9.5</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8.8</w:t>
            </w:r>
          </w:p>
        </w:tc>
      </w:tr>
      <w:tr>
        <w:trPr>
          <w:trHeight w:val="230"/>
        </w:trPr>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Expected return on assets</w:t>
            </w:r>
          </w:p>
        </w:tc>
        <w:tc>
          <w:tcPr>
            <w:tcW w:w="20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w:t>
            </w:r>
          </w:p>
        </w:tc>
      </w:tr>
      <w:tr>
        <w:trPr>
          <w:trHeight w:val="230"/>
        </w:trPr>
        <w:tc>
          <w:tcPr>
            <w:tcW w:w="38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2020" w:type="dxa"/>
            <w:vAlign w:val="bottom"/>
            <w:tcBorders>
              <w:bottom w:val="single" w:sz="8" w:color="CFF0FC"/>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0.5</w:t>
            </w:r>
          </w:p>
        </w:tc>
        <w:tc>
          <w:tcPr>
            <w:tcW w:w="140" w:type="dxa"/>
            <w:vAlign w:val="bottom"/>
            <w:tcBorders>
              <w:bottom w:val="single" w:sz="8" w:color="CFF0FC"/>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0.4</w:t>
            </w:r>
          </w:p>
        </w:tc>
        <w:tc>
          <w:tcPr>
            <w:tcW w:w="1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w:t>
            </w:r>
          </w:p>
        </w:tc>
        <w:tc>
          <w:tcPr>
            <w:tcW w:w="1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1.1</w:t>
            </w:r>
          </w:p>
        </w:tc>
      </w:tr>
      <w:tr>
        <w:trPr>
          <w:trHeight w:val="223"/>
        </w:trPr>
        <w:tc>
          <w:tcPr>
            <w:tcW w:w="388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benefit cost</w:t>
            </w:r>
          </w:p>
        </w:tc>
        <w:tc>
          <w:tcPr>
            <w:tcW w:w="2020" w:type="dxa"/>
            <w:vAlign w:val="bottom"/>
            <w:tcBorders>
              <w:bottom w:val="single" w:sz="8" w:color="CFF0FC"/>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ind w:right="630"/>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4.3</w:t>
            </w:r>
          </w:p>
        </w:tc>
        <w:tc>
          <w:tcPr>
            <w:tcW w:w="140" w:type="dxa"/>
            <w:vAlign w:val="bottom"/>
            <w:tcBorders>
              <w:bottom w:val="single" w:sz="8" w:color="CFF0FC"/>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ind w:right="637"/>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3.3</w:t>
            </w:r>
          </w:p>
        </w:tc>
        <w:tc>
          <w:tcPr>
            <w:tcW w:w="1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12.4</w:t>
            </w:r>
          </w:p>
        </w:tc>
        <w:tc>
          <w:tcPr>
            <w:tcW w:w="1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10.0</w:t>
            </w:r>
          </w:p>
        </w:tc>
      </w:tr>
      <w:tr>
        <w:trPr>
          <w:trHeight w:val="20"/>
        </w:trPr>
        <w:tc>
          <w:tcPr>
            <w:tcW w:w="38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669"/>
        </w:trPr>
        <w:tc>
          <w:tcPr>
            <w:tcW w:w="38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5"/>
          </w:tcPr>
          <w:p>
            <w:pPr>
              <w:jc w:val="right"/>
              <w:ind w:right="330"/>
              <w:spacing w:after="0"/>
              <w:rPr>
                <w:sz w:val="20"/>
                <w:szCs w:val="20"/>
                <w:color w:val="auto"/>
              </w:rPr>
            </w:pPr>
            <w:r>
              <w:rPr>
                <w:rFonts w:ascii="Arial" w:cs="Arial" w:eastAsia="Arial" w:hAnsi="Arial"/>
                <w:sz w:val="18"/>
                <w:szCs w:val="18"/>
                <w:b w:val="1"/>
                <w:bCs w:val="1"/>
                <w:color w:val="auto"/>
              </w:rPr>
              <w:t>Retiree Health Care Plan</w:t>
            </w:r>
          </w:p>
        </w:tc>
        <w:tc>
          <w:tcPr>
            <w:tcW w:w="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r>
      <w:tr>
        <w:trPr>
          <w:trHeight w:val="218"/>
        </w:trPr>
        <w:tc>
          <w:tcPr>
            <w:tcW w:w="38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220" w:type="dxa"/>
            <w:vAlign w:val="bottom"/>
            <w:gridSpan w:val="4"/>
          </w:tcPr>
          <w:p>
            <w:pPr>
              <w:jc w:val="center"/>
              <w:ind w:left="270"/>
              <w:spacing w:after="0"/>
              <w:rPr>
                <w:sz w:val="20"/>
                <w:szCs w:val="20"/>
                <w:color w:val="auto"/>
              </w:rPr>
            </w:pPr>
            <w:r>
              <w:rPr>
                <w:rFonts w:ascii="Arial" w:cs="Arial" w:eastAsia="Arial" w:hAnsi="Arial"/>
                <w:sz w:val="18"/>
                <w:szCs w:val="18"/>
                <w:b w:val="1"/>
                <w:bCs w:val="1"/>
                <w:color w:val="auto"/>
                <w:w w:val="90"/>
              </w:rPr>
              <w:t>3 Months Ended</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60" w:type="dxa"/>
            <w:vAlign w:val="bottom"/>
            <w:gridSpan w:val="4"/>
          </w:tcPr>
          <w:p>
            <w:pPr>
              <w:jc w:val="center"/>
              <w:ind w:right="290"/>
              <w:spacing w:after="0"/>
              <w:rPr>
                <w:sz w:val="20"/>
                <w:szCs w:val="20"/>
                <w:color w:val="auto"/>
              </w:rPr>
            </w:pPr>
            <w:r>
              <w:rPr>
                <w:rFonts w:ascii="Arial" w:cs="Arial" w:eastAsia="Arial" w:hAnsi="Arial"/>
                <w:sz w:val="18"/>
                <w:szCs w:val="18"/>
                <w:b w:val="1"/>
                <w:bCs w:val="1"/>
                <w:color w:val="auto"/>
                <w:w w:val="92"/>
              </w:rPr>
              <w:t>9 Months Ended</w:t>
            </w:r>
          </w:p>
        </w:tc>
      </w:tr>
      <w:tr>
        <w:trPr>
          <w:trHeight w:val="234"/>
        </w:trPr>
        <w:tc>
          <w:tcPr>
            <w:tcW w:w="388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2220" w:type="dxa"/>
            <w:vAlign w:val="bottom"/>
            <w:tcBorders>
              <w:bottom w:val="single" w:sz="8" w:color="auto"/>
            </w:tcBorders>
            <w:gridSpan w:val="4"/>
          </w:tcPr>
          <w:p>
            <w:pPr>
              <w:jc w:val="center"/>
              <w:ind w:left="270"/>
              <w:spacing w:after="0"/>
              <w:rPr>
                <w:sz w:val="20"/>
                <w:szCs w:val="20"/>
                <w:color w:val="auto"/>
              </w:rPr>
            </w:pPr>
            <w:r>
              <w:rPr>
                <w:rFonts w:ascii="Arial" w:cs="Arial" w:eastAsia="Arial" w:hAnsi="Arial"/>
                <w:sz w:val="18"/>
                <w:szCs w:val="18"/>
                <w:b w:val="1"/>
                <w:bCs w:val="1"/>
                <w:color w:val="auto"/>
                <w:w w:val="89"/>
              </w:rPr>
              <w:t>September 30,</w:t>
            </w:r>
          </w:p>
        </w:tc>
        <w:tc>
          <w:tcPr>
            <w:tcW w:w="46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4"/>
          </w:tcPr>
          <w:p>
            <w:pPr>
              <w:jc w:val="center"/>
              <w:ind w:right="270"/>
              <w:spacing w:after="0"/>
              <w:rPr>
                <w:sz w:val="20"/>
                <w:szCs w:val="20"/>
                <w:color w:val="auto"/>
              </w:rPr>
            </w:pPr>
            <w:r>
              <w:rPr>
                <w:rFonts w:ascii="Arial" w:cs="Arial" w:eastAsia="Arial" w:hAnsi="Arial"/>
                <w:sz w:val="18"/>
                <w:szCs w:val="18"/>
                <w:b w:val="1"/>
                <w:bCs w:val="1"/>
                <w:color w:val="auto"/>
                <w:w w:val="89"/>
              </w:rPr>
              <w:t>September 30,</w:t>
            </w:r>
          </w:p>
        </w:tc>
      </w:tr>
      <w:tr>
        <w:trPr>
          <w:trHeight w:val="223"/>
        </w:trPr>
        <w:tc>
          <w:tcPr>
            <w:tcW w:w="388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46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46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1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2018</w:t>
            </w:r>
          </w:p>
        </w:tc>
      </w:tr>
      <w:tr>
        <w:trPr>
          <w:trHeight w:val="223"/>
        </w:trPr>
        <w:tc>
          <w:tcPr>
            <w:tcW w:w="3880" w:type="dxa"/>
            <w:vAlign w:val="bottom"/>
          </w:tcPr>
          <w:p>
            <w:pPr>
              <w:spacing w:after="0"/>
              <w:rPr>
                <w:sz w:val="20"/>
                <w:szCs w:val="20"/>
                <w:color w:val="auto"/>
              </w:rPr>
            </w:pPr>
            <w:r>
              <w:rPr>
                <w:rFonts w:ascii="Arial" w:cs="Arial" w:eastAsia="Arial" w:hAnsi="Arial"/>
                <w:sz w:val="18"/>
                <w:szCs w:val="18"/>
                <w:color w:val="auto"/>
              </w:rPr>
              <w:t>Interest cost</w:t>
            </w:r>
          </w:p>
        </w:tc>
        <w:tc>
          <w:tcPr>
            <w:tcW w:w="2020" w:type="dxa"/>
            <w:vAlign w:val="bottom"/>
          </w:tcPr>
          <w:p>
            <w:pPr>
              <w:spacing w:after="0"/>
              <w:rPr>
                <w:sz w:val="19"/>
                <w:szCs w:val="19"/>
                <w:color w:val="auto"/>
              </w:rPr>
            </w:pPr>
          </w:p>
        </w:tc>
        <w:tc>
          <w:tcPr>
            <w:tcW w:w="820" w:type="dxa"/>
            <w:vAlign w:val="bottom"/>
          </w:tcPr>
          <w:p>
            <w:pPr>
              <w:jc w:val="right"/>
              <w:ind w:right="630"/>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0.1</w:t>
            </w:r>
          </w:p>
        </w:tc>
        <w:tc>
          <w:tcPr>
            <w:tcW w:w="140" w:type="dxa"/>
            <w:vAlign w:val="bottom"/>
          </w:tcPr>
          <w:p>
            <w:pPr>
              <w:spacing w:after="0"/>
              <w:rPr>
                <w:sz w:val="19"/>
                <w:szCs w:val="19"/>
                <w:color w:val="auto"/>
              </w:rPr>
            </w:pPr>
          </w:p>
        </w:tc>
        <w:tc>
          <w:tcPr>
            <w:tcW w:w="800" w:type="dxa"/>
            <w:vAlign w:val="bottom"/>
          </w:tcPr>
          <w:p>
            <w:pPr>
              <w:jc w:val="right"/>
              <w:ind w:right="637"/>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0.1</w:t>
            </w:r>
          </w:p>
        </w:tc>
        <w:tc>
          <w:tcPr>
            <w:tcW w:w="140" w:type="dxa"/>
            <w:vAlign w:val="bottom"/>
          </w:tcPr>
          <w:p>
            <w:pPr>
              <w:spacing w:after="0"/>
              <w:rPr>
                <w:sz w:val="19"/>
                <w:szCs w:val="19"/>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0.4</w:t>
            </w:r>
          </w:p>
        </w:tc>
        <w:tc>
          <w:tcPr>
            <w:tcW w:w="14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0.3</w:t>
            </w:r>
          </w:p>
        </w:tc>
      </w:tr>
      <w:tr>
        <w:trPr>
          <w:trHeight w:val="230"/>
        </w:trPr>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20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4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4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0.1</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0.1</w:t>
            </w:r>
          </w:p>
        </w:tc>
      </w:tr>
      <w:tr>
        <w:trPr>
          <w:trHeight w:val="230"/>
        </w:trPr>
        <w:tc>
          <w:tcPr>
            <w:tcW w:w="38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Prior service credit</w:t>
            </w:r>
          </w:p>
        </w:tc>
        <w:tc>
          <w:tcPr>
            <w:tcW w:w="2020" w:type="dxa"/>
            <w:vAlign w:val="bottom"/>
            <w:tcBorders>
              <w:bottom w:val="single" w:sz="8" w:color="CFF0FC"/>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40" w:type="dxa"/>
            <w:vAlign w:val="bottom"/>
            <w:tcBorders>
              <w:bottom w:val="single" w:sz="8" w:color="CFF0FC"/>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1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r>
      <w:tr>
        <w:trPr>
          <w:trHeight w:val="223"/>
        </w:trPr>
        <w:tc>
          <w:tcPr>
            <w:tcW w:w="388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benefit credit</w:t>
            </w:r>
          </w:p>
        </w:tc>
        <w:tc>
          <w:tcPr>
            <w:tcW w:w="2020" w:type="dxa"/>
            <w:vAlign w:val="bottom"/>
            <w:tcBorders>
              <w:bottom w:val="single" w:sz="8" w:color="CFF0FC"/>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ind w:right="630"/>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140" w:type="dxa"/>
            <w:vAlign w:val="bottom"/>
            <w:tcBorders>
              <w:bottom w:val="single" w:sz="8" w:color="CFF0FC"/>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ind w:right="637"/>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(0.2)</w:t>
            </w:r>
          </w:p>
        </w:tc>
        <w:tc>
          <w:tcPr>
            <w:tcW w:w="1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(0.2)</w:t>
            </w:r>
          </w:p>
        </w:tc>
      </w:tr>
      <w:tr>
        <w:trPr>
          <w:trHeight w:val="20"/>
        </w:trPr>
        <w:tc>
          <w:tcPr>
            <w:tcW w:w="38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During the three and nine months ended September 30, 2019, contributions made to our pension plans were $5.2 and $9.6, respectively, and contributions made to our retiree health care plan were $0.3 and $0.9, respectively. During 2019, we expect to make total contributions of approximately $17.0 to our pension plans and to fund our retiree health care payments as incurred.</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380" w:type="dxa"/>
            <w:vAlign w:val="bottom"/>
            <w:gridSpan w:val="3"/>
          </w:tcPr>
          <w:p>
            <w:pPr>
              <w:spacing w:after="0"/>
              <w:rPr>
                <w:sz w:val="20"/>
                <w:szCs w:val="20"/>
                <w:color w:val="auto"/>
              </w:rPr>
            </w:pPr>
            <w:r>
              <w:rPr>
                <w:rFonts w:ascii="Arial" w:cs="Arial" w:eastAsia="Arial" w:hAnsi="Arial"/>
                <w:sz w:val="18"/>
                <w:szCs w:val="18"/>
                <w:color w:val="auto"/>
              </w:rPr>
              <w:t>(11) Shareholders’ Equity</w:t>
            </w: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0"/>
        </w:trPr>
        <w:tc>
          <w:tcPr>
            <w:tcW w:w="34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412"/>
        </w:trPr>
        <w:tc>
          <w:tcPr>
            <w:tcW w:w="8380" w:type="dxa"/>
            <w:vAlign w:val="bottom"/>
            <w:gridSpan w:val="3"/>
          </w:tcPr>
          <w:p>
            <w:pPr>
              <w:spacing w:after="0"/>
              <w:rPr>
                <w:sz w:val="20"/>
                <w:szCs w:val="20"/>
                <w:color w:val="auto"/>
              </w:rPr>
            </w:pPr>
            <w:r>
              <w:rPr>
                <w:rFonts w:ascii="Arial" w:cs="Arial" w:eastAsia="Arial" w:hAnsi="Arial"/>
                <w:sz w:val="18"/>
                <w:szCs w:val="18"/>
                <w:color w:val="auto"/>
              </w:rPr>
              <w:t>The components of accumulated other comprehensive loss, net of tax, were as follows:</w:t>
            </w: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441"/>
        </w:trPr>
        <w:tc>
          <w:tcPr>
            <w:tcW w:w="3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6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gridSpan w:val="2"/>
          </w:tcPr>
          <w:p>
            <w:pPr>
              <w:spacing w:after="0"/>
              <w:rPr>
                <w:sz w:val="20"/>
                <w:szCs w:val="20"/>
                <w:color w:val="auto"/>
              </w:rPr>
            </w:pPr>
            <w:r>
              <w:rPr>
                <w:rFonts w:ascii="Arial" w:cs="Arial" w:eastAsia="Arial" w:hAnsi="Arial"/>
                <w:sz w:val="18"/>
                <w:szCs w:val="18"/>
                <w:b w:val="1"/>
                <w:bCs w:val="1"/>
                <w:color w:val="auto"/>
              </w:rPr>
              <w:t>September 30,</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40" w:type="dxa"/>
            <w:vAlign w:val="bottom"/>
          </w:tcPr>
          <w:p>
            <w:pPr>
              <w:jc w:val="right"/>
              <w:ind w:right="170"/>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340" w:type="dxa"/>
            <w:vAlign w:val="bottom"/>
            <w:tcBorders>
              <w:bottom w:val="single" w:sz="8" w:color="CFF0FC"/>
            </w:tcBorders>
          </w:tcPr>
          <w:p>
            <w:pPr>
              <w:spacing w:after="0"/>
              <w:rPr>
                <w:sz w:val="20"/>
                <w:szCs w:val="20"/>
                <w:color w:val="auto"/>
              </w:rPr>
            </w:pPr>
          </w:p>
        </w:tc>
        <w:tc>
          <w:tcPr>
            <w:tcW w:w="1540" w:type="dxa"/>
            <w:vAlign w:val="bottom"/>
            <w:tcBorders>
              <w:bottom w:val="single" w:sz="8" w:color="CFF0FC"/>
            </w:tcBorders>
          </w:tcPr>
          <w:p>
            <w:pPr>
              <w:spacing w:after="0"/>
              <w:rPr>
                <w:sz w:val="20"/>
                <w:szCs w:val="20"/>
                <w:color w:val="auto"/>
              </w:rPr>
            </w:pPr>
          </w:p>
        </w:tc>
        <w:tc>
          <w:tcPr>
            <w:tcW w:w="650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2019</w:t>
            </w:r>
          </w:p>
        </w:tc>
        <w:tc>
          <w:tcPr>
            <w:tcW w:w="160" w:type="dxa"/>
            <w:vAlign w:val="bottom"/>
            <w:tcBorders>
              <w:bottom w:val="single" w:sz="8" w:color="CFF0FC"/>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2018</w:t>
            </w:r>
          </w:p>
        </w:tc>
      </w:tr>
      <w:tr>
        <w:trPr>
          <w:trHeight w:val="223"/>
        </w:trPr>
        <w:tc>
          <w:tcPr>
            <w:tcW w:w="838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Foreign currency translation</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(323.3)</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(223.2)</w:t>
            </w:r>
          </w:p>
        </w:tc>
      </w:tr>
      <w:tr>
        <w:trPr>
          <w:trHeight w:val="230"/>
        </w:trPr>
        <w:tc>
          <w:tcPr>
            <w:tcW w:w="8380" w:type="dxa"/>
            <w:vAlign w:val="bottom"/>
            <w:gridSpan w:val="3"/>
          </w:tcPr>
          <w:p>
            <w:pPr>
              <w:spacing w:after="0"/>
              <w:rPr>
                <w:sz w:val="20"/>
                <w:szCs w:val="20"/>
                <w:color w:val="auto"/>
              </w:rPr>
            </w:pPr>
            <w:r>
              <w:rPr>
                <w:rFonts w:ascii="Arial" w:cs="Arial" w:eastAsia="Arial" w:hAnsi="Arial"/>
                <w:sz w:val="18"/>
                <w:szCs w:val="18"/>
                <w:color w:val="auto"/>
              </w:rPr>
              <w:t>Translation gain (loss) on derivative instruments, net of income taxes of $(1.3) and $(12.9), respectively</w:t>
            </w:r>
          </w:p>
        </w:tc>
        <w:tc>
          <w:tcPr>
            <w:tcW w:w="100" w:type="dxa"/>
            <w:vAlign w:val="bottom"/>
          </w:tcPr>
          <w:p>
            <w:pPr>
              <w:spacing w:after="0"/>
              <w:rPr>
                <w:sz w:val="19"/>
                <w:szCs w:val="19"/>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38.5</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30"/>
        </w:trPr>
        <w:tc>
          <w:tcPr>
            <w:tcW w:w="838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Translation loss on long-term intercompany loans</w:t>
            </w:r>
          </w:p>
        </w:tc>
        <w:tc>
          <w:tcPr>
            <w:tcW w:w="1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(133.6)</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(137.2)</w:t>
            </w:r>
          </w:p>
        </w:tc>
      </w:tr>
      <w:tr>
        <w:trPr>
          <w:trHeight w:val="230"/>
        </w:trPr>
        <w:tc>
          <w:tcPr>
            <w:tcW w:w="8380" w:type="dxa"/>
            <w:vAlign w:val="bottom"/>
            <w:gridSpan w:val="3"/>
          </w:tcPr>
          <w:p>
            <w:pPr>
              <w:spacing w:after="0"/>
              <w:rPr>
                <w:sz w:val="20"/>
                <w:szCs w:val="20"/>
                <w:color w:val="auto"/>
              </w:rPr>
            </w:pPr>
            <w:r>
              <w:rPr>
                <w:rFonts w:ascii="Arial" w:cs="Arial" w:eastAsia="Arial" w:hAnsi="Arial"/>
                <w:sz w:val="18"/>
                <w:szCs w:val="18"/>
                <w:color w:val="auto"/>
              </w:rPr>
              <w:t>Defined benefit pension plans, net of income taxes of $(22.9) and $(23.2), respectively</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(36.9)</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(37.9)</w:t>
            </w:r>
          </w:p>
        </w:tc>
      </w:tr>
      <w:tr>
        <w:trPr>
          <w:trHeight w:val="230"/>
        </w:trPr>
        <w:tc>
          <w:tcPr>
            <w:tcW w:w="838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Retiree health care plan, net of income taxes of $1.9 and $2.0, respectively</w:t>
            </w:r>
          </w:p>
        </w:tc>
        <w:tc>
          <w:tcPr>
            <w:tcW w:w="10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2.8</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3.2</w:t>
            </w:r>
          </w:p>
        </w:tc>
      </w:tr>
      <w:tr>
        <w:trPr>
          <w:trHeight w:val="223"/>
        </w:trPr>
        <w:tc>
          <w:tcPr>
            <w:tcW w:w="8380" w:type="dxa"/>
            <w:vAlign w:val="bottom"/>
            <w:gridSpan w:val="3"/>
          </w:tcPr>
          <w:p>
            <w:pPr>
              <w:ind w:left="260"/>
              <w:spacing w:after="0"/>
              <w:rPr>
                <w:sz w:val="20"/>
                <w:szCs w:val="20"/>
                <w:color w:val="auto"/>
              </w:rPr>
            </w:pPr>
            <w:r>
              <w:rPr>
                <w:rFonts w:ascii="Arial" w:cs="Arial" w:eastAsia="Arial" w:hAnsi="Arial"/>
                <w:sz w:val="18"/>
                <w:szCs w:val="18"/>
                <w:color w:val="auto"/>
              </w:rPr>
              <w:t>Accumulated other comprehensive loss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(452.5)</w:t>
            </w:r>
          </w:p>
        </w:tc>
        <w:tc>
          <w:tcPr>
            <w:tcW w:w="1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(399.8)</w:t>
            </w:r>
          </w:p>
        </w:tc>
      </w:tr>
      <w:tr>
        <w:trPr>
          <w:trHeight w:val="20"/>
        </w:trPr>
        <w:tc>
          <w:tcPr>
            <w:tcW w:w="3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Noncontrolling Interests</w:t>
      </w:r>
    </w:p>
    <w:p>
      <w:pPr>
        <w:spacing w:after="0" w:line="185"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Noncontrolling interests, reported in total shareholders' equity in our Consolidated Balance Sheets, represent amounts related to majority-owned subsidiaries in which we have a controlling financial interest. Net earnings attributable to these noncontrolling interests are recorded in interest and other expenses (income), net in our Consolidated Statements of Operations. We recorded expenses of $0.2 and $1.3 for the three months ended September 30, 2019 and 2018, respectively, and $1.3 and $3.5 for the nine months ended September 30, 2019 and 2018, respectively. The portion of earnings attributed to the noncontrolling interest for ManpowerGroup Greater China Limited is included in the above amounts through July 10, 2019. (See Note 5 to the Consolidated Financial Statements for further information on the deconsolidation of the entity.)</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8" w:name="page19"/>
    <w:bookmarkEnd w:id="18"/>
    <w:p>
      <w:pPr>
        <w:jc w:val="both"/>
        <w:ind w:right="200"/>
        <w:spacing w:after="0" w:line="312" w:lineRule="auto"/>
        <w:rPr>
          <w:sz w:val="20"/>
          <w:szCs w:val="20"/>
          <w:color w:val="auto"/>
        </w:rPr>
      </w:pPr>
      <w:r>
        <w:rPr>
          <w:rFonts w:ascii="Arial" w:cs="Arial" w:eastAsia="Arial" w:hAnsi="Arial"/>
          <w:sz w:val="16"/>
          <w:szCs w:val="16"/>
          <w:color w:val="auto"/>
        </w:rPr>
        <w:t>In 2018, the Board of Directors made the following dividend declarations: On May 4, 2018, the Board of Directors declared a semi-annual cash dividend of $1.01 per share which was paid on June 15, 2018 to shareholders of record on June 1, 2018. On November 9, 2018, the Board of Directors declared a semi-annual cash dividend of $1.01 per share which was paid on December 14, 2018 to shareholders of record on December 3, 2018.</w:t>
      </w:r>
    </w:p>
    <w:p>
      <w:pPr>
        <w:spacing w:after="0" w:line="120" w:lineRule="exact"/>
        <w:rPr>
          <w:sz w:val="20"/>
          <w:szCs w:val="20"/>
          <w:color w:val="auto"/>
        </w:rPr>
      </w:pPr>
    </w:p>
    <w:p>
      <w:pPr>
        <w:jc w:val="both"/>
        <w:ind w:right="200"/>
        <w:spacing w:after="0" w:line="277" w:lineRule="auto"/>
        <w:rPr>
          <w:sz w:val="20"/>
          <w:szCs w:val="20"/>
          <w:color w:val="auto"/>
        </w:rPr>
      </w:pPr>
      <w:r>
        <w:rPr>
          <w:rFonts w:ascii="Arial" w:cs="Arial" w:eastAsia="Arial" w:hAnsi="Arial"/>
          <w:sz w:val="18"/>
          <w:szCs w:val="18"/>
          <w:color w:val="auto"/>
        </w:rPr>
        <w:t>To date in 2019, the Board of Directors has made the following dividend declaration: On May 10, 2019, the Board of Directors declared a semi-annual cash dividend of $1.09 per share which was paid on June 14, 2019 to shareholders of record on June 3, 2019.</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Repurchases</w:t>
      </w:r>
    </w:p>
    <w:p>
      <w:pPr>
        <w:spacing w:after="0" w:line="185"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In August 2019, the Board of Directors authorized the repurchase of 6.0 million shares of our common stock, with terms consistent with the previous authorizations. This authorization is in addition to the August 2018 and July 2016 Board authorizations to purchase 6.0 million shares of our common stock each. Share repurchases may be made from time to time through a variety of methods, including open market purchases, block transactions, privately negotiated transactions or similar facilities. During the first nine months of 2019, we repurchased a total of 1.8 million shares at a cost of $152.0 under the 2018 authorization. During the first nine months of 2018, we repurchased a total of 3.1 million shares comprised of 2.8 million shares under the 2016 authorization and 0.3 million shares under the 2018 authorization, at a total cost of $299.2. As of September 30, 2019, there were 6.0 million and 1.3 million shares remaining authorized for repurchase under the 2019 authorization and 2018 authorization, respectively, and no shares remaining authorized for repurchase under the 2016 authorization.</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20" w:type="dxa"/>
            <w:vAlign w:val="bottom"/>
            <w:gridSpan w:val="3"/>
          </w:tcPr>
          <w:p>
            <w:pPr>
              <w:spacing w:after="0"/>
              <w:rPr>
                <w:sz w:val="20"/>
                <w:szCs w:val="20"/>
                <w:color w:val="auto"/>
              </w:rPr>
            </w:pPr>
            <w:r>
              <w:rPr>
                <w:rFonts w:ascii="Arial" w:cs="Arial" w:eastAsia="Arial" w:hAnsi="Arial"/>
                <w:sz w:val="18"/>
                <w:szCs w:val="18"/>
                <w:color w:val="auto"/>
              </w:rPr>
              <w:t>(12) Interest and Other Expenses (Income), Net</w:t>
            </w:r>
          </w:p>
        </w:tc>
        <w:tc>
          <w:tcPr>
            <w:tcW w:w="4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
        </w:trPr>
        <w:tc>
          <w:tcPr>
            <w:tcW w:w="360" w:type="dxa"/>
            <w:vAlign w:val="bottom"/>
          </w:tcPr>
          <w:p>
            <w:pPr>
              <w:spacing w:after="0" w:line="20" w:lineRule="exact"/>
              <w:rPr>
                <w:sz w:val="1"/>
                <w:szCs w:val="1"/>
                <w:color w:val="auto"/>
              </w:rPr>
            </w:pPr>
          </w:p>
        </w:tc>
        <w:tc>
          <w:tcPr>
            <w:tcW w:w="3080" w:type="dxa"/>
            <w:vAlign w:val="bottom"/>
            <w:shd w:val="clear" w:color="auto" w:fill="000000"/>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426"/>
        </w:trPr>
        <w:tc>
          <w:tcPr>
            <w:tcW w:w="5420" w:type="dxa"/>
            <w:vAlign w:val="bottom"/>
            <w:gridSpan w:val="3"/>
          </w:tcPr>
          <w:p>
            <w:pPr>
              <w:spacing w:after="0"/>
              <w:rPr>
                <w:sz w:val="20"/>
                <w:szCs w:val="20"/>
                <w:color w:val="auto"/>
              </w:rPr>
            </w:pPr>
            <w:r>
              <w:rPr>
                <w:rFonts w:ascii="Arial" w:cs="Arial" w:eastAsia="Arial" w:hAnsi="Arial"/>
                <w:sz w:val="18"/>
                <w:szCs w:val="18"/>
                <w:color w:val="auto"/>
                <w:w w:val="99"/>
              </w:rPr>
              <w:t>Interest and other expenses (income), net consisted of the following:</w:t>
            </w: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60"/>
        </w:trPr>
        <w:tc>
          <w:tcPr>
            <w:tcW w:w="36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0" w:type="dxa"/>
            <w:vAlign w:val="bottom"/>
            <w:gridSpan w:val="4"/>
          </w:tcPr>
          <w:p>
            <w:pPr>
              <w:jc w:val="right"/>
              <w:ind w:right="200"/>
              <w:spacing w:after="0"/>
              <w:rPr>
                <w:sz w:val="20"/>
                <w:szCs w:val="20"/>
                <w:color w:val="auto"/>
              </w:rPr>
            </w:pPr>
            <w:r>
              <w:rPr>
                <w:rFonts w:ascii="Arial" w:cs="Arial" w:eastAsia="Arial" w:hAnsi="Arial"/>
                <w:sz w:val="18"/>
                <w:szCs w:val="18"/>
                <w:b w:val="1"/>
                <w:bCs w:val="1"/>
                <w:color w:val="auto"/>
              </w:rPr>
              <w:t>3 Months Ended</w:t>
            </w: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60" w:type="dxa"/>
            <w:vAlign w:val="bottom"/>
            <w:gridSpan w:val="4"/>
          </w:tcPr>
          <w:p>
            <w:pPr>
              <w:jc w:val="right"/>
              <w:ind w:right="690"/>
              <w:spacing w:after="0"/>
              <w:rPr>
                <w:sz w:val="20"/>
                <w:szCs w:val="20"/>
                <w:color w:val="auto"/>
              </w:rPr>
            </w:pPr>
            <w:r>
              <w:rPr>
                <w:rFonts w:ascii="Arial" w:cs="Arial" w:eastAsia="Arial" w:hAnsi="Arial"/>
                <w:sz w:val="18"/>
                <w:szCs w:val="18"/>
                <w:b w:val="1"/>
                <w:bCs w:val="1"/>
                <w:color w:val="auto"/>
              </w:rPr>
              <w:t>9 Months Ended</w:t>
            </w:r>
          </w:p>
        </w:tc>
      </w:tr>
      <w:tr>
        <w:trPr>
          <w:trHeight w:val="234"/>
        </w:trPr>
        <w:tc>
          <w:tcPr>
            <w:tcW w:w="36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0" w:type="dxa"/>
            <w:vAlign w:val="bottom"/>
            <w:tcBorders>
              <w:bottom w:val="single" w:sz="8" w:color="auto"/>
            </w:tcBorders>
            <w:gridSpan w:val="4"/>
          </w:tcPr>
          <w:p>
            <w:pPr>
              <w:jc w:val="right"/>
              <w:ind w:right="280"/>
              <w:spacing w:after="0"/>
              <w:rPr>
                <w:sz w:val="20"/>
                <w:szCs w:val="20"/>
                <w:color w:val="auto"/>
              </w:rPr>
            </w:pPr>
            <w:r>
              <w:rPr>
                <w:rFonts w:ascii="Arial" w:cs="Arial" w:eastAsia="Arial" w:hAnsi="Arial"/>
                <w:sz w:val="18"/>
                <w:szCs w:val="18"/>
                <w:b w:val="1"/>
                <w:bCs w:val="1"/>
                <w:color w:val="auto"/>
              </w:rPr>
              <w:t>September 30,</w:t>
            </w:r>
          </w:p>
        </w:tc>
        <w:tc>
          <w:tcPr>
            <w:tcW w:w="48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4"/>
          </w:tcPr>
          <w:p>
            <w:pPr>
              <w:jc w:val="right"/>
              <w:ind w:right="770"/>
              <w:spacing w:after="0"/>
              <w:rPr>
                <w:sz w:val="20"/>
                <w:szCs w:val="20"/>
                <w:color w:val="auto"/>
              </w:rPr>
            </w:pPr>
            <w:r>
              <w:rPr>
                <w:rFonts w:ascii="Arial" w:cs="Arial" w:eastAsia="Arial" w:hAnsi="Arial"/>
                <w:sz w:val="18"/>
                <w:szCs w:val="18"/>
                <w:b w:val="1"/>
                <w:bCs w:val="1"/>
                <w:color w:val="auto"/>
              </w:rPr>
              <w:t>September 30,</w:t>
            </w:r>
          </w:p>
        </w:tc>
      </w:tr>
      <w:tr>
        <w:trPr>
          <w:trHeight w:val="223"/>
        </w:trPr>
        <w:tc>
          <w:tcPr>
            <w:tcW w:w="360" w:type="dxa"/>
            <w:vAlign w:val="bottom"/>
            <w:tcBorders>
              <w:bottom w:val="single" w:sz="8" w:color="CFF0FC"/>
            </w:tcBorders>
          </w:tcPr>
          <w:p>
            <w:pPr>
              <w:spacing w:after="0"/>
              <w:rPr>
                <w:sz w:val="19"/>
                <w:szCs w:val="19"/>
                <w:color w:val="auto"/>
              </w:rPr>
            </w:pPr>
          </w:p>
        </w:tc>
        <w:tc>
          <w:tcPr>
            <w:tcW w:w="3080" w:type="dxa"/>
            <w:vAlign w:val="bottom"/>
            <w:tcBorders>
              <w:bottom w:val="single" w:sz="8" w:color="CFF0FC"/>
            </w:tcBorders>
          </w:tcPr>
          <w:p>
            <w:pPr>
              <w:spacing w:after="0"/>
              <w:rPr>
                <w:sz w:val="19"/>
                <w:szCs w:val="19"/>
                <w:color w:val="auto"/>
              </w:rPr>
            </w:pPr>
          </w:p>
        </w:tc>
        <w:tc>
          <w:tcPr>
            <w:tcW w:w="1980" w:type="dxa"/>
            <w:vAlign w:val="bottom"/>
            <w:tcBorders>
              <w:bottom w:val="single" w:sz="8" w:color="CFF0FC"/>
            </w:tcBorders>
          </w:tcPr>
          <w:p>
            <w:pPr>
              <w:spacing w:after="0"/>
              <w:rPr>
                <w:sz w:val="19"/>
                <w:szCs w:val="19"/>
                <w:color w:val="auto"/>
              </w:rPr>
            </w:pPr>
          </w:p>
        </w:tc>
        <w:tc>
          <w:tcPr>
            <w:tcW w:w="480" w:type="dxa"/>
            <w:vAlign w:val="bottom"/>
            <w:tcBorders>
              <w:bottom w:val="single" w:sz="8" w:color="CFF0FC"/>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480" w:type="dxa"/>
            <w:vAlign w:val="bottom"/>
            <w:tcBorders>
              <w:bottom w:val="single" w:sz="8" w:color="auto"/>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480" w:type="dxa"/>
            <w:vAlign w:val="bottom"/>
            <w:tcBorders>
              <w:bottom w:val="single" w:sz="8" w:color="auto"/>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1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2018</w:t>
            </w:r>
          </w:p>
        </w:tc>
      </w:tr>
      <w:tr>
        <w:trPr>
          <w:trHeight w:val="223"/>
        </w:trPr>
        <w:tc>
          <w:tcPr>
            <w:tcW w:w="542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48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61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6"/>
              </w:rPr>
              <w:t>11.9</w:t>
            </w: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620"/>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6"/>
              </w:rPr>
              <w:t>10.2</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33.3</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37.1</w:t>
            </w:r>
          </w:p>
        </w:tc>
      </w:tr>
      <w:tr>
        <w:trPr>
          <w:trHeight w:val="230"/>
        </w:trPr>
        <w:tc>
          <w:tcPr>
            <w:tcW w:w="5420" w:type="dxa"/>
            <w:vAlign w:val="bottom"/>
            <w:gridSpan w:val="3"/>
          </w:tcPr>
          <w:p>
            <w:pPr>
              <w:spacing w:after="0"/>
              <w:rPr>
                <w:sz w:val="20"/>
                <w:szCs w:val="20"/>
                <w:color w:val="auto"/>
              </w:rPr>
            </w:pPr>
            <w:r>
              <w:rPr>
                <w:rFonts w:ascii="Arial" w:cs="Arial" w:eastAsia="Arial" w:hAnsi="Arial"/>
                <w:sz w:val="18"/>
                <w:szCs w:val="18"/>
                <w:color w:val="auto"/>
              </w:rPr>
              <w:t>Interest income</w:t>
            </w:r>
          </w:p>
        </w:tc>
        <w:tc>
          <w:tcPr>
            <w:tcW w:w="4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(0.6)</w:t>
            </w: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(1.5)</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30"/>
        </w:trPr>
        <w:tc>
          <w:tcPr>
            <w:tcW w:w="542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Foreign exchange loss</w:t>
            </w:r>
          </w:p>
        </w:tc>
        <w:tc>
          <w:tcPr>
            <w:tcW w:w="4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4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4.1</w:t>
            </w: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4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3.0</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6.5</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2.8</w:t>
            </w:r>
          </w:p>
        </w:tc>
      </w:tr>
      <w:tr>
        <w:trPr>
          <w:trHeight w:val="230"/>
        </w:trPr>
        <w:tc>
          <w:tcPr>
            <w:tcW w:w="5420" w:type="dxa"/>
            <w:vAlign w:val="bottom"/>
            <w:tcBorders>
              <w:bottom w:val="single" w:sz="8" w:color="CFF0FC"/>
            </w:tcBorders>
            <w:gridSpan w:val="3"/>
          </w:tcPr>
          <w:p>
            <w:pPr>
              <w:spacing w:after="0"/>
              <w:rPr>
                <w:sz w:val="20"/>
                <w:szCs w:val="20"/>
                <w:color w:val="auto"/>
              </w:rPr>
            </w:pPr>
            <w:r>
              <w:rPr>
                <w:rFonts w:ascii="Arial" w:cs="Arial" w:eastAsia="Arial" w:hAnsi="Arial"/>
                <w:sz w:val="18"/>
                <w:szCs w:val="18"/>
                <w:color w:val="auto"/>
              </w:rPr>
              <w:t>Miscellaneous (income) expense, net</w:t>
            </w:r>
            <w:r>
              <w:rPr>
                <w:rFonts w:ascii="Arial" w:cs="Arial" w:eastAsia="Arial" w:hAnsi="Arial"/>
                <w:sz w:val="15"/>
                <w:szCs w:val="15"/>
                <w:color w:val="auto"/>
              </w:rPr>
              <w:t>(1)</w:t>
            </w:r>
          </w:p>
        </w:tc>
        <w:tc>
          <w:tcPr>
            <w:tcW w:w="480" w:type="dxa"/>
            <w:vAlign w:val="bottom"/>
            <w:tcBorders>
              <w:bottom w:val="single" w:sz="8" w:color="CFF0FC"/>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40" w:type="dxa"/>
            <w:vAlign w:val="bottom"/>
            <w:tcBorders>
              <w:bottom w:val="single" w:sz="8" w:color="CFF0FC"/>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0.1</w:t>
            </w:r>
          </w:p>
        </w:tc>
        <w:tc>
          <w:tcPr>
            <w:tcW w:w="1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(82.7)</w:t>
            </w:r>
          </w:p>
        </w:tc>
        <w:tc>
          <w:tcPr>
            <w:tcW w:w="1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2.6</w:t>
            </w:r>
          </w:p>
        </w:tc>
      </w:tr>
      <w:tr>
        <w:trPr>
          <w:trHeight w:val="223"/>
        </w:trPr>
        <w:tc>
          <w:tcPr>
            <w:tcW w:w="5420" w:type="dxa"/>
            <w:vAlign w:val="bottom"/>
            <w:tcBorders>
              <w:bottom w:val="single" w:sz="8" w:color="CFF0FC"/>
            </w:tcBorders>
            <w:gridSpan w:val="3"/>
            <w:shd w:val="clear" w:color="auto" w:fill="CFF0FC"/>
          </w:tcPr>
          <w:p>
            <w:pPr>
              <w:ind w:left="260"/>
              <w:spacing w:after="0"/>
              <w:rPr>
                <w:sz w:val="20"/>
                <w:szCs w:val="20"/>
                <w:color w:val="auto"/>
              </w:rPr>
            </w:pPr>
            <w:r>
              <w:rPr>
                <w:rFonts w:ascii="Arial" w:cs="Arial" w:eastAsia="Arial" w:hAnsi="Arial"/>
                <w:sz w:val="18"/>
                <w:szCs w:val="18"/>
                <w:color w:val="auto"/>
              </w:rPr>
              <w:t>Interest and other expenses (income), net</w:t>
            </w:r>
          </w:p>
        </w:tc>
        <w:tc>
          <w:tcPr>
            <w:tcW w:w="480" w:type="dxa"/>
            <w:vAlign w:val="bottom"/>
            <w:tcBorders>
              <w:bottom w:val="single" w:sz="8" w:color="CFF0FC"/>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ind w:right="610"/>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6"/>
              </w:rPr>
              <w:t>12.2</w:t>
            </w:r>
          </w:p>
        </w:tc>
        <w:tc>
          <w:tcPr>
            <w:tcW w:w="140" w:type="dxa"/>
            <w:vAlign w:val="bottom"/>
            <w:tcBorders>
              <w:bottom w:val="single" w:sz="8" w:color="CFF0FC"/>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ind w:right="620"/>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6"/>
              </w:rPr>
              <w:t>11.8</w:t>
            </w:r>
          </w:p>
        </w:tc>
        <w:tc>
          <w:tcPr>
            <w:tcW w:w="1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(46.1)</w:t>
            </w:r>
          </w:p>
        </w:tc>
        <w:tc>
          <w:tcPr>
            <w:tcW w:w="1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38.4</w:t>
            </w:r>
          </w:p>
        </w:tc>
      </w:tr>
      <w:tr>
        <w:trPr>
          <w:trHeight w:val="20"/>
        </w:trPr>
        <w:tc>
          <w:tcPr>
            <w:tcW w:w="36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ind w:right="340" w:firstLine="8"/>
        <w:spacing w:after="0" w:line="277" w:lineRule="auto"/>
        <w:tabs>
          <w:tab w:leader="none" w:pos="2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Includes an $80.4 gain related to the disposition of our previously held equity interest in Manpower Switzerland. Note 5 to the Consolidated Financial Statements for further information.</w:t>
      </w:r>
    </w:p>
    <w:p>
      <w:pPr>
        <w:spacing w:after="0" w:line="184" w:lineRule="exact"/>
        <w:rPr>
          <w:sz w:val="20"/>
          <w:szCs w:val="20"/>
          <w:color w:val="auto"/>
        </w:rPr>
      </w:pPr>
    </w:p>
    <w:p>
      <w:pPr>
        <w:ind w:left="360" w:hanging="352"/>
        <w:spacing w:after="0"/>
        <w:tabs>
          <w:tab w:leader="none" w:pos="360"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Derivative Financial Instruments and Fair Value Measurements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 Financial Instruments</w:t>
      </w:r>
    </w:p>
    <w:p>
      <w:pPr>
        <w:spacing w:after="0" w:line="18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are exposed to various market risks relating to our ongoing business operations. The primary market risks, which are managed using derivative instruments, are foreign currency exchange rate risk and interest rate risk. In certain circumstances, we enter into foreign currency forward exchange contracts (“forward contracts”) and cross-currency swaps to reduce the effects of fluctuating foreign currency exchange rates on our cash flows denominated in foreign currencies. Our exposure to market risk for changes in interest rates relates primarily to our long-term debt obligations. We have historically managed interest rate risk through the use of a combination of fixed and variable rate borrowings.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Investment Hedges</w:t>
      </w:r>
    </w:p>
    <w:p>
      <w:pPr>
        <w:spacing w:after="0" w:line="18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use cross-currency swaps, forward contracts and a portion of our foreign currency denominated debt, a non-derivative financial instrument, to protect the value of our net investments in certain of our foreign subsidiaries. For derivative instruments that are designated and qualify as hedges of our net investments in foreign operations, the changes in fair values of the derivative instruments are recognized in foreign currency translation, a component of accumulated other comprehensive income (“AOCI”), to offset the changes in the values of the net investments being hedged. For non-derivative financial instruments that are designated and qualify as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9" w:name="page20"/>
    <w:bookmarkEnd w:id="19"/>
    <w:p>
      <w:pPr>
        <w:ind w:right="240"/>
        <w:spacing w:after="0" w:line="277" w:lineRule="auto"/>
        <w:rPr>
          <w:sz w:val="20"/>
          <w:szCs w:val="20"/>
          <w:color w:val="auto"/>
        </w:rPr>
      </w:pPr>
      <w:r>
        <w:rPr>
          <w:rFonts w:ascii="Arial" w:cs="Arial" w:eastAsia="Arial" w:hAnsi="Arial"/>
          <w:sz w:val="18"/>
          <w:szCs w:val="18"/>
          <w:color w:val="auto"/>
        </w:rPr>
        <w:t>hedges of net investments in foreign operations, the change in the carrying value of the designated portion of the non-derivative financial instrument due to changes in foreign currency exchange rates is recorded in foreign currency translation adjustments.</w:t>
      </w:r>
    </w:p>
    <w:p>
      <w:pPr>
        <w:spacing w:after="0" w:line="14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€400.0 ($434.4) notes due September 2022 and the €500.0 ($539.9) notes due June 2026 were designated as a hedge of our net investment in our foreign subsidiaries with a Euro-functional currency as of September 30, 2019.</w:t>
      </w:r>
    </w:p>
    <w:p>
      <w:pPr>
        <w:spacing w:after="0" w:line="130"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In September 2019, we entered into a cross-currency swap agreement that net converts fixed-rate Swiss franc (“CHF”) payments to fixed-rate United States dollar payments. This swap was designated as a net investment hedge of our foreign subsidiary with CHF functional currency.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 effect of our net investment hedges on AOCI for the three and nine months ended September 30, 2019, and 2018 was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100" w:type="dxa"/>
            <w:vAlign w:val="bottom"/>
            <w:tcBorders>
              <w:bottom w:val="single" w:sz="8" w:color="auto"/>
            </w:tcBorders>
            <w:gridSpan w:val="5"/>
          </w:tcPr>
          <w:p>
            <w:pPr>
              <w:jc w:val="right"/>
              <w:ind w:right="70"/>
              <w:spacing w:after="0"/>
              <w:rPr>
                <w:sz w:val="20"/>
                <w:szCs w:val="20"/>
                <w:color w:val="auto"/>
              </w:rPr>
            </w:pPr>
            <w:r>
              <w:rPr>
                <w:rFonts w:ascii="Arial" w:cs="Arial" w:eastAsia="Arial" w:hAnsi="Arial"/>
                <w:sz w:val="18"/>
                <w:szCs w:val="18"/>
                <w:b w:val="1"/>
                <w:bCs w:val="1"/>
                <w:color w:val="auto"/>
                <w:w w:val="91"/>
              </w:rPr>
              <w:t>Gain Recognized in Other Comprehensive Income</w:t>
            </w:r>
          </w:p>
        </w:tc>
        <w:tc>
          <w:tcPr>
            <w:tcW w:w="14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spacing w:after="0"/>
              <w:rPr>
                <w:sz w:val="20"/>
                <w:szCs w:val="20"/>
                <w:color w:val="auto"/>
              </w:rPr>
            </w:pPr>
          </w:p>
        </w:tc>
      </w:tr>
      <w:tr>
        <w:trPr>
          <w:trHeight w:val="223"/>
        </w:trPr>
        <w:tc>
          <w:tcPr>
            <w:tcW w:w="2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80" w:type="dxa"/>
            <w:vAlign w:val="bottom"/>
            <w:tcBorders>
              <w:bottom w:val="single" w:sz="8" w:color="auto"/>
            </w:tcBorders>
            <w:gridSpan w:val="4"/>
          </w:tcPr>
          <w:p>
            <w:pPr>
              <w:jc w:val="right"/>
              <w:ind w:right="210"/>
              <w:spacing w:after="0"/>
              <w:rPr>
                <w:sz w:val="20"/>
                <w:szCs w:val="20"/>
                <w:color w:val="auto"/>
              </w:rPr>
            </w:pPr>
            <w:r>
              <w:rPr>
                <w:rFonts w:ascii="Arial" w:cs="Arial" w:eastAsia="Arial" w:hAnsi="Arial"/>
                <w:sz w:val="18"/>
                <w:szCs w:val="18"/>
                <w:b w:val="1"/>
                <w:bCs w:val="1"/>
                <w:color w:val="auto"/>
              </w:rPr>
              <w:t>3 Months Ended September 30,</w:t>
            </w:r>
          </w:p>
        </w:tc>
        <w:tc>
          <w:tcPr>
            <w:tcW w:w="60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3680" w:type="dxa"/>
            <w:vAlign w:val="bottom"/>
            <w:tcBorders>
              <w:bottom w:val="single" w:sz="8" w:color="auto"/>
            </w:tcBorders>
            <w:gridSpan w:val="4"/>
          </w:tcPr>
          <w:p>
            <w:pPr>
              <w:jc w:val="right"/>
              <w:ind w:right="810"/>
              <w:spacing w:after="0"/>
              <w:rPr>
                <w:sz w:val="20"/>
                <w:szCs w:val="20"/>
                <w:color w:val="auto"/>
              </w:rPr>
            </w:pPr>
            <w:r>
              <w:rPr>
                <w:rFonts w:ascii="Arial" w:cs="Arial" w:eastAsia="Arial" w:hAnsi="Arial"/>
                <w:sz w:val="18"/>
                <w:szCs w:val="18"/>
                <w:b w:val="1"/>
                <w:bCs w:val="1"/>
                <w:color w:val="auto"/>
              </w:rPr>
              <w:t>9 Months Ended September 30,</w:t>
            </w:r>
          </w:p>
        </w:tc>
      </w:tr>
      <w:tr>
        <w:trPr>
          <w:trHeight w:val="223"/>
        </w:trPr>
        <w:tc>
          <w:tcPr>
            <w:tcW w:w="3100" w:type="dxa"/>
            <w:vAlign w:val="bottom"/>
            <w:gridSpan w:val="2"/>
          </w:tcPr>
          <w:p>
            <w:pPr>
              <w:ind w:left="1040"/>
              <w:spacing w:after="0"/>
              <w:rPr>
                <w:sz w:val="20"/>
                <w:szCs w:val="20"/>
                <w:color w:val="auto"/>
              </w:rPr>
            </w:pPr>
            <w:r>
              <w:rPr>
                <w:rFonts w:ascii="Arial" w:cs="Arial" w:eastAsia="Arial" w:hAnsi="Arial"/>
                <w:sz w:val="18"/>
                <w:szCs w:val="18"/>
                <w:b w:val="1"/>
                <w:bCs w:val="1"/>
                <w:color w:val="auto"/>
              </w:rPr>
              <w:t>Instrument</w:t>
            </w:r>
          </w:p>
        </w:tc>
        <w:tc>
          <w:tcPr>
            <w:tcW w:w="1320" w:type="dxa"/>
            <w:vAlign w:val="bottom"/>
          </w:tcPr>
          <w:p>
            <w:pPr>
              <w:jc w:val="right"/>
              <w:ind w:right="130"/>
              <w:spacing w:after="0"/>
              <w:rPr>
                <w:sz w:val="20"/>
                <w:szCs w:val="20"/>
                <w:color w:val="auto"/>
              </w:rPr>
            </w:pPr>
            <w:r>
              <w:rPr>
                <w:rFonts w:ascii="Arial" w:cs="Arial" w:eastAsia="Arial" w:hAnsi="Arial"/>
                <w:sz w:val="18"/>
                <w:szCs w:val="18"/>
                <w:b w:val="1"/>
                <w:bCs w:val="1"/>
                <w:color w:val="auto"/>
              </w:rPr>
              <w:t>2019</w:t>
            </w: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ind w:right="170"/>
              <w:spacing w:after="0"/>
              <w:rPr>
                <w:sz w:val="20"/>
                <w:szCs w:val="20"/>
                <w:color w:val="auto"/>
              </w:rPr>
            </w:pPr>
            <w:r>
              <w:rPr>
                <w:rFonts w:ascii="Arial" w:cs="Arial" w:eastAsia="Arial" w:hAnsi="Arial"/>
                <w:sz w:val="18"/>
                <w:szCs w:val="18"/>
                <w:b w:val="1"/>
                <w:bCs w:val="1"/>
                <w:color w:val="auto"/>
              </w:rPr>
              <w:t>2018</w:t>
            </w: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560" w:type="dxa"/>
            <w:vAlign w:val="bottom"/>
          </w:tcPr>
          <w:p>
            <w:pPr>
              <w:jc w:val="right"/>
              <w:ind w:right="790"/>
              <w:spacing w:after="0"/>
              <w:rPr>
                <w:sz w:val="20"/>
                <w:szCs w:val="20"/>
                <w:color w:val="auto"/>
              </w:rPr>
            </w:pPr>
            <w:r>
              <w:rPr>
                <w:rFonts w:ascii="Arial" w:cs="Arial" w:eastAsia="Arial" w:hAnsi="Arial"/>
                <w:sz w:val="18"/>
                <w:szCs w:val="18"/>
                <w:b w:val="1"/>
                <w:bCs w:val="1"/>
                <w:color w:val="auto"/>
              </w:rPr>
              <w:t>2019</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560" w:type="dxa"/>
            <w:vAlign w:val="bottom"/>
          </w:tcPr>
          <w:p>
            <w:pPr>
              <w:jc w:val="right"/>
              <w:ind w:right="790"/>
              <w:spacing w:after="0"/>
              <w:rPr>
                <w:sz w:val="20"/>
                <w:szCs w:val="20"/>
                <w:color w:val="auto"/>
              </w:rPr>
            </w:pPr>
            <w:r>
              <w:rPr>
                <w:rFonts w:ascii="Arial" w:cs="Arial" w:eastAsia="Arial" w:hAnsi="Arial"/>
                <w:sz w:val="18"/>
                <w:szCs w:val="18"/>
                <w:b w:val="1"/>
                <w:bCs w:val="1"/>
                <w:color w:val="auto"/>
              </w:rPr>
              <w:t>2018</w:t>
            </w:r>
          </w:p>
        </w:tc>
      </w:tr>
      <w:tr>
        <w:trPr>
          <w:trHeight w:val="223"/>
        </w:trPr>
        <w:tc>
          <w:tcPr>
            <w:tcW w:w="29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Euro Notes</w:t>
            </w:r>
          </w:p>
        </w:tc>
        <w:tc>
          <w:tcPr>
            <w:tcW w:w="140" w:type="dxa"/>
            <w:vAlign w:val="bottom"/>
            <w:tcBorders>
              <w:top w:val="single" w:sz="8" w:color="CFF0FC"/>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jc w:val="right"/>
              <w:ind w:right="113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42.6</w:t>
            </w:r>
          </w:p>
        </w:tc>
        <w:tc>
          <w:tcPr>
            <w:tcW w:w="120" w:type="dxa"/>
            <w:vAlign w:val="bottom"/>
            <w:tcBorders>
              <w:top w:val="single" w:sz="8" w:color="CFF0FC"/>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jc w:val="right"/>
              <w:ind w:right="1190"/>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7.2</w:t>
            </w:r>
          </w:p>
        </w:tc>
        <w:tc>
          <w:tcPr>
            <w:tcW w:w="140" w:type="dxa"/>
            <w:vAlign w:val="bottom"/>
            <w:tcBorders>
              <w:top w:val="single" w:sz="8" w:color="CFF0FC"/>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jc w:val="right"/>
              <w:ind w:right="265"/>
              <w:spacing w:after="0"/>
              <w:rPr>
                <w:sz w:val="20"/>
                <w:szCs w:val="20"/>
                <w:color w:val="auto"/>
              </w:rPr>
            </w:pPr>
            <w:r>
              <w:rPr>
                <w:rFonts w:ascii="Arial" w:cs="Arial" w:eastAsia="Arial" w:hAnsi="Arial"/>
                <w:sz w:val="15"/>
                <w:szCs w:val="15"/>
                <w:color w:val="auto"/>
                <w:w w:val="71"/>
              </w:rPr>
              <w:t>$</w:t>
            </w:r>
          </w:p>
        </w:tc>
        <w:tc>
          <w:tcPr>
            <w:tcW w:w="156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51.1</w:t>
            </w:r>
          </w:p>
        </w:tc>
        <w:tc>
          <w:tcPr>
            <w:tcW w:w="140" w:type="dxa"/>
            <w:vAlign w:val="bottom"/>
            <w:tcBorders>
              <w:top w:val="single" w:sz="8" w:color="CFF0FC"/>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jc w:val="right"/>
              <w:ind w:right="265"/>
              <w:spacing w:after="0"/>
              <w:rPr>
                <w:sz w:val="20"/>
                <w:szCs w:val="20"/>
                <w:color w:val="auto"/>
              </w:rPr>
            </w:pPr>
            <w:r>
              <w:rPr>
                <w:rFonts w:ascii="Arial" w:cs="Arial" w:eastAsia="Arial" w:hAnsi="Arial"/>
                <w:sz w:val="15"/>
                <w:szCs w:val="15"/>
                <w:color w:val="auto"/>
                <w:w w:val="71"/>
              </w:rPr>
              <w:t>$</w:t>
            </w:r>
          </w:p>
        </w:tc>
        <w:tc>
          <w:tcPr>
            <w:tcW w:w="156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33.1</w:t>
            </w:r>
          </w:p>
        </w:tc>
      </w:tr>
      <w:tr>
        <w:trPr>
          <w:trHeight w:val="230"/>
        </w:trPr>
        <w:tc>
          <w:tcPr>
            <w:tcW w:w="3100" w:type="dxa"/>
            <w:vAlign w:val="bottom"/>
            <w:gridSpan w:val="2"/>
          </w:tcPr>
          <w:p>
            <w:pPr>
              <w:spacing w:after="0"/>
              <w:rPr>
                <w:sz w:val="20"/>
                <w:szCs w:val="20"/>
                <w:color w:val="auto"/>
              </w:rPr>
            </w:pPr>
            <w:r>
              <w:rPr>
                <w:rFonts w:ascii="Arial" w:cs="Arial" w:eastAsia="Arial" w:hAnsi="Arial"/>
                <w:sz w:val="18"/>
                <w:szCs w:val="18"/>
                <w:color w:val="auto"/>
              </w:rPr>
              <w:t>Cross-currency swaps</w:t>
            </w:r>
          </w:p>
        </w:tc>
        <w:tc>
          <w:tcPr>
            <w:tcW w:w="1320" w:type="dxa"/>
            <w:vAlign w:val="bottom"/>
          </w:tcPr>
          <w:p>
            <w:pPr>
              <w:spacing w:after="0"/>
              <w:rPr>
                <w:sz w:val="20"/>
                <w:szCs w:val="20"/>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1560" w:type="dxa"/>
            <w:vAlign w:val="bottom"/>
          </w:tcPr>
          <w:p>
            <w:pPr>
              <w:jc w:val="right"/>
              <w:ind w:right="30"/>
              <w:spacing w:after="0"/>
              <w:rPr>
                <w:sz w:val="20"/>
                <w:szCs w:val="20"/>
                <w:color w:val="auto"/>
              </w:rPr>
            </w:pPr>
            <w:r>
              <w:rPr>
                <w:rFonts w:ascii="Arial" w:cs="Arial" w:eastAsia="Arial" w:hAnsi="Arial"/>
                <w:sz w:val="18"/>
                <w:szCs w:val="18"/>
                <w:color w:val="auto"/>
              </w:rPr>
              <w:t>2.8</w:t>
            </w: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560" w:type="dxa"/>
            <w:vAlign w:val="bottom"/>
          </w:tcPr>
          <w:p>
            <w:pPr>
              <w:jc w:val="right"/>
              <w:ind w:right="30"/>
              <w:spacing w:after="0"/>
              <w:rPr>
                <w:sz w:val="20"/>
                <w:szCs w:val="20"/>
                <w:color w:val="auto"/>
              </w:rPr>
            </w:pPr>
            <w:r>
              <w:rPr>
                <w:rFonts w:ascii="Arial" w:cs="Arial" w:eastAsia="Arial" w:hAnsi="Arial"/>
                <w:sz w:val="18"/>
                <w:szCs w:val="18"/>
                <w:color w:val="auto"/>
              </w:rPr>
              <w:t>—</w:t>
            </w:r>
          </w:p>
        </w:tc>
      </w:tr>
    </w:tbl>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 Hedges</w:t>
      </w:r>
    </w:p>
    <w:p>
      <w:pPr>
        <w:spacing w:after="0" w:line="198"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We use cross-currency swaps to hedge the changes in cash flows of certain of our foreign currency denominated debt due to changes in foreign currency exchange rates. For our cross-currency swaps, we record the change in carrying value of the foreign currency denominated debt due to changes in exchange rates into earnings each period. The changes in fair value of the cross-currency swap derivatives are recorded in AOCI with an immediate reclassification into earnings for the change in fair value attributable to fluctuations in foreign currency exchange rates.</w:t>
      </w:r>
    </w:p>
    <w:p>
      <w:pPr>
        <w:spacing w:after="0" w:line="131"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In April 2019, we entered into a cross-currency swap agreement to convert our intercompany fixed-rate, CHF denominated note, including the annual interest payment and the payment of remaining principal at maturity, to a fixed-rate Euro denominated note. The economic effect of the swap agreement is to eliminate the uncertainty of cash flows in CHF associated with the note by fixing the principal at €202.3 with a fixed annual interest rate of 1.256%. This hedging arrangement has been designated as a cash flow hedge. The swap matures in April 2022, which matches the term of the intercompany note. Gains and losses from the hedge offset the changes in the value of principal and interest payments as a result of changes in foreign exchange rates. In September 2019 we entered into to a cross-currency swap agreement to convert an additional intercompany fixed-rate CHF note, including the annual interest payment and the payment of remaining principal at maturity, to a fixed-rate Euro denominated note. The economic effect of the swap is identical to the original April 2019 swap, and fixes the principal of €55.4 with a fixed interest rate of 1.143%. The swap matures in September 2022, which matches the term of the intercompany note.</w:t>
      </w:r>
    </w:p>
    <w:p>
      <w:pPr>
        <w:spacing w:after="0" w:line="141" w:lineRule="exact"/>
        <w:rPr>
          <w:sz w:val="20"/>
          <w:szCs w:val="20"/>
          <w:color w:val="auto"/>
        </w:rPr>
      </w:pPr>
    </w:p>
    <w:p>
      <w:pPr>
        <w:ind w:right="240"/>
        <w:spacing w:after="0" w:line="312" w:lineRule="auto"/>
        <w:rPr>
          <w:sz w:val="20"/>
          <w:szCs w:val="20"/>
          <w:color w:val="auto"/>
        </w:rPr>
      </w:pPr>
      <w:r>
        <w:rPr>
          <w:rFonts w:ascii="Arial" w:cs="Arial" w:eastAsia="Arial" w:hAnsi="Arial"/>
          <w:sz w:val="16"/>
          <w:szCs w:val="16"/>
          <w:color w:val="auto"/>
        </w:rPr>
        <w:t>We assessed the hedging relationship at the inception of the hedge in order to determine whether the derivatives that are used in the hedging transaction are highly effective in offsetting the cash flows of the hedged item and will continue to assess the relationship on an ongoing basis. We use the hypothetical derivative method in conjunction with regression analysis using a third-party valuation to measure effectiveness of our cross-currency swap agreement.</w:t>
      </w:r>
    </w:p>
    <w:p>
      <w:pPr>
        <w:spacing w:after="0" w:line="12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following tables present the impact that changes in the fair values of derivatives designated as cash flow hedges had on other comprehensive income (“OCI”), AOCI and earnings for the three and nine months ended September 30, 2019, and 2018:</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940" w:type="dxa"/>
            <w:vAlign w:val="bottom"/>
            <w:gridSpan w:val="4"/>
          </w:tcPr>
          <w:p>
            <w:pPr>
              <w:jc w:val="center"/>
              <w:ind w:right="230"/>
              <w:spacing w:after="0"/>
              <w:rPr>
                <w:sz w:val="20"/>
                <w:szCs w:val="20"/>
                <w:color w:val="auto"/>
              </w:rPr>
            </w:pPr>
            <w:r>
              <w:rPr>
                <w:rFonts w:ascii="Arial" w:cs="Arial" w:eastAsia="Arial" w:hAnsi="Arial"/>
                <w:sz w:val="18"/>
                <w:szCs w:val="18"/>
                <w:b w:val="1"/>
                <w:bCs w:val="1"/>
                <w:color w:val="auto"/>
                <w:w w:val="89"/>
              </w:rPr>
              <w:t>Gain Reclassified</w:t>
            </w:r>
          </w:p>
        </w:tc>
      </w:tr>
      <w:tr>
        <w:trPr>
          <w:trHeight w:val="234"/>
        </w:trPr>
        <w:tc>
          <w:tcPr>
            <w:tcW w:w="2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2"/>
              </w:rPr>
              <w:t>Gain Recognized in OCI</w:t>
            </w:r>
          </w:p>
        </w:tc>
        <w:tc>
          <w:tcPr>
            <w:tcW w:w="3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gridSpan w:val="4"/>
          </w:tcPr>
          <w:p>
            <w:pPr>
              <w:jc w:val="center"/>
              <w:ind w:right="230"/>
              <w:spacing w:after="0"/>
              <w:rPr>
                <w:sz w:val="20"/>
                <w:szCs w:val="20"/>
                <w:color w:val="auto"/>
              </w:rPr>
            </w:pPr>
            <w:r>
              <w:rPr>
                <w:rFonts w:ascii="Arial" w:cs="Arial" w:eastAsia="Arial" w:hAnsi="Arial"/>
                <w:sz w:val="18"/>
                <w:szCs w:val="18"/>
                <w:b w:val="1"/>
                <w:bCs w:val="1"/>
                <w:color w:val="auto"/>
                <w:w w:val="94"/>
              </w:rPr>
              <w:t>from AOCI into Income</w:t>
            </w:r>
          </w:p>
        </w:tc>
      </w:tr>
      <w:tr>
        <w:trPr>
          <w:trHeight w:val="223"/>
        </w:trPr>
        <w:tc>
          <w:tcPr>
            <w:tcW w:w="2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5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9"/>
              </w:rPr>
              <w:t>3 Months Ended September 30,</w:t>
            </w:r>
          </w:p>
        </w:tc>
        <w:tc>
          <w:tcPr>
            <w:tcW w:w="3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Location of Gain Reclassified</w:t>
            </w:r>
          </w:p>
        </w:tc>
        <w:tc>
          <w:tcPr>
            <w:tcW w:w="200" w:type="dxa"/>
            <w:vAlign w:val="bottom"/>
            <w:tcBorders>
              <w:bottom w:val="single" w:sz="8" w:color="auto"/>
            </w:tcBorders>
          </w:tcPr>
          <w:p>
            <w:pPr>
              <w:spacing w:after="0"/>
              <w:rPr>
                <w:sz w:val="19"/>
                <w:szCs w:val="19"/>
                <w:color w:val="auto"/>
              </w:rPr>
            </w:pPr>
          </w:p>
        </w:tc>
        <w:tc>
          <w:tcPr>
            <w:tcW w:w="2940" w:type="dxa"/>
            <w:vAlign w:val="bottom"/>
            <w:tcBorders>
              <w:bottom w:val="single" w:sz="8" w:color="auto"/>
            </w:tcBorders>
            <w:gridSpan w:val="4"/>
          </w:tcPr>
          <w:p>
            <w:pPr>
              <w:jc w:val="center"/>
              <w:ind w:right="230"/>
              <w:spacing w:after="0"/>
              <w:rPr>
                <w:sz w:val="20"/>
                <w:szCs w:val="20"/>
                <w:color w:val="auto"/>
              </w:rPr>
            </w:pPr>
            <w:r>
              <w:rPr>
                <w:rFonts w:ascii="Arial" w:cs="Arial" w:eastAsia="Arial" w:hAnsi="Arial"/>
                <w:sz w:val="18"/>
                <w:szCs w:val="18"/>
                <w:b w:val="1"/>
                <w:bCs w:val="1"/>
                <w:color w:val="auto"/>
                <w:w w:val="90"/>
              </w:rPr>
              <w:t>3 Months Ended September 30,</w:t>
            </w:r>
          </w:p>
        </w:tc>
      </w:tr>
      <w:tr>
        <w:trPr>
          <w:trHeight w:val="223"/>
        </w:trPr>
        <w:tc>
          <w:tcPr>
            <w:tcW w:w="2120" w:type="dxa"/>
            <w:vAlign w:val="bottom"/>
          </w:tcPr>
          <w:p>
            <w:pPr>
              <w:ind w:left="620"/>
              <w:spacing w:after="0"/>
              <w:rPr>
                <w:sz w:val="20"/>
                <w:szCs w:val="20"/>
                <w:color w:val="auto"/>
              </w:rPr>
            </w:pPr>
            <w:r>
              <w:rPr>
                <w:rFonts w:ascii="Arial" w:cs="Arial" w:eastAsia="Arial" w:hAnsi="Arial"/>
                <w:sz w:val="18"/>
                <w:szCs w:val="18"/>
                <w:b w:val="1"/>
                <w:bCs w:val="1"/>
                <w:color w:val="auto"/>
              </w:rPr>
              <w:t>Instrument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ind w:right="550"/>
              <w:spacing w:after="0"/>
              <w:rPr>
                <w:sz w:val="20"/>
                <w:szCs w:val="20"/>
                <w:color w:val="auto"/>
              </w:rPr>
            </w:pPr>
            <w:r>
              <w:rPr>
                <w:rFonts w:ascii="Arial" w:cs="Arial" w:eastAsia="Arial" w:hAnsi="Arial"/>
                <w:sz w:val="18"/>
                <w:szCs w:val="18"/>
                <w:b w:val="1"/>
                <w:bCs w:val="1"/>
                <w:color w:val="auto"/>
              </w:rPr>
              <w:t>2019</w:t>
            </w:r>
          </w:p>
        </w:tc>
        <w:tc>
          <w:tcPr>
            <w:tcW w:w="1240" w:type="dxa"/>
            <w:vAlign w:val="bottom"/>
            <w:gridSpan w:val="2"/>
          </w:tcPr>
          <w:p>
            <w:pPr>
              <w:jc w:val="right"/>
              <w:ind w:right="205"/>
              <w:spacing w:after="0"/>
              <w:rPr>
                <w:sz w:val="20"/>
                <w:szCs w:val="20"/>
                <w:color w:val="auto"/>
              </w:rPr>
            </w:pPr>
            <w:r>
              <w:rPr>
                <w:rFonts w:ascii="Arial" w:cs="Arial" w:eastAsia="Arial" w:hAnsi="Arial"/>
                <w:sz w:val="18"/>
                <w:szCs w:val="18"/>
                <w:b w:val="1"/>
                <w:bCs w:val="1"/>
                <w:color w:val="auto"/>
              </w:rPr>
              <w:t>2018</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from AOCI into Income</w:t>
            </w:r>
          </w:p>
        </w:tc>
        <w:tc>
          <w:tcPr>
            <w:tcW w:w="200" w:type="dxa"/>
            <w:vAlign w:val="bottom"/>
          </w:tcPr>
          <w:p>
            <w:pPr>
              <w:spacing w:after="0"/>
              <w:rPr>
                <w:sz w:val="19"/>
                <w:szCs w:val="19"/>
                <w:color w:val="auto"/>
              </w:rPr>
            </w:pPr>
          </w:p>
        </w:tc>
        <w:tc>
          <w:tcPr>
            <w:tcW w:w="1320" w:type="dxa"/>
            <w:vAlign w:val="bottom"/>
          </w:tcPr>
          <w:p>
            <w:pPr>
              <w:jc w:val="right"/>
              <w:ind w:right="55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jc w:val="right"/>
              <w:ind w:right="550"/>
              <w:spacing w:after="0"/>
              <w:rPr>
                <w:sz w:val="20"/>
                <w:szCs w:val="20"/>
                <w:color w:val="auto"/>
              </w:rPr>
            </w:pPr>
            <w:r>
              <w:rPr>
                <w:rFonts w:ascii="Arial" w:cs="Arial" w:eastAsia="Arial" w:hAnsi="Arial"/>
                <w:sz w:val="18"/>
                <w:szCs w:val="18"/>
                <w:b w:val="1"/>
                <w:bCs w:val="1"/>
                <w:color w:val="auto"/>
              </w:rPr>
              <w:t>2018</w:t>
            </w:r>
          </w:p>
        </w:tc>
      </w:tr>
      <w:tr>
        <w:trPr>
          <w:trHeight w:val="209"/>
        </w:trPr>
        <w:tc>
          <w:tcPr>
            <w:tcW w:w="21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Cross-currency swaps</w:t>
            </w:r>
          </w:p>
        </w:tc>
        <w:tc>
          <w:tcPr>
            <w:tcW w:w="10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4.2</w:t>
            </w:r>
          </w:p>
        </w:tc>
        <w:tc>
          <w:tcPr>
            <w:tcW w:w="100" w:type="dxa"/>
            <w:vAlign w:val="bottom"/>
            <w:tcBorders>
              <w:top w:val="single" w:sz="8" w:color="CFF0FC"/>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jc w:val="right"/>
              <w:ind w:right="985"/>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tcBorders>
            <w:shd w:val="clear" w:color="auto" w:fill="CFF0FC"/>
          </w:tcPr>
          <w:p>
            <w:pPr>
              <w:ind w:left="6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shd w:val="clear" w:color="auto" w:fill="CFF0FC"/>
          </w:tcPr>
          <w:p>
            <w:pPr>
              <w:spacing w:after="0"/>
              <w:rPr>
                <w:sz w:val="18"/>
                <w:szCs w:val="18"/>
                <w:color w:val="auto"/>
              </w:rPr>
            </w:pPr>
          </w:p>
        </w:tc>
        <w:tc>
          <w:tcPr>
            <w:tcW w:w="2760" w:type="dxa"/>
            <w:vAlign w:val="bottom"/>
            <w:tcBorders>
              <w:top w:val="single" w:sz="8" w:color="auto"/>
            </w:tcBorders>
            <w:shd w:val="clear" w:color="auto" w:fill="CFF0FC"/>
          </w:tcPr>
          <w:p>
            <w:pPr>
              <w:jc w:val="right"/>
              <w:ind w:right="630"/>
              <w:spacing w:after="0"/>
              <w:rPr>
                <w:sz w:val="20"/>
                <w:szCs w:val="20"/>
                <w:color w:val="auto"/>
              </w:rPr>
            </w:pPr>
            <w:r>
              <w:rPr>
                <w:rFonts w:ascii="Arial" w:cs="Arial" w:eastAsia="Arial" w:hAnsi="Arial"/>
                <w:sz w:val="18"/>
                <w:szCs w:val="18"/>
                <w:color w:val="auto"/>
                <w:w w:val="90"/>
              </w:rPr>
              <w:t>Interest and other expenses</w:t>
            </w:r>
          </w:p>
        </w:tc>
        <w:tc>
          <w:tcPr>
            <w:tcW w:w="8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4.6</w:t>
            </w:r>
          </w:p>
        </w:tc>
        <w:tc>
          <w:tcPr>
            <w:tcW w:w="10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2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3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8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(income), net</w:t>
            </w:r>
          </w:p>
        </w:tc>
        <w:tc>
          <w:tcPr>
            <w:tcW w:w="200" w:type="dxa"/>
            <w:vAlign w:val="bottom"/>
            <w:shd w:val="clear" w:color="auto" w:fill="CFF0FC"/>
          </w:tcPr>
          <w:p>
            <w:pPr>
              <w:spacing w:after="0"/>
              <w:rPr>
                <w:sz w:val="20"/>
                <w:szCs w:val="20"/>
                <w:color w:val="auto"/>
              </w:rPr>
            </w:pPr>
          </w:p>
        </w:tc>
        <w:tc>
          <w:tcPr>
            <w:tcW w:w="13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r>
      <w:tr>
        <w:trPr>
          <w:trHeight w:val="432"/>
        </w:trPr>
        <w:tc>
          <w:tcPr>
            <w:tcW w:w="2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60" w:type="dxa"/>
            <w:vAlign w:val="bottom"/>
          </w:tcPr>
          <w:p>
            <w:pPr>
              <w:jc w:val="right"/>
              <w:ind w:right="2310"/>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15"/>
        </w:trPr>
        <w:tc>
          <w:tcPr>
            <w:tcW w:w="2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7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30"/>
        </w:trPr>
        <w:tc>
          <w:tcPr>
            <w:tcW w:w="2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940" w:type="dxa"/>
            <w:vAlign w:val="bottom"/>
            <w:gridSpan w:val="4"/>
          </w:tcPr>
          <w:p>
            <w:pPr>
              <w:jc w:val="center"/>
              <w:ind w:right="230"/>
              <w:spacing w:after="0"/>
              <w:rPr>
                <w:sz w:val="20"/>
                <w:szCs w:val="20"/>
                <w:color w:val="auto"/>
              </w:rPr>
            </w:pPr>
            <w:r>
              <w:rPr>
                <w:rFonts w:ascii="Arial" w:cs="Arial" w:eastAsia="Arial" w:hAnsi="Arial"/>
                <w:sz w:val="18"/>
                <w:szCs w:val="18"/>
                <w:b w:val="1"/>
                <w:bCs w:val="1"/>
                <w:color w:val="auto"/>
                <w:w w:val="89"/>
              </w:rPr>
              <w:t>Gain Reclassified</w:t>
            </w:r>
          </w:p>
        </w:tc>
      </w:tr>
      <w:tr>
        <w:trPr>
          <w:trHeight w:val="234"/>
        </w:trPr>
        <w:tc>
          <w:tcPr>
            <w:tcW w:w="2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2"/>
              </w:rPr>
              <w:t>Gain Recognized in OCI</w:t>
            </w:r>
          </w:p>
        </w:tc>
        <w:tc>
          <w:tcPr>
            <w:tcW w:w="3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gridSpan w:val="4"/>
          </w:tcPr>
          <w:p>
            <w:pPr>
              <w:jc w:val="center"/>
              <w:ind w:right="230"/>
              <w:spacing w:after="0"/>
              <w:rPr>
                <w:sz w:val="20"/>
                <w:szCs w:val="20"/>
                <w:color w:val="auto"/>
              </w:rPr>
            </w:pPr>
            <w:r>
              <w:rPr>
                <w:rFonts w:ascii="Arial" w:cs="Arial" w:eastAsia="Arial" w:hAnsi="Arial"/>
                <w:sz w:val="18"/>
                <w:szCs w:val="18"/>
                <w:b w:val="1"/>
                <w:bCs w:val="1"/>
                <w:color w:val="auto"/>
                <w:w w:val="94"/>
              </w:rPr>
              <w:t>from AOCI into Income</w:t>
            </w:r>
          </w:p>
        </w:tc>
      </w:tr>
      <w:tr>
        <w:trPr>
          <w:trHeight w:val="223"/>
        </w:trPr>
        <w:tc>
          <w:tcPr>
            <w:tcW w:w="2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5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9"/>
              </w:rPr>
              <w:t>9 Months Ended September 30,</w:t>
            </w:r>
          </w:p>
        </w:tc>
        <w:tc>
          <w:tcPr>
            <w:tcW w:w="3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Location of Gain Reclassified</w:t>
            </w:r>
          </w:p>
        </w:tc>
        <w:tc>
          <w:tcPr>
            <w:tcW w:w="200" w:type="dxa"/>
            <w:vAlign w:val="bottom"/>
            <w:tcBorders>
              <w:bottom w:val="single" w:sz="8" w:color="auto"/>
            </w:tcBorders>
          </w:tcPr>
          <w:p>
            <w:pPr>
              <w:spacing w:after="0"/>
              <w:rPr>
                <w:sz w:val="19"/>
                <w:szCs w:val="19"/>
                <w:color w:val="auto"/>
              </w:rPr>
            </w:pPr>
          </w:p>
        </w:tc>
        <w:tc>
          <w:tcPr>
            <w:tcW w:w="2940" w:type="dxa"/>
            <w:vAlign w:val="bottom"/>
            <w:tcBorders>
              <w:bottom w:val="single" w:sz="8" w:color="auto"/>
            </w:tcBorders>
            <w:gridSpan w:val="4"/>
          </w:tcPr>
          <w:p>
            <w:pPr>
              <w:jc w:val="center"/>
              <w:ind w:right="230"/>
              <w:spacing w:after="0"/>
              <w:rPr>
                <w:sz w:val="20"/>
                <w:szCs w:val="20"/>
                <w:color w:val="auto"/>
              </w:rPr>
            </w:pPr>
            <w:r>
              <w:rPr>
                <w:rFonts w:ascii="Arial" w:cs="Arial" w:eastAsia="Arial" w:hAnsi="Arial"/>
                <w:sz w:val="18"/>
                <w:szCs w:val="18"/>
                <w:b w:val="1"/>
                <w:bCs w:val="1"/>
                <w:color w:val="auto"/>
                <w:w w:val="90"/>
              </w:rPr>
              <w:t>9 Months Ended September 30,</w:t>
            </w:r>
          </w:p>
        </w:tc>
      </w:tr>
      <w:tr>
        <w:trPr>
          <w:trHeight w:val="223"/>
        </w:trPr>
        <w:tc>
          <w:tcPr>
            <w:tcW w:w="2120" w:type="dxa"/>
            <w:vAlign w:val="bottom"/>
          </w:tcPr>
          <w:p>
            <w:pPr>
              <w:ind w:left="620"/>
              <w:spacing w:after="0"/>
              <w:rPr>
                <w:sz w:val="20"/>
                <w:szCs w:val="20"/>
                <w:color w:val="auto"/>
              </w:rPr>
            </w:pPr>
            <w:r>
              <w:rPr>
                <w:rFonts w:ascii="Arial" w:cs="Arial" w:eastAsia="Arial" w:hAnsi="Arial"/>
                <w:sz w:val="18"/>
                <w:szCs w:val="18"/>
                <w:b w:val="1"/>
                <w:bCs w:val="1"/>
                <w:color w:val="auto"/>
              </w:rPr>
              <w:t>Instrument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ind w:right="550"/>
              <w:spacing w:after="0"/>
              <w:rPr>
                <w:sz w:val="20"/>
                <w:szCs w:val="20"/>
                <w:color w:val="auto"/>
              </w:rPr>
            </w:pPr>
            <w:r>
              <w:rPr>
                <w:rFonts w:ascii="Arial" w:cs="Arial" w:eastAsia="Arial" w:hAnsi="Arial"/>
                <w:sz w:val="18"/>
                <w:szCs w:val="18"/>
                <w:b w:val="1"/>
                <w:bCs w:val="1"/>
                <w:color w:val="auto"/>
              </w:rPr>
              <w:t>2019</w:t>
            </w:r>
          </w:p>
        </w:tc>
        <w:tc>
          <w:tcPr>
            <w:tcW w:w="1240" w:type="dxa"/>
            <w:vAlign w:val="bottom"/>
            <w:gridSpan w:val="2"/>
          </w:tcPr>
          <w:p>
            <w:pPr>
              <w:jc w:val="right"/>
              <w:ind w:right="205"/>
              <w:spacing w:after="0"/>
              <w:rPr>
                <w:sz w:val="20"/>
                <w:szCs w:val="20"/>
                <w:color w:val="auto"/>
              </w:rPr>
            </w:pPr>
            <w:r>
              <w:rPr>
                <w:rFonts w:ascii="Arial" w:cs="Arial" w:eastAsia="Arial" w:hAnsi="Arial"/>
                <w:sz w:val="18"/>
                <w:szCs w:val="18"/>
                <w:b w:val="1"/>
                <w:bCs w:val="1"/>
                <w:color w:val="auto"/>
              </w:rPr>
              <w:t>2018</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from AOCI into Income</w:t>
            </w:r>
          </w:p>
        </w:tc>
        <w:tc>
          <w:tcPr>
            <w:tcW w:w="200" w:type="dxa"/>
            <w:vAlign w:val="bottom"/>
          </w:tcPr>
          <w:p>
            <w:pPr>
              <w:spacing w:after="0"/>
              <w:rPr>
                <w:sz w:val="19"/>
                <w:szCs w:val="19"/>
                <w:color w:val="auto"/>
              </w:rPr>
            </w:pPr>
          </w:p>
        </w:tc>
        <w:tc>
          <w:tcPr>
            <w:tcW w:w="1320" w:type="dxa"/>
            <w:vAlign w:val="bottom"/>
          </w:tcPr>
          <w:p>
            <w:pPr>
              <w:jc w:val="right"/>
              <w:ind w:right="55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jc w:val="right"/>
              <w:ind w:right="550"/>
              <w:spacing w:after="0"/>
              <w:rPr>
                <w:sz w:val="20"/>
                <w:szCs w:val="20"/>
                <w:color w:val="auto"/>
              </w:rPr>
            </w:pPr>
            <w:r>
              <w:rPr>
                <w:rFonts w:ascii="Arial" w:cs="Arial" w:eastAsia="Arial" w:hAnsi="Arial"/>
                <w:sz w:val="18"/>
                <w:szCs w:val="18"/>
                <w:b w:val="1"/>
                <w:bCs w:val="1"/>
                <w:color w:val="auto"/>
              </w:rPr>
              <w:t>2018</w:t>
            </w:r>
          </w:p>
        </w:tc>
      </w:tr>
      <w:tr>
        <w:trPr>
          <w:trHeight w:val="209"/>
        </w:trPr>
        <w:tc>
          <w:tcPr>
            <w:tcW w:w="21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Cross-currency swaps</w:t>
            </w:r>
          </w:p>
        </w:tc>
        <w:tc>
          <w:tcPr>
            <w:tcW w:w="10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9.2</w:t>
            </w:r>
          </w:p>
        </w:tc>
        <w:tc>
          <w:tcPr>
            <w:tcW w:w="100" w:type="dxa"/>
            <w:vAlign w:val="bottom"/>
            <w:tcBorders>
              <w:top w:val="single" w:sz="8" w:color="CFF0FC"/>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jc w:val="right"/>
              <w:ind w:right="985"/>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tcBorders>
            <w:shd w:val="clear" w:color="auto" w:fill="CFF0FC"/>
          </w:tcPr>
          <w:p>
            <w:pPr>
              <w:ind w:left="6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shd w:val="clear" w:color="auto" w:fill="CFF0FC"/>
          </w:tcPr>
          <w:p>
            <w:pPr>
              <w:spacing w:after="0"/>
              <w:rPr>
                <w:sz w:val="18"/>
                <w:szCs w:val="18"/>
                <w:color w:val="auto"/>
              </w:rPr>
            </w:pPr>
          </w:p>
        </w:tc>
        <w:tc>
          <w:tcPr>
            <w:tcW w:w="2760" w:type="dxa"/>
            <w:vAlign w:val="bottom"/>
            <w:tcBorders>
              <w:top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rPr>
              <w:t>Interest and other expenses</w:t>
            </w:r>
          </w:p>
        </w:tc>
        <w:tc>
          <w:tcPr>
            <w:tcW w:w="8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10.0</w:t>
            </w:r>
          </w:p>
        </w:tc>
        <w:tc>
          <w:tcPr>
            <w:tcW w:w="10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2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3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8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(income), net</w:t>
            </w:r>
          </w:p>
        </w:tc>
        <w:tc>
          <w:tcPr>
            <w:tcW w:w="200" w:type="dxa"/>
            <w:vAlign w:val="bottom"/>
            <w:shd w:val="clear" w:color="auto" w:fill="CFF0FC"/>
          </w:tcPr>
          <w:p>
            <w:pPr>
              <w:spacing w:after="0"/>
              <w:rPr>
                <w:sz w:val="20"/>
                <w:szCs w:val="20"/>
                <w:color w:val="auto"/>
              </w:rPr>
            </w:pPr>
          </w:p>
        </w:tc>
        <w:tc>
          <w:tcPr>
            <w:tcW w:w="13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r>
    </w:tbl>
    <w:p>
      <w:pPr>
        <w:spacing w:after="0" w:line="202"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We expect the net amount of pre-tax derivative gains and losses included in AOCI at September 30, 2019 to be reclassified into earnings within the next twelve months will not be significant. The actual amount that will be reclassified to earnings over the next twelve months will vary due to future currency exchange rates.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Non-designated instruments</w:t>
      </w:r>
    </w:p>
    <w:p>
      <w:pPr>
        <w:spacing w:after="0" w:line="185"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We also use certain derivatives, which are not designated as hedging instruments, as economic hedges of foreign currency and interest rate exposure. For our forward contracts that are not designated as hedges, any gain or loss resulting from the change in fair value is recognized in current period earnings. These gains or losses are offset by the exposure related to receivables and payables with our foreign subsidiaries and to interest due on our Euro-denominated notes, which is paid annually in June and September. The effect of our forward contracts that are not designated as hedging instruments on the consolidated statements of operations for the three and nine months ended September 30, 2019 was as follows: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1"/>
              </w:rPr>
              <w:t>Location of Gain</w:t>
            </w:r>
          </w:p>
        </w:tc>
        <w:tc>
          <w:tcPr>
            <w:tcW w:w="98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3120" w:type="dxa"/>
            <w:vAlign w:val="bottom"/>
            <w:tcBorders>
              <w:bottom w:val="single" w:sz="8" w:color="auto"/>
            </w:tcBorders>
            <w:gridSpan w:val="7"/>
          </w:tcPr>
          <w:p>
            <w:pPr>
              <w:spacing w:after="0"/>
              <w:rPr>
                <w:sz w:val="20"/>
                <w:szCs w:val="20"/>
                <w:color w:val="auto"/>
              </w:rPr>
            </w:pPr>
            <w:r>
              <w:rPr>
                <w:rFonts w:ascii="Arial" w:cs="Arial" w:eastAsia="Arial" w:hAnsi="Arial"/>
                <w:sz w:val="18"/>
                <w:szCs w:val="18"/>
                <w:b w:val="1"/>
                <w:bCs w:val="1"/>
                <w:color w:val="auto"/>
                <w:w w:val="93"/>
              </w:rPr>
              <w:t>Amount of Gain Recognized in Income</w:t>
            </w: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r>
      <w:tr>
        <w:trPr>
          <w:trHeight w:val="223"/>
        </w:trPr>
        <w:tc>
          <w:tcPr>
            <w:tcW w:w="3060" w:type="dxa"/>
            <w:vAlign w:val="bottom"/>
          </w:tcPr>
          <w:p>
            <w:pPr>
              <w:ind w:left="1100"/>
              <w:spacing w:after="0"/>
              <w:rPr>
                <w:sz w:val="20"/>
                <w:szCs w:val="20"/>
                <w:color w:val="auto"/>
              </w:rPr>
            </w:pPr>
            <w:r>
              <w:rPr>
                <w:rFonts w:ascii="Arial" w:cs="Arial" w:eastAsia="Arial" w:hAnsi="Arial"/>
                <w:sz w:val="18"/>
                <w:szCs w:val="18"/>
                <w:b w:val="1"/>
                <w:bCs w:val="1"/>
                <w:color w:val="auto"/>
              </w:rPr>
              <w:t>Instrument</w:t>
            </w:r>
          </w:p>
        </w:tc>
        <w:tc>
          <w:tcPr>
            <w:tcW w:w="80" w:type="dxa"/>
            <w:vAlign w:val="bottom"/>
          </w:tcPr>
          <w:p>
            <w:pPr>
              <w:spacing w:after="0"/>
              <w:rPr>
                <w:sz w:val="19"/>
                <w:szCs w:val="19"/>
                <w:color w:val="auto"/>
              </w:rPr>
            </w:pPr>
          </w:p>
        </w:tc>
        <w:tc>
          <w:tcPr>
            <w:tcW w:w="22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9"/>
              </w:rPr>
              <w:t>Recognized in Income</w:t>
            </w:r>
          </w:p>
        </w:tc>
        <w:tc>
          <w:tcPr>
            <w:tcW w:w="2660" w:type="dxa"/>
            <w:vAlign w:val="bottom"/>
            <w:gridSpan w:val="4"/>
          </w:tcPr>
          <w:p>
            <w:pPr>
              <w:jc w:val="right"/>
              <w:ind w:right="20"/>
              <w:spacing w:after="0"/>
              <w:rPr>
                <w:sz w:val="20"/>
                <w:szCs w:val="20"/>
                <w:color w:val="auto"/>
              </w:rPr>
            </w:pPr>
            <w:r>
              <w:rPr>
                <w:rFonts w:ascii="Arial" w:cs="Arial" w:eastAsia="Arial" w:hAnsi="Arial"/>
                <w:sz w:val="18"/>
                <w:szCs w:val="18"/>
                <w:b w:val="1"/>
                <w:bCs w:val="1"/>
                <w:color w:val="auto"/>
                <w:w w:val="98"/>
              </w:rPr>
              <w:t>3 Months Ended September 30,</w:t>
            </w: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60" w:type="dxa"/>
            <w:vAlign w:val="bottom"/>
            <w:gridSpan w:val="4"/>
          </w:tcPr>
          <w:p>
            <w:pPr>
              <w:jc w:val="right"/>
              <w:ind w:right="270"/>
              <w:spacing w:after="0"/>
              <w:rPr>
                <w:sz w:val="20"/>
                <w:szCs w:val="20"/>
                <w:color w:val="auto"/>
              </w:rPr>
            </w:pPr>
            <w:r>
              <w:rPr>
                <w:rFonts w:ascii="Arial" w:cs="Arial" w:eastAsia="Arial" w:hAnsi="Arial"/>
                <w:sz w:val="18"/>
                <w:szCs w:val="18"/>
                <w:b w:val="1"/>
                <w:bCs w:val="1"/>
                <w:color w:val="auto"/>
                <w:w w:val="92"/>
              </w:rPr>
              <w:t>9 Months Ended September 30,</w:t>
            </w:r>
          </w:p>
        </w:tc>
      </w:tr>
      <w:tr>
        <w:trPr>
          <w:trHeight w:val="223"/>
        </w:trPr>
        <w:tc>
          <w:tcPr>
            <w:tcW w:w="306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14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Borders>
              <w:top w:val="single" w:sz="8" w:color="auto"/>
            </w:tcBorders>
          </w:tcPr>
          <w:p>
            <w:pPr>
              <w:jc w:val="right"/>
              <w:ind w:right="55"/>
              <w:spacing w:after="0"/>
              <w:rPr>
                <w:sz w:val="20"/>
                <w:szCs w:val="20"/>
                <w:color w:val="auto"/>
              </w:rPr>
            </w:pPr>
            <w:r>
              <w:rPr>
                <w:rFonts w:ascii="Arial" w:cs="Arial" w:eastAsia="Arial" w:hAnsi="Arial"/>
                <w:sz w:val="18"/>
                <w:szCs w:val="18"/>
                <w:b w:val="1"/>
                <w:bCs w:val="1"/>
                <w:color w:val="auto"/>
              </w:rPr>
              <w:t>2019</w:t>
            </w:r>
          </w:p>
        </w:tc>
        <w:tc>
          <w:tcPr>
            <w:tcW w:w="48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gridSpan w:val="2"/>
          </w:tcPr>
          <w:p>
            <w:pPr>
              <w:jc w:val="right"/>
              <w:ind w:right="280"/>
              <w:spacing w:after="0"/>
              <w:rPr>
                <w:sz w:val="20"/>
                <w:szCs w:val="20"/>
                <w:color w:val="auto"/>
              </w:rPr>
            </w:pPr>
            <w:r>
              <w:rPr>
                <w:rFonts w:ascii="Arial" w:cs="Arial" w:eastAsia="Arial" w:hAnsi="Arial"/>
                <w:sz w:val="18"/>
                <w:szCs w:val="18"/>
                <w:b w:val="1"/>
                <w:bCs w:val="1"/>
                <w:color w:val="auto"/>
              </w:rPr>
              <w:t>2018</w:t>
            </w:r>
          </w:p>
        </w:tc>
        <w:tc>
          <w:tcPr>
            <w:tcW w:w="32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2019</w:t>
            </w:r>
          </w:p>
        </w:tc>
        <w:tc>
          <w:tcPr>
            <w:tcW w:w="8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2018</w:t>
            </w:r>
          </w:p>
        </w:tc>
      </w:tr>
      <w:tr>
        <w:trPr>
          <w:trHeight w:val="209"/>
        </w:trPr>
        <w:tc>
          <w:tcPr>
            <w:tcW w:w="3060" w:type="dxa"/>
            <w:vAlign w:val="bottom"/>
            <w:tcBorders>
              <w:top w:val="single" w:sz="8" w:color="CFF0FC"/>
            </w:tcBorders>
            <w:shd w:val="clear" w:color="auto" w:fill="CFF0FC"/>
          </w:tcPr>
          <w:p>
            <w:pPr>
              <w:spacing w:after="0"/>
              <w:rPr>
                <w:sz w:val="18"/>
                <w:szCs w:val="18"/>
                <w:color w:val="auto"/>
              </w:rPr>
            </w:pPr>
          </w:p>
        </w:tc>
        <w:tc>
          <w:tcPr>
            <w:tcW w:w="2300" w:type="dxa"/>
            <w:vAlign w:val="bottom"/>
            <w:tcBorders>
              <w:top w:val="single" w:sz="8" w:color="CFF0FC"/>
            </w:tcBorders>
            <w:gridSpan w:val="3"/>
            <w:shd w:val="clear" w:color="auto" w:fill="CFF0FC"/>
          </w:tcPr>
          <w:p>
            <w:pPr>
              <w:ind w:left="80"/>
              <w:spacing w:after="0"/>
              <w:rPr>
                <w:sz w:val="20"/>
                <w:szCs w:val="20"/>
                <w:color w:val="auto"/>
              </w:rPr>
            </w:pPr>
            <w:r>
              <w:rPr>
                <w:rFonts w:ascii="Arial" w:cs="Arial" w:eastAsia="Arial" w:hAnsi="Arial"/>
                <w:sz w:val="18"/>
                <w:szCs w:val="18"/>
                <w:color w:val="auto"/>
                <w:w w:val="98"/>
              </w:rPr>
              <w:t>Interest and other expenses</w:t>
            </w:r>
          </w:p>
        </w:tc>
        <w:tc>
          <w:tcPr>
            <w:tcW w:w="980" w:type="dxa"/>
            <w:vAlign w:val="bottom"/>
            <w:tcBorders>
              <w:top w:val="single" w:sz="8" w:color="auto"/>
            </w:tcBorders>
            <w:shd w:val="clear" w:color="auto" w:fill="CFF0FC"/>
          </w:tcPr>
          <w:p>
            <w:pPr>
              <w:spacing w:after="0"/>
              <w:rPr>
                <w:sz w:val="18"/>
                <w:szCs w:val="18"/>
                <w:color w:val="auto"/>
              </w:rPr>
            </w:pPr>
          </w:p>
        </w:tc>
        <w:tc>
          <w:tcPr>
            <w:tcW w:w="480" w:type="dxa"/>
            <w:vAlign w:val="bottom"/>
            <w:tcBorders>
              <w:top w:val="single" w:sz="8" w:color="auto"/>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30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r>
      <w:tr>
        <w:trPr>
          <w:trHeight w:val="230"/>
        </w:trPr>
        <w:tc>
          <w:tcPr>
            <w:tcW w:w="3060" w:type="dxa"/>
            <w:vAlign w:val="bottom"/>
            <w:shd w:val="clear" w:color="auto" w:fill="CFF0FC"/>
          </w:tcPr>
          <w:p>
            <w:pPr>
              <w:spacing w:after="0"/>
              <w:rPr>
                <w:sz w:val="20"/>
                <w:szCs w:val="20"/>
                <w:color w:val="auto"/>
              </w:rPr>
            </w:pPr>
            <w:r>
              <w:rPr>
                <w:rFonts w:ascii="Arial" w:cs="Arial" w:eastAsia="Arial" w:hAnsi="Arial"/>
                <w:sz w:val="18"/>
                <w:szCs w:val="18"/>
                <w:color w:val="auto"/>
              </w:rPr>
              <w:t>Foreign currency forward contracts</w:t>
            </w:r>
          </w:p>
        </w:tc>
        <w:tc>
          <w:tcPr>
            <w:tcW w:w="2300" w:type="dxa"/>
            <w:vAlign w:val="bottom"/>
            <w:gridSpan w:val="3"/>
            <w:shd w:val="clear" w:color="auto" w:fill="CFF0FC"/>
          </w:tcPr>
          <w:p>
            <w:pPr>
              <w:ind w:left="80"/>
              <w:spacing w:after="0"/>
              <w:rPr>
                <w:sz w:val="20"/>
                <w:szCs w:val="20"/>
                <w:color w:val="auto"/>
              </w:rPr>
            </w:pPr>
            <w:r>
              <w:rPr>
                <w:rFonts w:ascii="Arial" w:cs="Arial" w:eastAsia="Arial" w:hAnsi="Arial"/>
                <w:sz w:val="18"/>
                <w:szCs w:val="18"/>
                <w:color w:val="auto"/>
              </w:rPr>
              <w:t>(income), net</w:t>
            </w:r>
          </w:p>
        </w:tc>
        <w:tc>
          <w:tcPr>
            <w:tcW w:w="980" w:type="dxa"/>
            <w:vAlign w:val="bottom"/>
            <w:shd w:val="clear" w:color="auto" w:fill="CFF0FC"/>
          </w:tcPr>
          <w:p>
            <w:pPr>
              <w:jc w:val="right"/>
              <w:ind w:right="815"/>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4.6</w:t>
            </w:r>
          </w:p>
        </w:tc>
        <w:tc>
          <w:tcPr>
            <w:tcW w:w="1200" w:type="dxa"/>
            <w:vAlign w:val="bottom"/>
            <w:gridSpan w:val="2"/>
            <w:shd w:val="clear" w:color="auto" w:fill="CFF0FC"/>
          </w:tcPr>
          <w:p>
            <w:pPr>
              <w:jc w:val="right"/>
              <w:ind w:right="1040"/>
              <w:spacing w:after="0"/>
              <w:rPr>
                <w:sz w:val="20"/>
                <w:szCs w:val="20"/>
                <w:color w:val="auto"/>
              </w:rPr>
            </w:pPr>
            <w:r>
              <w:rPr>
                <w:rFonts w:ascii="Arial" w:cs="Arial" w:eastAsia="Arial" w:hAnsi="Arial"/>
                <w:sz w:val="18"/>
                <w:szCs w:val="18"/>
                <w:color w:val="auto"/>
              </w:rPr>
              <w:t>$</w:t>
            </w:r>
          </w:p>
        </w:tc>
        <w:tc>
          <w:tcPr>
            <w:tcW w:w="540" w:type="dxa"/>
            <w:vAlign w:val="bottom"/>
            <w:gridSpan w:val="3"/>
            <w:shd w:val="clear" w:color="auto" w:fill="CFF0FC"/>
          </w:tcPr>
          <w:p>
            <w:pPr>
              <w:ind w:left="20"/>
              <w:spacing w:after="0"/>
              <w:rPr>
                <w:sz w:val="20"/>
                <w:szCs w:val="20"/>
                <w:color w:val="auto"/>
              </w:rPr>
            </w:pPr>
            <w:r>
              <w:rPr>
                <w:rFonts w:ascii="Arial" w:cs="Arial" w:eastAsia="Arial" w:hAnsi="Arial"/>
                <w:sz w:val="18"/>
                <w:szCs w:val="18"/>
                <w:color w:val="auto"/>
              </w:rPr>
              <w:t>—  $</w:t>
            </w:r>
          </w:p>
        </w:tc>
        <w:tc>
          <w:tcPr>
            <w:tcW w:w="13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13.8</w:t>
            </w:r>
          </w:p>
        </w:tc>
        <w:tc>
          <w:tcPr>
            <w:tcW w:w="80" w:type="dxa"/>
            <w:vAlign w:val="bottom"/>
            <w:shd w:val="clear" w:color="auto" w:fill="CFF0FC"/>
          </w:tcPr>
          <w:p>
            <w:pPr>
              <w:spacing w:after="0"/>
              <w:rPr>
                <w:sz w:val="20"/>
                <w:szCs w:val="20"/>
                <w:color w:val="auto"/>
              </w:rPr>
            </w:pPr>
          </w:p>
        </w:tc>
        <w:tc>
          <w:tcPr>
            <w:tcW w:w="280" w:type="dxa"/>
            <w:vAlign w:val="bottom"/>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2.0</w:t>
            </w:r>
          </w:p>
        </w:tc>
      </w:tr>
    </w:tbl>
    <w:p>
      <w:pPr>
        <w:spacing w:after="0" w:line="200" w:lineRule="exact"/>
        <w:rPr>
          <w:sz w:val="20"/>
          <w:szCs w:val="20"/>
          <w:color w:val="auto"/>
        </w:rPr>
      </w:pPr>
    </w:p>
    <w:p>
      <w:pPr>
        <w:spacing w:after="0" w:line="218" w:lineRule="exact"/>
        <w:rPr>
          <w:sz w:val="20"/>
          <w:szCs w:val="20"/>
          <w:color w:val="auto"/>
        </w:rPr>
      </w:pPr>
    </w:p>
    <w:p>
      <w:pPr>
        <w:jc w:val="both"/>
        <w:ind w:right="20"/>
        <w:spacing w:after="0" w:line="258" w:lineRule="auto"/>
        <w:rPr>
          <w:sz w:val="20"/>
          <w:szCs w:val="20"/>
          <w:color w:val="auto"/>
        </w:rPr>
      </w:pPr>
      <w:r>
        <w:rPr>
          <w:rFonts w:ascii="Arial" w:cs="Arial" w:eastAsia="Arial" w:hAnsi="Arial"/>
          <w:sz w:val="18"/>
          <w:szCs w:val="18"/>
          <w:color w:val="auto"/>
        </w:rPr>
        <w:t>The following tables present the fair value of derivative and non-derivative assets and liabilities on the Consolidated Balance Sheets as of September 30, 2019 and December 31, 2018:</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60" w:type="dxa"/>
            <w:vAlign w:val="bottom"/>
            <w:tcBorders>
              <w:bottom w:val="single" w:sz="8" w:color="auto"/>
            </w:tcBorders>
          </w:tcPr>
          <w:p>
            <w:pPr>
              <w:spacing w:after="0"/>
              <w:rPr>
                <w:sz w:val="19"/>
                <w:szCs w:val="19"/>
                <w:color w:val="auto"/>
              </w:rPr>
            </w:pPr>
          </w:p>
        </w:tc>
        <w:tc>
          <w:tcPr>
            <w:tcW w:w="2220" w:type="dxa"/>
            <w:vAlign w:val="bottom"/>
            <w:tcBorders>
              <w:bottom w:val="single" w:sz="8" w:color="auto"/>
            </w:tcBorders>
            <w:gridSpan w:val="5"/>
          </w:tcPr>
          <w:p>
            <w:pPr>
              <w:ind w:left="240"/>
              <w:spacing w:after="0"/>
              <w:rPr>
                <w:sz w:val="20"/>
                <w:szCs w:val="20"/>
                <w:color w:val="auto"/>
              </w:rPr>
            </w:pPr>
            <w:r>
              <w:rPr>
                <w:rFonts w:ascii="Arial" w:cs="Arial" w:eastAsia="Arial" w:hAnsi="Arial"/>
                <w:sz w:val="18"/>
                <w:szCs w:val="18"/>
                <w:b w:val="1"/>
                <w:bCs w:val="1"/>
                <w:color w:val="auto"/>
              </w:rPr>
              <w:t>Assets</w:t>
            </w: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r>
      <w:tr>
        <w:trPr>
          <w:trHeight w:val="218"/>
        </w:trPr>
        <w:tc>
          <w:tcPr>
            <w:tcW w:w="4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ind w:left="20"/>
              <w:spacing w:after="0"/>
              <w:rPr>
                <w:sz w:val="20"/>
                <w:szCs w:val="20"/>
                <w:color w:val="auto"/>
              </w:rPr>
            </w:pPr>
            <w:r>
              <w:rPr>
                <w:rFonts w:ascii="Arial" w:cs="Arial" w:eastAsia="Arial" w:hAnsi="Arial"/>
                <w:sz w:val="18"/>
                <w:szCs w:val="18"/>
                <w:b w:val="1"/>
                <w:bCs w:val="1"/>
                <w:color w:val="auto"/>
              </w:rPr>
              <w:t>September 30,</w:t>
            </w:r>
          </w:p>
        </w:tc>
        <w:tc>
          <w:tcPr>
            <w:tcW w:w="140" w:type="dxa"/>
            <w:vAlign w:val="bottom"/>
          </w:tcPr>
          <w:p>
            <w:pPr>
              <w:spacing w:after="0"/>
              <w:rPr>
                <w:sz w:val="18"/>
                <w:szCs w:val="18"/>
                <w:color w:val="auto"/>
              </w:rPr>
            </w:pPr>
          </w:p>
        </w:tc>
        <w:tc>
          <w:tcPr>
            <w:tcW w:w="1380" w:type="dxa"/>
            <w:vAlign w:val="bottom"/>
          </w:tcPr>
          <w:p>
            <w:pPr>
              <w:jc w:val="right"/>
              <w:ind w:right="210"/>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4120" w:type="dxa"/>
            <w:vAlign w:val="bottom"/>
            <w:tcBorders>
              <w:bottom w:val="single" w:sz="8" w:color="CFF0FC"/>
            </w:tcBorders>
          </w:tcPr>
          <w:p>
            <w:pPr>
              <w:spacing w:after="0"/>
              <w:rPr>
                <w:sz w:val="20"/>
                <w:szCs w:val="20"/>
                <w:color w:val="auto"/>
              </w:rPr>
            </w:pPr>
          </w:p>
        </w:tc>
        <w:tc>
          <w:tcPr>
            <w:tcW w:w="900" w:type="dxa"/>
            <w:vAlign w:val="bottom"/>
            <w:tcBorders>
              <w:bottom w:val="single" w:sz="8" w:color="CFF0FC"/>
            </w:tcBorders>
          </w:tcPr>
          <w:p>
            <w:pPr>
              <w:spacing w:after="0"/>
              <w:rPr>
                <w:sz w:val="20"/>
                <w:szCs w:val="20"/>
                <w:color w:val="auto"/>
              </w:rPr>
            </w:pPr>
          </w:p>
        </w:tc>
        <w:tc>
          <w:tcPr>
            <w:tcW w:w="2660" w:type="dxa"/>
            <w:vAlign w:val="bottom"/>
            <w:tcBorders>
              <w:bottom w:val="single" w:sz="8" w:color="auto"/>
            </w:tcBorders>
          </w:tcPr>
          <w:p>
            <w:pPr>
              <w:ind w:left="620"/>
              <w:spacing w:after="0"/>
              <w:rPr>
                <w:sz w:val="20"/>
                <w:szCs w:val="20"/>
                <w:color w:val="auto"/>
              </w:rPr>
            </w:pPr>
            <w:r>
              <w:rPr>
                <w:rFonts w:ascii="Arial" w:cs="Arial" w:eastAsia="Arial" w:hAnsi="Arial"/>
                <w:sz w:val="18"/>
                <w:szCs w:val="18"/>
                <w:b w:val="1"/>
                <w:bCs w:val="1"/>
                <w:color w:val="auto"/>
                <w:w w:val="99"/>
              </w:rPr>
              <w:t>Balance Sheet Location</w:t>
            </w:r>
          </w:p>
        </w:tc>
        <w:tc>
          <w:tcPr>
            <w:tcW w:w="400" w:type="dxa"/>
            <w:vAlign w:val="bottom"/>
            <w:tcBorders>
              <w:bottom w:val="single" w:sz="8" w:color="auto"/>
            </w:tcBorders>
          </w:tcPr>
          <w:p>
            <w:pPr>
              <w:spacing w:after="0"/>
              <w:rPr>
                <w:sz w:val="20"/>
                <w:szCs w:val="20"/>
                <w:color w:val="auto"/>
              </w:rPr>
            </w:pPr>
          </w:p>
        </w:tc>
        <w:tc>
          <w:tcPr>
            <w:tcW w:w="16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2019</w:t>
            </w:r>
          </w:p>
        </w:tc>
        <w:tc>
          <w:tcPr>
            <w:tcW w:w="16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2018</w:t>
            </w:r>
          </w:p>
        </w:tc>
      </w:tr>
      <w:tr>
        <w:trPr>
          <w:trHeight w:val="223"/>
        </w:trPr>
        <w:tc>
          <w:tcPr>
            <w:tcW w:w="4120" w:type="dxa"/>
            <w:vAlign w:val="bottom"/>
            <w:shd w:val="clear" w:color="auto" w:fill="CFF0FC"/>
          </w:tcPr>
          <w:p>
            <w:pPr>
              <w:spacing w:after="0"/>
              <w:rPr>
                <w:sz w:val="20"/>
                <w:szCs w:val="20"/>
                <w:color w:val="auto"/>
              </w:rPr>
            </w:pPr>
            <w:r>
              <w:rPr>
                <w:rFonts w:ascii="Arial" w:cs="Arial" w:eastAsia="Arial" w:hAnsi="Arial"/>
                <w:sz w:val="18"/>
                <w:szCs w:val="18"/>
                <w:color w:val="auto"/>
              </w:rPr>
              <w:t>Instruments designated as cash flow hedges:</w:t>
            </w:r>
          </w:p>
        </w:tc>
        <w:tc>
          <w:tcPr>
            <w:tcW w:w="900" w:type="dxa"/>
            <w:vAlign w:val="bottom"/>
            <w:shd w:val="clear" w:color="auto" w:fill="CFF0FC"/>
          </w:tcPr>
          <w:p>
            <w:pPr>
              <w:spacing w:after="0"/>
              <w:rPr>
                <w:sz w:val="19"/>
                <w:szCs w:val="19"/>
                <w:color w:val="auto"/>
              </w:rPr>
            </w:pPr>
          </w:p>
        </w:tc>
        <w:tc>
          <w:tcPr>
            <w:tcW w:w="26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r>
      <w:tr>
        <w:trPr>
          <w:trHeight w:val="230"/>
        </w:trPr>
        <w:tc>
          <w:tcPr>
            <w:tcW w:w="4120" w:type="dxa"/>
            <w:vAlign w:val="bottom"/>
          </w:tcPr>
          <w:p>
            <w:pPr>
              <w:ind w:left="260"/>
              <w:spacing w:after="0"/>
              <w:rPr>
                <w:sz w:val="20"/>
                <w:szCs w:val="20"/>
                <w:color w:val="auto"/>
              </w:rPr>
            </w:pPr>
            <w:r>
              <w:rPr>
                <w:rFonts w:ascii="Arial" w:cs="Arial" w:eastAsia="Arial" w:hAnsi="Arial"/>
                <w:sz w:val="18"/>
                <w:szCs w:val="18"/>
                <w:color w:val="auto"/>
              </w:rPr>
              <w:t>Cross-currency swaps</w:t>
            </w:r>
          </w:p>
        </w:tc>
        <w:tc>
          <w:tcPr>
            <w:tcW w:w="3560" w:type="dxa"/>
            <w:vAlign w:val="bottom"/>
            <w:gridSpan w:val="2"/>
          </w:tcPr>
          <w:p>
            <w:pPr>
              <w:ind w:left="900"/>
              <w:spacing w:after="0"/>
              <w:rPr>
                <w:sz w:val="20"/>
                <w:szCs w:val="20"/>
                <w:color w:val="auto"/>
              </w:rPr>
            </w:pPr>
            <w:r>
              <w:rPr>
                <w:rFonts w:ascii="Arial" w:cs="Arial" w:eastAsia="Arial" w:hAnsi="Arial"/>
                <w:sz w:val="18"/>
                <w:szCs w:val="18"/>
                <w:color w:val="auto"/>
                <w:w w:val="93"/>
              </w:rPr>
              <w:t>Prepaid expenses and other assets</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9.0</w:t>
            </w:r>
          </w:p>
        </w:tc>
        <w:tc>
          <w:tcPr>
            <w:tcW w:w="16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50"/>
              <w:spacing w:after="0"/>
              <w:rPr>
                <w:sz w:val="20"/>
                <w:szCs w:val="20"/>
                <w:color w:val="auto"/>
              </w:rPr>
            </w:pPr>
            <w:r>
              <w:rPr>
                <w:rFonts w:ascii="Arial" w:cs="Arial" w:eastAsia="Arial" w:hAnsi="Arial"/>
                <w:sz w:val="18"/>
                <w:szCs w:val="18"/>
                <w:color w:val="auto"/>
              </w:rPr>
              <w:t>—</w:t>
            </w:r>
          </w:p>
        </w:tc>
      </w:tr>
      <w:tr>
        <w:trPr>
          <w:trHeight w:val="230"/>
        </w:trPr>
        <w:tc>
          <w:tcPr>
            <w:tcW w:w="4120" w:type="dxa"/>
            <w:vAlign w:val="bottom"/>
            <w:shd w:val="clear" w:color="auto" w:fill="CFF0FC"/>
          </w:tcPr>
          <w:p>
            <w:pPr>
              <w:spacing w:after="0"/>
              <w:rPr>
                <w:sz w:val="20"/>
                <w:szCs w:val="20"/>
                <w:color w:val="auto"/>
              </w:rPr>
            </w:pPr>
            <w:r>
              <w:rPr>
                <w:rFonts w:ascii="Arial" w:cs="Arial" w:eastAsia="Arial" w:hAnsi="Arial"/>
                <w:sz w:val="18"/>
                <w:szCs w:val="18"/>
                <w:color w:val="auto"/>
              </w:rPr>
              <w:t>Instruments designated as net investment:</w:t>
            </w:r>
          </w:p>
        </w:tc>
        <w:tc>
          <w:tcPr>
            <w:tcW w:w="900" w:type="dxa"/>
            <w:vAlign w:val="bottom"/>
            <w:shd w:val="clear" w:color="auto" w:fill="CFF0FC"/>
          </w:tcPr>
          <w:p>
            <w:pPr>
              <w:spacing w:after="0"/>
              <w:rPr>
                <w:sz w:val="19"/>
                <w:szCs w:val="19"/>
                <w:color w:val="auto"/>
              </w:rPr>
            </w:pPr>
          </w:p>
        </w:tc>
        <w:tc>
          <w:tcPr>
            <w:tcW w:w="26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r>
      <w:tr>
        <w:trPr>
          <w:trHeight w:val="230"/>
        </w:trPr>
        <w:tc>
          <w:tcPr>
            <w:tcW w:w="4120" w:type="dxa"/>
            <w:vAlign w:val="bottom"/>
          </w:tcPr>
          <w:p>
            <w:pPr>
              <w:ind w:left="260"/>
              <w:spacing w:after="0"/>
              <w:rPr>
                <w:sz w:val="20"/>
                <w:szCs w:val="20"/>
                <w:color w:val="auto"/>
              </w:rPr>
            </w:pPr>
            <w:r>
              <w:rPr>
                <w:rFonts w:ascii="Arial" w:cs="Arial" w:eastAsia="Arial" w:hAnsi="Arial"/>
                <w:sz w:val="18"/>
                <w:szCs w:val="18"/>
                <w:color w:val="auto"/>
              </w:rPr>
              <w:t>Cross-currency swaps</w:t>
            </w:r>
          </w:p>
        </w:tc>
        <w:tc>
          <w:tcPr>
            <w:tcW w:w="3560" w:type="dxa"/>
            <w:vAlign w:val="bottom"/>
            <w:gridSpan w:val="2"/>
          </w:tcPr>
          <w:p>
            <w:pPr>
              <w:ind w:left="900"/>
              <w:spacing w:after="0"/>
              <w:rPr>
                <w:sz w:val="20"/>
                <w:szCs w:val="20"/>
                <w:color w:val="auto"/>
              </w:rPr>
            </w:pPr>
            <w:r>
              <w:rPr>
                <w:rFonts w:ascii="Arial" w:cs="Arial" w:eastAsia="Arial" w:hAnsi="Arial"/>
                <w:sz w:val="18"/>
                <w:szCs w:val="18"/>
                <w:color w:val="auto"/>
                <w:w w:val="93"/>
              </w:rPr>
              <w:t>Prepaid expenses and other assets</w:t>
            </w: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2.8</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ind w:right="50"/>
              <w:spacing w:after="0"/>
              <w:rPr>
                <w:sz w:val="20"/>
                <w:szCs w:val="20"/>
                <w:color w:val="auto"/>
              </w:rPr>
            </w:pPr>
            <w:r>
              <w:rPr>
                <w:rFonts w:ascii="Arial" w:cs="Arial" w:eastAsia="Arial" w:hAnsi="Arial"/>
                <w:sz w:val="18"/>
                <w:szCs w:val="18"/>
                <w:color w:val="auto"/>
              </w:rPr>
              <w:t>—</w:t>
            </w:r>
          </w:p>
        </w:tc>
      </w:tr>
      <w:tr>
        <w:trPr>
          <w:trHeight w:val="230"/>
        </w:trPr>
        <w:tc>
          <w:tcPr>
            <w:tcW w:w="4120" w:type="dxa"/>
            <w:vAlign w:val="bottom"/>
            <w:shd w:val="clear" w:color="auto" w:fill="CFF0FC"/>
          </w:tcPr>
          <w:p>
            <w:pPr>
              <w:spacing w:after="0"/>
              <w:rPr>
                <w:sz w:val="20"/>
                <w:szCs w:val="20"/>
                <w:color w:val="auto"/>
              </w:rPr>
            </w:pPr>
            <w:r>
              <w:rPr>
                <w:rFonts w:ascii="Arial" w:cs="Arial" w:eastAsia="Arial" w:hAnsi="Arial"/>
                <w:sz w:val="18"/>
                <w:szCs w:val="18"/>
                <w:color w:val="auto"/>
              </w:rPr>
              <w:t>Instruments not designated as hedges:</w:t>
            </w:r>
          </w:p>
        </w:tc>
        <w:tc>
          <w:tcPr>
            <w:tcW w:w="900" w:type="dxa"/>
            <w:vAlign w:val="bottom"/>
            <w:shd w:val="clear" w:color="auto" w:fill="CFF0FC"/>
          </w:tcPr>
          <w:p>
            <w:pPr>
              <w:spacing w:after="0"/>
              <w:rPr>
                <w:sz w:val="19"/>
                <w:szCs w:val="19"/>
                <w:color w:val="auto"/>
              </w:rPr>
            </w:pPr>
          </w:p>
        </w:tc>
        <w:tc>
          <w:tcPr>
            <w:tcW w:w="26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r>
      <w:tr>
        <w:trPr>
          <w:trHeight w:val="230"/>
        </w:trPr>
        <w:tc>
          <w:tcPr>
            <w:tcW w:w="41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Foreign currency forward contracts</w:t>
            </w:r>
          </w:p>
        </w:tc>
        <w:tc>
          <w:tcPr>
            <w:tcW w:w="3560" w:type="dxa"/>
            <w:vAlign w:val="bottom"/>
            <w:tcBorders>
              <w:bottom w:val="single" w:sz="8" w:color="CFF0FC"/>
            </w:tcBorders>
            <w:gridSpan w:val="2"/>
          </w:tcPr>
          <w:p>
            <w:pPr>
              <w:ind w:left="900"/>
              <w:spacing w:after="0"/>
              <w:rPr>
                <w:sz w:val="20"/>
                <w:szCs w:val="20"/>
                <w:color w:val="auto"/>
              </w:rPr>
            </w:pPr>
            <w:r>
              <w:rPr>
                <w:rFonts w:ascii="Arial" w:cs="Arial" w:eastAsia="Arial" w:hAnsi="Arial"/>
                <w:sz w:val="18"/>
                <w:szCs w:val="18"/>
                <w:color w:val="auto"/>
              </w:rPr>
              <w:t>Accounts receivable, net</w:t>
            </w:r>
          </w:p>
        </w:tc>
        <w:tc>
          <w:tcPr>
            <w:tcW w:w="40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0.1</w:t>
            </w:r>
          </w:p>
        </w:tc>
        <w:tc>
          <w:tcPr>
            <w:tcW w:w="1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0.1</w:t>
            </w:r>
          </w:p>
        </w:tc>
      </w:tr>
      <w:tr>
        <w:trPr>
          <w:trHeight w:val="223"/>
        </w:trPr>
        <w:tc>
          <w:tcPr>
            <w:tcW w:w="412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instruments</w:t>
            </w:r>
          </w:p>
        </w:tc>
        <w:tc>
          <w:tcPr>
            <w:tcW w:w="900" w:type="dxa"/>
            <w:vAlign w:val="bottom"/>
            <w:tcBorders>
              <w:bottom w:val="single" w:sz="8" w:color="CFF0FC"/>
            </w:tcBorders>
            <w:shd w:val="clear" w:color="auto" w:fill="CFF0FC"/>
          </w:tcPr>
          <w:p>
            <w:pPr>
              <w:spacing w:after="0"/>
              <w:rPr>
                <w:sz w:val="19"/>
                <w:szCs w:val="19"/>
                <w:color w:val="auto"/>
              </w:rPr>
            </w:pPr>
          </w:p>
        </w:tc>
        <w:tc>
          <w:tcPr>
            <w:tcW w:w="266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11.9</w:t>
            </w:r>
          </w:p>
        </w:tc>
        <w:tc>
          <w:tcPr>
            <w:tcW w:w="1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0.1</w:t>
            </w:r>
          </w:p>
        </w:tc>
      </w:tr>
      <w:tr>
        <w:trPr>
          <w:trHeight w:val="20"/>
        </w:trPr>
        <w:tc>
          <w:tcPr>
            <w:tcW w:w="4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20" w:type="dxa"/>
            <w:vAlign w:val="bottom"/>
          </w:tcPr>
          <w:p>
            <w:pPr>
              <w:spacing w:after="0"/>
              <w:rPr>
                <w:sz w:val="20"/>
                <w:szCs w:val="20"/>
                <w:color w:val="auto"/>
              </w:rPr>
            </w:pPr>
          </w:p>
        </w:tc>
        <w:tc>
          <w:tcPr>
            <w:tcW w:w="242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4"/>
          </w:tcPr>
          <w:p>
            <w:pPr>
              <w:jc w:val="right"/>
              <w:ind w:right="910"/>
              <w:spacing w:after="0"/>
              <w:rPr>
                <w:sz w:val="20"/>
                <w:szCs w:val="20"/>
                <w:color w:val="auto"/>
              </w:rPr>
            </w:pPr>
            <w:r>
              <w:rPr>
                <w:rFonts w:ascii="Arial" w:cs="Arial" w:eastAsia="Arial" w:hAnsi="Arial"/>
                <w:sz w:val="18"/>
                <w:szCs w:val="18"/>
                <w:b w:val="1"/>
                <w:bCs w:val="1"/>
                <w:color w:val="auto"/>
              </w:rPr>
              <w:t>Liabilities</w:t>
            </w: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r>
      <w:tr>
        <w:trPr>
          <w:trHeight w:val="218"/>
        </w:trPr>
        <w:tc>
          <w:tcPr>
            <w:tcW w:w="53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jc w:val="right"/>
              <w:ind w:right="230"/>
              <w:spacing w:after="0"/>
              <w:rPr>
                <w:sz w:val="20"/>
                <w:szCs w:val="20"/>
                <w:color w:val="auto"/>
              </w:rPr>
            </w:pPr>
            <w:r>
              <w:rPr>
                <w:rFonts w:ascii="Arial" w:cs="Arial" w:eastAsia="Arial" w:hAnsi="Arial"/>
                <w:sz w:val="18"/>
                <w:szCs w:val="18"/>
                <w:b w:val="1"/>
                <w:bCs w:val="1"/>
                <w:color w:val="auto"/>
                <w:w w:val="92"/>
              </w:rPr>
              <w:t>September 30,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ind w:right="270"/>
              <w:spacing w:after="0"/>
              <w:rPr>
                <w:sz w:val="20"/>
                <w:szCs w:val="20"/>
                <w:color w:val="auto"/>
              </w:rPr>
            </w:pPr>
            <w:r>
              <w:rPr>
                <w:rFonts w:ascii="Arial" w:cs="Arial" w:eastAsia="Arial" w:hAnsi="Arial"/>
                <w:sz w:val="18"/>
                <w:szCs w:val="18"/>
                <w:b w:val="1"/>
                <w:bCs w:val="1"/>
                <w:color w:val="auto"/>
                <w:w w:val="93"/>
              </w:rPr>
              <w:t>December 31,</w:t>
            </w:r>
          </w:p>
        </w:tc>
      </w:tr>
      <w:tr>
        <w:trPr>
          <w:trHeight w:val="234"/>
        </w:trPr>
        <w:tc>
          <w:tcPr>
            <w:tcW w:w="5320" w:type="dxa"/>
            <w:vAlign w:val="bottom"/>
            <w:tcBorders>
              <w:bottom w:val="single" w:sz="8" w:color="CFF0FC"/>
            </w:tcBorders>
          </w:tcPr>
          <w:p>
            <w:pPr>
              <w:spacing w:after="0"/>
              <w:rPr>
                <w:sz w:val="20"/>
                <w:szCs w:val="20"/>
                <w:color w:val="auto"/>
              </w:rPr>
            </w:pPr>
          </w:p>
        </w:tc>
        <w:tc>
          <w:tcPr>
            <w:tcW w:w="2420" w:type="dxa"/>
            <w:vAlign w:val="bottom"/>
            <w:tcBorders>
              <w:bottom w:val="single" w:sz="8" w:color="auto"/>
            </w:tcBorders>
          </w:tcPr>
          <w:p>
            <w:pPr>
              <w:ind w:left="440"/>
              <w:spacing w:after="0"/>
              <w:rPr>
                <w:sz w:val="20"/>
                <w:szCs w:val="20"/>
                <w:color w:val="auto"/>
              </w:rPr>
            </w:pPr>
            <w:r>
              <w:rPr>
                <w:rFonts w:ascii="Arial" w:cs="Arial" w:eastAsia="Arial" w:hAnsi="Arial"/>
                <w:sz w:val="18"/>
                <w:szCs w:val="18"/>
                <w:b w:val="1"/>
                <w:bCs w:val="1"/>
                <w:color w:val="auto"/>
                <w:w w:val="96"/>
              </w:rPr>
              <w:t>Balance Sheet Location</w:t>
            </w:r>
          </w:p>
        </w:tc>
        <w:tc>
          <w:tcPr>
            <w:tcW w:w="240" w:type="dxa"/>
            <w:vAlign w:val="bottom"/>
            <w:tcBorders>
              <w:bottom w:val="single" w:sz="8" w:color="auto"/>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2019</w:t>
            </w:r>
          </w:p>
        </w:tc>
        <w:tc>
          <w:tcPr>
            <w:tcW w:w="80" w:type="dxa"/>
            <w:vAlign w:val="bottom"/>
            <w:tcBorders>
              <w:bottom w:val="single" w:sz="8" w:color="CFF0FC"/>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2018</w:t>
            </w:r>
          </w:p>
        </w:tc>
      </w:tr>
      <w:tr>
        <w:trPr>
          <w:trHeight w:val="223"/>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Instruments designated as net investment hedges:</w:t>
            </w:r>
          </w:p>
        </w:tc>
        <w:tc>
          <w:tcPr>
            <w:tcW w:w="24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r>
      <w:tr>
        <w:trPr>
          <w:trHeight w:val="230"/>
        </w:trPr>
        <w:tc>
          <w:tcPr>
            <w:tcW w:w="5320" w:type="dxa"/>
            <w:vAlign w:val="bottom"/>
          </w:tcPr>
          <w:p>
            <w:pPr>
              <w:ind w:left="260"/>
              <w:spacing w:after="0"/>
              <w:rPr>
                <w:sz w:val="20"/>
                <w:szCs w:val="20"/>
                <w:color w:val="auto"/>
              </w:rPr>
            </w:pPr>
            <w:r>
              <w:rPr>
                <w:rFonts w:ascii="Arial" w:cs="Arial" w:eastAsia="Arial" w:hAnsi="Arial"/>
                <w:sz w:val="18"/>
                <w:szCs w:val="18"/>
                <w:color w:val="auto"/>
              </w:rPr>
              <w:t>Euro Notes</w:t>
            </w:r>
          </w:p>
        </w:tc>
        <w:tc>
          <w:tcPr>
            <w:tcW w:w="2420" w:type="dxa"/>
            <w:vAlign w:val="bottom"/>
          </w:tcPr>
          <w:p>
            <w:pPr>
              <w:spacing w:after="0"/>
              <w:rPr>
                <w:sz w:val="20"/>
                <w:szCs w:val="20"/>
                <w:color w:val="auto"/>
              </w:rPr>
            </w:pPr>
            <w:r>
              <w:rPr>
                <w:rFonts w:ascii="Arial" w:cs="Arial" w:eastAsia="Arial" w:hAnsi="Arial"/>
                <w:sz w:val="18"/>
                <w:szCs w:val="18"/>
                <w:color w:val="auto"/>
              </w:rPr>
              <w:t>Long-term debt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jc w:val="right"/>
              <w:ind w:right="50"/>
              <w:spacing w:after="0"/>
              <w:rPr>
                <w:sz w:val="20"/>
                <w:szCs w:val="20"/>
                <w:color w:val="auto"/>
              </w:rPr>
            </w:pPr>
            <w:r>
              <w:rPr>
                <w:rFonts w:ascii="Arial" w:cs="Arial" w:eastAsia="Arial" w:hAnsi="Arial"/>
                <w:sz w:val="18"/>
                <w:szCs w:val="18"/>
                <w:color w:val="auto"/>
              </w:rPr>
              <w:t>1,045.7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ind w:right="50"/>
              <w:spacing w:after="0"/>
              <w:rPr>
                <w:sz w:val="20"/>
                <w:szCs w:val="20"/>
                <w:color w:val="auto"/>
              </w:rPr>
            </w:pPr>
            <w:r>
              <w:rPr>
                <w:rFonts w:ascii="Arial" w:cs="Arial" w:eastAsia="Arial" w:hAnsi="Arial"/>
                <w:sz w:val="18"/>
                <w:szCs w:val="18"/>
                <w:color w:val="auto"/>
              </w:rPr>
              <w:t>1,052.9</w:t>
            </w:r>
          </w:p>
        </w:tc>
      </w:tr>
      <w:tr>
        <w:trPr>
          <w:trHeight w:val="230"/>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Instruments not designated as hedges:</w:t>
            </w:r>
          </w:p>
        </w:tc>
        <w:tc>
          <w:tcPr>
            <w:tcW w:w="24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r>
      <w:tr>
        <w:trPr>
          <w:trHeight w:val="230"/>
        </w:trPr>
        <w:tc>
          <w:tcPr>
            <w:tcW w:w="53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Foreign currency forward contracts</w:t>
            </w:r>
          </w:p>
        </w:tc>
        <w:tc>
          <w:tcPr>
            <w:tcW w:w="24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Accrued liabilities</w:t>
            </w:r>
          </w:p>
        </w:tc>
        <w:tc>
          <w:tcPr>
            <w:tcW w:w="2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0.1</w:t>
            </w:r>
          </w:p>
        </w:tc>
      </w:tr>
      <w:tr>
        <w:trPr>
          <w:trHeight w:val="223"/>
        </w:trPr>
        <w:tc>
          <w:tcPr>
            <w:tcW w:w="532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instruments</w:t>
            </w:r>
          </w:p>
        </w:tc>
        <w:tc>
          <w:tcPr>
            <w:tcW w:w="24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1,045.7</w:t>
            </w:r>
          </w:p>
        </w:tc>
        <w:tc>
          <w:tcPr>
            <w:tcW w:w="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1,053.0</w:t>
            </w:r>
          </w:p>
        </w:tc>
      </w:tr>
      <w:tr>
        <w:trPr>
          <w:trHeight w:val="20"/>
        </w:trPr>
        <w:tc>
          <w:tcPr>
            <w:tcW w:w="53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Measurements</w:t>
      </w:r>
    </w:p>
    <w:p>
      <w:pPr>
        <w:spacing w:after="0" w:line="198" w:lineRule="exact"/>
        <w:rPr>
          <w:sz w:val="20"/>
          <w:szCs w:val="20"/>
          <w:color w:val="auto"/>
        </w:rPr>
      </w:pPr>
    </w:p>
    <w:p>
      <w:pPr>
        <w:jc w:val="both"/>
        <w:ind w:right="500"/>
        <w:spacing w:after="0" w:line="264" w:lineRule="auto"/>
        <w:rPr>
          <w:sz w:val="20"/>
          <w:szCs w:val="20"/>
          <w:color w:val="auto"/>
        </w:rPr>
      </w:pPr>
      <w:r>
        <w:rPr>
          <w:rFonts w:ascii="Arial" w:cs="Arial" w:eastAsia="Arial" w:hAnsi="Arial"/>
          <w:sz w:val="18"/>
          <w:szCs w:val="18"/>
          <w:color w:val="auto"/>
        </w:rPr>
        <w:t>The carrying value of long-term debt approximates fair value, except for the Euro-denominated notes. The fair value of the Euro-denominated notes, as observable at commonly quoted intervals (Level 2 inputs), was $1,045.7 and $1,052.9 as of September 30, 2019 and December 31, 2018, respectively, compared to a carrying value of $974.3 and $1,024.6, respectively.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783" w:right="239" w:bottom="1440" w:gutter="0" w:footer="0" w:header="0"/>
        </w:sectPr>
      </w:pPr>
    </w:p>
    <w:bookmarkStart w:id="21" w:name="page22"/>
    <w:bookmarkEnd w:id="21"/>
    <w:p>
      <w:pPr>
        <w:ind w:right="100"/>
        <w:spacing w:after="0" w:line="308" w:lineRule="auto"/>
        <w:rPr>
          <w:sz w:val="20"/>
          <w:szCs w:val="20"/>
          <w:color w:val="auto"/>
        </w:rPr>
      </w:pPr>
      <w:r>
        <w:rPr>
          <w:rFonts w:ascii="Arial" w:cs="Arial" w:eastAsia="Arial" w:hAnsi="Arial"/>
          <w:sz w:val="17"/>
          <w:szCs w:val="17"/>
          <w:color w:val="auto"/>
        </w:rPr>
        <w:t>Our deferred compensation plan assets were $101.4 and $89.5 as of September 30, 2019 and December 31, 2018 respectively. We determine the fair value of these assets, comprised of publicly traded securities, by using market quotes as of the last day of the period (Level 1 inputs).</w:t>
      </w:r>
    </w:p>
    <w:p>
      <w:pPr>
        <w:spacing w:after="0" w:line="12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We measure the fair value of the foreign currency forward contracts and cross-currency swaps at the value based on either directly or indirectly observable inputs from third parties (Level 2 inputs).</w:t>
      </w:r>
    </w:p>
    <w:p>
      <w:pPr>
        <w:spacing w:after="0" w:line="130" w:lineRule="exact"/>
        <w:rPr>
          <w:sz w:val="20"/>
          <w:szCs w:val="20"/>
          <w:color w:val="auto"/>
        </w:rPr>
      </w:pPr>
    </w:p>
    <w:p>
      <w:pPr>
        <w:ind w:left="360" w:hanging="352"/>
        <w:spacing w:after="0"/>
        <w:tabs>
          <w:tab w:leader="none" w:pos="360"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Leases</w:t>
      </w:r>
    </w:p>
    <w:p>
      <w:pPr>
        <w:spacing w:after="0" w:line="185"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We have operating leases for real estate, vehicles, and equipment. Our leases have remaining lease terms of 1 month to 12 years. Our lease agreements may include renewal or termination options for varying periods that are generally at our discretion. In our lease term, we only include those periods related to renewal options we are reasonably certain to exercise. However, we generally do not include these renewal options as we are not reasonably certain to renew at the lease commencement date. This determination is based on our consideration of certain economic, strategic and other factors that we evaluate at lease commencement date and reevaluate throughout the lease term. Some leases also include options to terminate the leases and we only include those periods beyond the termination date if we are reasonably certain not to exercise the termination option.</w:t>
      </w:r>
    </w:p>
    <w:p>
      <w:pPr>
        <w:spacing w:after="0" w:line="15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Some leasing arrangements require variable payments that are dependent on usage or may vary for other reasons, such as payments for insurance and tax payments. The variable portion of lease payments is not included in our ROU assets or lease liabilities. Rather, variable payments, other than those dependent upon an index or rate, are expensed when the obligation for those payments is incurred and are included in lease expenses recorded in selling and administrative expenses on the Consolidated Statements of Operations.</w:t>
      </w:r>
    </w:p>
    <w:p>
      <w:pPr>
        <w:spacing w:after="0" w:line="14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have lease agreements with both lease and non-lease components that are treated as a single lease component for all underlying asset classes. Accordingly, all expenses associated with a lease contract are accounted for as lease expenses.</w:t>
      </w:r>
    </w:p>
    <w:p>
      <w:pPr>
        <w:spacing w:after="0" w:line="13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have elected to apply the short-term lease exception for all underlying asset classes. That is, leases with a term of 12 months or less are not recognized on the balance sheet, but rather expensed on a straight-line basis over the lease term. We do not include significant restrictions or covenants in our lease agreements, and residual value guarantees are generally not included within our operating leases. As of September 30, 2019, we did not have any material additional operating leases that have not yet commenced.</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320" w:type="dxa"/>
            <w:vAlign w:val="bottom"/>
          </w:tcPr>
          <w:p>
            <w:pPr>
              <w:spacing w:after="0"/>
              <w:rPr>
                <w:sz w:val="20"/>
                <w:szCs w:val="20"/>
                <w:color w:val="auto"/>
              </w:rPr>
            </w:pPr>
            <w:r>
              <w:rPr>
                <w:rFonts w:ascii="Arial" w:cs="Arial" w:eastAsia="Arial" w:hAnsi="Arial"/>
                <w:sz w:val="18"/>
                <w:szCs w:val="18"/>
                <w:color w:val="auto"/>
              </w:rPr>
              <w:t>The components of lease expense were as follows:</w:t>
            </w:r>
          </w:p>
        </w:tc>
        <w:tc>
          <w:tcPr>
            <w:tcW w:w="2000" w:type="dxa"/>
            <w:vAlign w:val="bottom"/>
            <w:vMerge w:val="restart"/>
          </w:tcPr>
          <w:p>
            <w:pPr>
              <w:jc w:val="right"/>
              <w:ind w:right="99"/>
              <w:spacing w:after="0"/>
              <w:rPr>
                <w:sz w:val="20"/>
                <w:szCs w:val="20"/>
                <w:color w:val="auto"/>
              </w:rPr>
            </w:pPr>
            <w:r>
              <w:rPr>
                <w:rFonts w:ascii="Arial" w:cs="Arial" w:eastAsia="Arial" w:hAnsi="Arial"/>
                <w:sz w:val="18"/>
                <w:szCs w:val="18"/>
                <w:b w:val="1"/>
                <w:bCs w:val="1"/>
                <w:color w:val="auto"/>
              </w:rPr>
              <w:t>3 Months Ended</w:t>
            </w: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40" w:type="dxa"/>
            <w:vAlign w:val="bottom"/>
            <w:vMerge w:val="restart"/>
          </w:tcPr>
          <w:p>
            <w:pPr>
              <w:jc w:val="right"/>
              <w:ind w:right="590"/>
              <w:spacing w:after="0"/>
              <w:rPr>
                <w:sz w:val="20"/>
                <w:szCs w:val="20"/>
                <w:color w:val="auto"/>
              </w:rPr>
            </w:pPr>
            <w:r>
              <w:rPr>
                <w:rFonts w:ascii="Arial" w:cs="Arial" w:eastAsia="Arial" w:hAnsi="Arial"/>
                <w:sz w:val="18"/>
                <w:szCs w:val="18"/>
                <w:b w:val="1"/>
                <w:bCs w:val="1"/>
                <w:color w:val="auto"/>
              </w:rPr>
              <w:t>9 Months Ended</w:t>
            </w:r>
          </w:p>
        </w:tc>
        <w:tc>
          <w:tcPr>
            <w:tcW w:w="0" w:type="dxa"/>
            <w:vAlign w:val="bottom"/>
          </w:tcPr>
          <w:p>
            <w:pPr>
              <w:spacing w:after="0"/>
              <w:rPr>
                <w:sz w:val="1"/>
                <w:szCs w:val="1"/>
                <w:color w:val="auto"/>
              </w:rPr>
            </w:pPr>
          </w:p>
        </w:tc>
      </w:tr>
      <w:tr>
        <w:trPr>
          <w:trHeight w:val="225"/>
        </w:trPr>
        <w:tc>
          <w:tcPr>
            <w:tcW w:w="6320" w:type="dxa"/>
            <w:vAlign w:val="bottom"/>
          </w:tcPr>
          <w:p>
            <w:pPr>
              <w:spacing w:after="0"/>
              <w:rPr>
                <w:sz w:val="19"/>
                <w:szCs w:val="19"/>
                <w:color w:val="auto"/>
              </w:rPr>
            </w:pPr>
          </w:p>
        </w:tc>
        <w:tc>
          <w:tcPr>
            <w:tcW w:w="2000" w:type="dxa"/>
            <w:vAlign w:val="bottom"/>
            <w:vMerge w:val="continue"/>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320" w:type="dxa"/>
            <w:vAlign w:val="bottom"/>
            <w:tcBorders>
              <w:bottom w:val="single" w:sz="8" w:color="CFF0FC"/>
            </w:tcBorders>
          </w:tcPr>
          <w:p>
            <w:pPr>
              <w:spacing w:after="0"/>
              <w:rPr>
                <w:sz w:val="20"/>
                <w:szCs w:val="20"/>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September 30, 2019</w:t>
            </w:r>
          </w:p>
        </w:tc>
        <w:tc>
          <w:tcPr>
            <w:tcW w:w="500" w:type="dxa"/>
            <w:vAlign w:val="bottom"/>
            <w:tcBorders>
              <w:bottom w:val="single" w:sz="8" w:color="auto"/>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w w:val="98"/>
              </w:rPr>
              <w:t>September 30, 2019</w:t>
            </w:r>
          </w:p>
        </w:tc>
        <w:tc>
          <w:tcPr>
            <w:tcW w:w="0" w:type="dxa"/>
            <w:vAlign w:val="bottom"/>
          </w:tcPr>
          <w:p>
            <w:pPr>
              <w:spacing w:after="0"/>
              <w:rPr>
                <w:sz w:val="1"/>
                <w:szCs w:val="1"/>
                <w:color w:val="auto"/>
              </w:rPr>
            </w:pPr>
          </w:p>
        </w:tc>
      </w:tr>
      <w:tr>
        <w:trPr>
          <w:trHeight w:val="223"/>
        </w:trPr>
        <w:tc>
          <w:tcPr>
            <w:tcW w:w="632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expense</w:t>
            </w:r>
          </w:p>
        </w:tc>
        <w:tc>
          <w:tcPr>
            <w:tcW w:w="2000" w:type="dxa"/>
            <w:vAlign w:val="bottom"/>
            <w:shd w:val="clear" w:color="auto" w:fill="CFF0FC"/>
          </w:tcPr>
          <w:p>
            <w:pPr>
              <w:jc w:val="right"/>
              <w:ind w:right="1839"/>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36.4</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2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106.1</w:t>
            </w:r>
          </w:p>
        </w:tc>
        <w:tc>
          <w:tcPr>
            <w:tcW w:w="0" w:type="dxa"/>
            <w:vAlign w:val="bottom"/>
          </w:tcPr>
          <w:p>
            <w:pPr>
              <w:spacing w:after="0"/>
              <w:rPr>
                <w:sz w:val="1"/>
                <w:szCs w:val="1"/>
                <w:color w:val="auto"/>
              </w:rPr>
            </w:pPr>
          </w:p>
        </w:tc>
      </w:tr>
      <w:tr>
        <w:trPr>
          <w:trHeight w:val="230"/>
        </w:trPr>
        <w:tc>
          <w:tcPr>
            <w:tcW w:w="6320" w:type="dxa"/>
            <w:vAlign w:val="bottom"/>
          </w:tcPr>
          <w:p>
            <w:pPr>
              <w:spacing w:after="0"/>
              <w:rPr>
                <w:sz w:val="20"/>
                <w:szCs w:val="20"/>
                <w:color w:val="auto"/>
              </w:rPr>
            </w:pPr>
            <w:r>
              <w:rPr>
                <w:rFonts w:ascii="Arial" w:cs="Arial" w:eastAsia="Arial" w:hAnsi="Arial"/>
                <w:sz w:val="18"/>
                <w:szCs w:val="18"/>
                <w:color w:val="auto"/>
              </w:rPr>
              <w:t>Short-term lease expense</w:t>
            </w:r>
          </w:p>
        </w:tc>
        <w:tc>
          <w:tcPr>
            <w:tcW w:w="2000" w:type="dxa"/>
            <w:vAlign w:val="bottom"/>
          </w:tcPr>
          <w:p>
            <w:pPr>
              <w:spacing w:after="0"/>
              <w:rPr>
                <w:sz w:val="19"/>
                <w:szCs w:val="19"/>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3.5</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40" w:type="dxa"/>
            <w:vAlign w:val="bottom"/>
          </w:tcPr>
          <w:p>
            <w:pPr>
              <w:jc w:val="right"/>
              <w:ind w:right="30"/>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30"/>
        </w:trPr>
        <w:tc>
          <w:tcPr>
            <w:tcW w:w="6320" w:type="dxa"/>
            <w:vAlign w:val="bottom"/>
            <w:shd w:val="clear" w:color="auto" w:fill="CFF0FC"/>
          </w:tcPr>
          <w:p>
            <w:pPr>
              <w:spacing w:after="0"/>
              <w:rPr>
                <w:sz w:val="20"/>
                <w:szCs w:val="20"/>
                <w:color w:val="auto"/>
              </w:rPr>
            </w:pPr>
            <w:r>
              <w:rPr>
                <w:rFonts w:ascii="Arial" w:cs="Arial" w:eastAsia="Arial" w:hAnsi="Arial"/>
                <w:sz w:val="18"/>
                <w:szCs w:val="18"/>
                <w:color w:val="auto"/>
              </w:rPr>
              <w:t>Other lease expense</w:t>
            </w:r>
            <w:r>
              <w:rPr>
                <w:rFonts w:ascii="Arial" w:cs="Arial" w:eastAsia="Arial" w:hAnsi="Arial"/>
                <w:sz w:val="15"/>
                <w:szCs w:val="15"/>
                <w:color w:val="auto"/>
              </w:rPr>
              <w:t>(1)</w:t>
            </w:r>
          </w:p>
        </w:tc>
        <w:tc>
          <w:tcPr>
            <w:tcW w:w="2000" w:type="dxa"/>
            <w:vAlign w:val="bottom"/>
            <w:tcBorders>
              <w:bottom w:val="single" w:sz="8" w:color="auto"/>
            </w:tcBorders>
            <w:shd w:val="clear" w:color="auto" w:fill="CFF0FC"/>
          </w:tcPr>
          <w:p>
            <w:pPr>
              <w:jc w:val="right"/>
              <w:ind w:right="1839"/>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2.6</w:t>
            </w:r>
          </w:p>
        </w:tc>
        <w:tc>
          <w:tcPr>
            <w:tcW w:w="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22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23"/>
        </w:trPr>
        <w:tc>
          <w:tcPr>
            <w:tcW w:w="6320" w:type="dxa"/>
            <w:vAlign w:val="bottom"/>
          </w:tcPr>
          <w:p>
            <w:pPr>
              <w:ind w:left="260"/>
              <w:spacing w:after="0"/>
              <w:rPr>
                <w:sz w:val="20"/>
                <w:szCs w:val="20"/>
                <w:color w:val="auto"/>
              </w:rPr>
            </w:pPr>
            <w:r>
              <w:rPr>
                <w:rFonts w:ascii="Arial" w:cs="Arial" w:eastAsia="Arial" w:hAnsi="Arial"/>
                <w:sz w:val="18"/>
                <w:szCs w:val="18"/>
                <w:color w:val="auto"/>
              </w:rPr>
              <w:t>Total lease expense</w:t>
            </w:r>
          </w:p>
        </w:tc>
        <w:tc>
          <w:tcPr>
            <w:tcW w:w="2000" w:type="dxa"/>
            <w:vAlign w:val="bottom"/>
            <w:tcBorders>
              <w:bottom w:val="single" w:sz="8" w:color="auto"/>
            </w:tcBorders>
          </w:tcPr>
          <w:p>
            <w:pPr>
              <w:jc w:val="right"/>
              <w:ind w:right="1839"/>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42.5</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2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134.2</w:t>
            </w: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ind w:right="4800" w:firstLine="8"/>
        <w:spacing w:after="0" w:line="481" w:lineRule="auto"/>
        <w:tabs>
          <w:tab w:leader="none" w:pos="473" w:val="left"/>
        </w:tabs>
        <w:numPr>
          <w:ilvl w:val="0"/>
          <w:numId w:val="19"/>
        </w:numPr>
        <w:rPr>
          <w:rFonts w:ascii="Arial" w:cs="Arial" w:eastAsia="Arial" w:hAnsi="Arial"/>
          <w:sz w:val="18"/>
          <w:szCs w:val="18"/>
          <w:color w:val="auto"/>
        </w:rPr>
      </w:pPr>
      <w:r>
        <w:rPr>
          <w:rFonts w:ascii="Arial" w:cs="Arial" w:eastAsia="Arial" w:hAnsi="Arial"/>
          <w:sz w:val="18"/>
          <w:szCs w:val="18"/>
          <w:color w:val="auto"/>
        </w:rPr>
        <w:t>Other lease expense includes immaterial variable lease expense and sublease income. Other information related to leases was as follows:</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742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00" w:type="dxa"/>
            <w:vAlign w:val="bottom"/>
          </w:tcPr>
          <w:p>
            <w:pPr>
              <w:jc w:val="right"/>
              <w:ind w:right="510"/>
              <w:spacing w:after="0"/>
              <w:rPr>
                <w:sz w:val="20"/>
                <w:szCs w:val="20"/>
                <w:color w:val="auto"/>
              </w:rPr>
            </w:pPr>
            <w:r>
              <w:rPr>
                <w:rFonts w:ascii="Arial" w:cs="Arial" w:eastAsia="Arial" w:hAnsi="Arial"/>
                <w:sz w:val="18"/>
                <w:szCs w:val="18"/>
                <w:b w:val="1"/>
                <w:bCs w:val="1"/>
                <w:color w:val="auto"/>
                <w:w w:val="92"/>
              </w:rPr>
              <w:t>9 Months Ended</w:t>
            </w:r>
          </w:p>
        </w:tc>
        <w:tc>
          <w:tcPr>
            <w:tcW w:w="0" w:type="dxa"/>
            <w:vAlign w:val="bottom"/>
          </w:tcPr>
          <w:p>
            <w:pPr>
              <w:spacing w:after="0"/>
              <w:rPr>
                <w:sz w:val="1"/>
                <w:szCs w:val="1"/>
                <w:color w:val="auto"/>
              </w:rPr>
            </w:pPr>
          </w:p>
        </w:tc>
      </w:tr>
      <w:tr>
        <w:trPr>
          <w:trHeight w:val="234"/>
        </w:trPr>
        <w:tc>
          <w:tcPr>
            <w:tcW w:w="7440" w:type="dxa"/>
            <w:vAlign w:val="bottom"/>
            <w:gridSpan w:val="2"/>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1940" w:type="dxa"/>
            <w:vAlign w:val="bottom"/>
          </w:tcPr>
          <w:p>
            <w:pPr>
              <w:spacing w:after="0"/>
              <w:rPr>
                <w:sz w:val="20"/>
                <w:szCs w:val="20"/>
                <w:color w:val="auto"/>
              </w:rPr>
            </w:pPr>
          </w:p>
        </w:tc>
        <w:tc>
          <w:tcPr>
            <w:tcW w:w="2040" w:type="dxa"/>
            <w:vAlign w:val="bottom"/>
            <w:gridSpan w:val="2"/>
          </w:tcPr>
          <w:p>
            <w:pPr>
              <w:jc w:val="right"/>
              <w:ind w:right="390"/>
              <w:spacing w:after="0"/>
              <w:rPr>
                <w:sz w:val="20"/>
                <w:szCs w:val="20"/>
                <w:color w:val="auto"/>
              </w:rPr>
            </w:pPr>
            <w:r>
              <w:rPr>
                <w:rFonts w:ascii="Arial" w:cs="Arial" w:eastAsia="Arial" w:hAnsi="Arial"/>
                <w:sz w:val="18"/>
                <w:szCs w:val="18"/>
                <w:b w:val="1"/>
                <w:bCs w:val="1"/>
                <w:color w:val="auto"/>
                <w:w w:val="91"/>
              </w:rPr>
              <w:t>September 30, 2019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20" w:type="dxa"/>
            <w:vAlign w:val="bottom"/>
            <w:shd w:val="clear" w:color="auto" w:fill="CFF0FC"/>
          </w:tcPr>
          <w:p>
            <w:pPr>
              <w:spacing w:after="0"/>
              <w:rPr>
                <w:sz w:val="20"/>
                <w:szCs w:val="20"/>
                <w:color w:val="auto"/>
              </w:rPr>
            </w:pPr>
            <w:r>
              <w:rPr>
                <w:rFonts w:ascii="Arial" w:cs="Arial" w:eastAsia="Arial" w:hAnsi="Arial"/>
                <w:sz w:val="18"/>
                <w:szCs w:val="18"/>
                <w:color w:val="auto"/>
              </w:rPr>
              <w:t>Cash paid for amounts included in the measurement of operating lease liabilities</w:t>
            </w:r>
          </w:p>
        </w:tc>
        <w:tc>
          <w:tcPr>
            <w:tcW w:w="194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9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109.7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Operating ROU assets obtained in exchange for lease obligations</w:t>
            </w:r>
          </w:p>
        </w:tc>
        <w:tc>
          <w:tcPr>
            <w:tcW w:w="1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00" w:type="dxa"/>
            <w:vAlign w:val="bottom"/>
          </w:tcPr>
          <w:p>
            <w:pPr>
              <w:jc w:val="right"/>
              <w:ind w:right="50"/>
              <w:spacing w:after="0"/>
              <w:rPr>
                <w:sz w:val="20"/>
                <w:szCs w:val="20"/>
                <w:color w:val="auto"/>
              </w:rPr>
            </w:pPr>
            <w:r>
              <w:rPr>
                <w:rFonts w:ascii="Arial" w:cs="Arial" w:eastAsia="Arial" w:hAnsi="Arial"/>
                <w:sz w:val="18"/>
                <w:szCs w:val="18"/>
                <w:color w:val="auto"/>
              </w:rPr>
              <w:t>88.8</w:t>
            </w:r>
          </w:p>
        </w:tc>
        <w:tc>
          <w:tcPr>
            <w:tcW w:w="0" w:type="dxa"/>
            <w:vAlign w:val="bottom"/>
          </w:tcPr>
          <w:p>
            <w:pPr>
              <w:spacing w:after="0"/>
              <w:rPr>
                <w:sz w:val="1"/>
                <w:szCs w:val="1"/>
                <w:color w:val="auto"/>
              </w:rPr>
            </w:pPr>
          </w:p>
        </w:tc>
      </w:tr>
      <w:tr>
        <w:trPr>
          <w:trHeight w:val="359"/>
        </w:trPr>
        <w:tc>
          <w:tcPr>
            <w:tcW w:w="2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00" w:type="dxa"/>
            <w:vAlign w:val="bottom"/>
          </w:tcPr>
          <w:p>
            <w:pPr>
              <w:jc w:val="right"/>
              <w:ind w:right="45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34"/>
        </w:trPr>
        <w:tc>
          <w:tcPr>
            <w:tcW w:w="7440" w:type="dxa"/>
            <w:vAlign w:val="bottom"/>
            <w:gridSpan w:val="2"/>
          </w:tcPr>
          <w:p>
            <w:pPr>
              <w:spacing w:after="0"/>
              <w:rPr>
                <w:sz w:val="20"/>
                <w:szCs w:val="20"/>
                <w:color w:val="auto"/>
              </w:rPr>
            </w:pPr>
            <w:r>
              <w:rPr>
                <w:rFonts w:ascii="Arial" w:cs="Arial" w:eastAsia="Arial" w:hAnsi="Arial"/>
                <w:sz w:val="18"/>
                <w:szCs w:val="18"/>
                <w:b w:val="1"/>
                <w:bCs w:val="1"/>
                <w:color w:val="auto"/>
              </w:rPr>
              <w:t>Supplemental Balance Sheet Information</w:t>
            </w:r>
          </w:p>
        </w:tc>
        <w:tc>
          <w:tcPr>
            <w:tcW w:w="19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23"/>
        </w:trPr>
        <w:tc>
          <w:tcPr>
            <w:tcW w:w="7440" w:type="dxa"/>
            <w:vAlign w:val="bottom"/>
            <w:gridSpan w:val="2"/>
          </w:tcPr>
          <w:p>
            <w:pPr>
              <w:spacing w:after="0"/>
              <w:rPr>
                <w:sz w:val="20"/>
                <w:szCs w:val="20"/>
                <w:color w:val="auto"/>
              </w:rPr>
            </w:pPr>
            <w:r>
              <w:rPr>
                <w:rFonts w:ascii="Arial" w:cs="Arial" w:eastAsia="Arial" w:hAnsi="Arial"/>
                <w:sz w:val="18"/>
                <w:szCs w:val="18"/>
                <w:b w:val="1"/>
                <w:bCs w:val="1"/>
                <w:color w:val="auto"/>
              </w:rPr>
              <w:t>Operating Leases</w:t>
            </w:r>
          </w:p>
        </w:tc>
        <w:tc>
          <w:tcPr>
            <w:tcW w:w="1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2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ROU assets</w:t>
            </w:r>
          </w:p>
        </w:tc>
        <w:tc>
          <w:tcPr>
            <w:tcW w:w="20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9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415.6</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42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9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42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liabilities - current</w:t>
            </w:r>
            <w:r>
              <w:rPr>
                <w:rFonts w:ascii="Arial" w:cs="Arial" w:eastAsia="Arial" w:hAnsi="Arial"/>
                <w:sz w:val="15"/>
                <w:szCs w:val="15"/>
                <w:color w:val="auto"/>
              </w:rPr>
              <w:t>(1)</w:t>
            </w:r>
          </w:p>
        </w:tc>
        <w:tc>
          <w:tcPr>
            <w:tcW w:w="20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9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103.5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Operating lease liabilities - long-term</w:t>
            </w:r>
          </w:p>
        </w:tc>
        <w:tc>
          <w:tcPr>
            <w:tcW w:w="19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314.1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 operating lease liabilities</w:t>
            </w:r>
          </w:p>
        </w:tc>
        <w:tc>
          <w:tcPr>
            <w:tcW w:w="19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90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417.6</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5620" w:right="3340" w:hanging="5612"/>
        <w:spacing w:after="0" w:line="684" w:lineRule="auto"/>
        <w:tabs>
          <w:tab w:leader="none" w:pos="477" w:val="left"/>
        </w:tabs>
        <w:numPr>
          <w:ilvl w:val="0"/>
          <w:numId w:val="20"/>
        </w:numPr>
        <w:rPr>
          <w:rFonts w:ascii="Arial" w:cs="Arial" w:eastAsia="Arial" w:hAnsi="Arial"/>
          <w:sz w:val="18"/>
          <w:szCs w:val="18"/>
          <w:color w:val="auto"/>
        </w:rPr>
      </w:pPr>
      <w:r>
        <w:rPr>
          <w:rFonts w:ascii="Arial" w:cs="Arial" w:eastAsia="Arial" w:hAnsi="Arial"/>
          <w:sz w:val="18"/>
          <w:szCs w:val="18"/>
          <w:color w:val="auto"/>
        </w:rPr>
        <w:t>Operating lease liabilities - current are included in accrued expenses on our Consolidated Balance Sheets.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-186055</wp:posOffset>
            </wp:positionV>
            <wp:extent cx="72720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34"/>
        </w:trPr>
        <w:tc>
          <w:tcPr>
            <w:tcW w:w="8940" w:type="dxa"/>
            <w:vAlign w:val="bottom"/>
            <w:gridSpan w:val="2"/>
          </w:tcPr>
          <w:p>
            <w:pPr>
              <w:spacing w:after="0"/>
              <w:rPr>
                <w:sz w:val="20"/>
                <w:szCs w:val="20"/>
                <w:color w:val="auto"/>
              </w:rPr>
            </w:pPr>
            <w:r>
              <w:rPr>
                <w:rFonts w:ascii="Arial" w:cs="Arial" w:eastAsia="Arial" w:hAnsi="Arial"/>
                <w:sz w:val="18"/>
                <w:szCs w:val="18"/>
                <w:b w:val="1"/>
                <w:bCs w:val="1"/>
                <w:color w:val="auto"/>
              </w:rPr>
              <w:t>Weighted Average Remaining Lease Term</w:t>
            </w:r>
          </w:p>
        </w:tc>
        <w:tc>
          <w:tcPr>
            <w:tcW w:w="30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Operating leases</w:t>
            </w:r>
          </w:p>
        </w:tc>
        <w:tc>
          <w:tcPr>
            <w:tcW w:w="300" w:type="dxa"/>
            <w:vAlign w:val="bottom"/>
            <w:shd w:val="clear" w:color="auto" w:fill="CFF0FC"/>
          </w:tcPr>
          <w:p>
            <w:pPr>
              <w:spacing w:after="0"/>
              <w:rPr>
                <w:sz w:val="19"/>
                <w:szCs w:val="19"/>
                <w:color w:val="auto"/>
              </w:rPr>
            </w:pPr>
          </w:p>
        </w:tc>
        <w:tc>
          <w:tcPr>
            <w:tcW w:w="21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5.7 years</w:t>
            </w:r>
          </w:p>
        </w:tc>
        <w:tc>
          <w:tcPr>
            <w:tcW w:w="0" w:type="dxa"/>
            <w:vAlign w:val="bottom"/>
          </w:tcPr>
          <w:p>
            <w:pPr>
              <w:spacing w:after="0"/>
              <w:rPr>
                <w:sz w:val="1"/>
                <w:szCs w:val="1"/>
                <w:color w:val="auto"/>
              </w:rPr>
            </w:pPr>
          </w:p>
        </w:tc>
      </w:tr>
      <w:tr>
        <w:trPr>
          <w:trHeight w:val="230"/>
        </w:trPr>
        <w:tc>
          <w:tcPr>
            <w:tcW w:w="8940" w:type="dxa"/>
            <w:vAlign w:val="bottom"/>
            <w:gridSpan w:val="2"/>
          </w:tcPr>
          <w:p>
            <w:pPr>
              <w:spacing w:after="0"/>
              <w:rPr>
                <w:sz w:val="20"/>
                <w:szCs w:val="20"/>
                <w:color w:val="auto"/>
              </w:rPr>
            </w:pPr>
            <w:r>
              <w:rPr>
                <w:rFonts w:ascii="Arial" w:cs="Arial" w:eastAsia="Arial" w:hAnsi="Arial"/>
                <w:sz w:val="18"/>
                <w:szCs w:val="18"/>
                <w:b w:val="1"/>
                <w:bCs w:val="1"/>
                <w:color w:val="auto"/>
              </w:rPr>
              <w:t>Weighted Average Discount Rate</w:t>
            </w:r>
          </w:p>
        </w:tc>
        <w:tc>
          <w:tcPr>
            <w:tcW w:w="30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Operating leases</w:t>
            </w:r>
          </w:p>
        </w:tc>
        <w:tc>
          <w:tcPr>
            <w:tcW w:w="300" w:type="dxa"/>
            <w:vAlign w:val="bottom"/>
            <w:shd w:val="clear" w:color="auto" w:fill="CFF0FC"/>
          </w:tcPr>
          <w:p>
            <w:pPr>
              <w:spacing w:after="0"/>
              <w:rPr>
                <w:sz w:val="19"/>
                <w:szCs w:val="19"/>
                <w:color w:val="auto"/>
              </w:rPr>
            </w:pPr>
          </w:p>
        </w:tc>
        <w:tc>
          <w:tcPr>
            <w:tcW w:w="2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485"/>
        </w:trPr>
        <w:tc>
          <w:tcPr>
            <w:tcW w:w="8940" w:type="dxa"/>
            <w:vAlign w:val="bottom"/>
            <w:gridSpan w:val="2"/>
          </w:tcPr>
          <w:p>
            <w:pPr>
              <w:spacing w:after="0"/>
              <w:rPr>
                <w:sz w:val="20"/>
                <w:szCs w:val="20"/>
                <w:color w:val="auto"/>
              </w:rPr>
            </w:pPr>
            <w:r>
              <w:rPr>
                <w:rFonts w:ascii="Arial" w:cs="Arial" w:eastAsia="Arial" w:hAnsi="Arial"/>
                <w:sz w:val="18"/>
                <w:szCs w:val="18"/>
                <w:color w:val="auto"/>
              </w:rPr>
              <w:t>Maturities of operating lease liabilities as of September 30, 2019 were as follows:</w:t>
            </w:r>
          </w:p>
        </w:tc>
        <w:tc>
          <w:tcPr>
            <w:tcW w:w="3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9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(In millions)</w:t>
            </w:r>
          </w:p>
        </w:tc>
        <w:tc>
          <w:tcPr>
            <w:tcW w:w="30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940" w:type="dxa"/>
            <w:vAlign w:val="bottom"/>
            <w:gridSpan w:val="2"/>
          </w:tcPr>
          <w:p>
            <w:pPr>
              <w:spacing w:after="0"/>
              <w:rPr>
                <w:sz w:val="20"/>
                <w:szCs w:val="20"/>
                <w:color w:val="auto"/>
              </w:rPr>
            </w:pPr>
            <w:r>
              <w:rPr>
                <w:rFonts w:ascii="Arial" w:cs="Arial" w:eastAsia="Arial" w:hAnsi="Arial"/>
                <w:sz w:val="18"/>
                <w:szCs w:val="18"/>
                <w:b w:val="1"/>
                <w:bCs w:val="1"/>
                <w:color w:val="auto"/>
              </w:rPr>
              <w:t>Period Ending September 30, 2019</w:t>
            </w:r>
          </w:p>
        </w:tc>
        <w:tc>
          <w:tcPr>
            <w:tcW w:w="300" w:type="dxa"/>
            <w:vAlign w:val="bottom"/>
          </w:tcPr>
          <w:p>
            <w:pPr>
              <w:spacing w:after="0"/>
              <w:rPr>
                <w:sz w:val="19"/>
                <w:szCs w:val="19"/>
                <w:color w:val="auto"/>
              </w:rPr>
            </w:pPr>
          </w:p>
        </w:tc>
        <w:tc>
          <w:tcPr>
            <w:tcW w:w="2180" w:type="dxa"/>
            <w:vAlign w:val="bottom"/>
          </w:tcPr>
          <w:p>
            <w:pPr>
              <w:jc w:val="right"/>
              <w:ind w:right="550"/>
              <w:spacing w:after="0"/>
              <w:rPr>
                <w:sz w:val="20"/>
                <w:szCs w:val="20"/>
                <w:color w:val="auto"/>
              </w:rPr>
            </w:pPr>
            <w:r>
              <w:rPr>
                <w:rFonts w:ascii="Arial" w:cs="Arial" w:eastAsia="Arial" w:hAnsi="Arial"/>
                <w:sz w:val="18"/>
                <w:szCs w:val="18"/>
                <w:b w:val="1"/>
                <w:bCs w:val="1"/>
                <w:color w:val="auto"/>
              </w:rPr>
              <w:t>Operating Leases</w:t>
            </w:r>
          </w:p>
        </w:tc>
        <w:tc>
          <w:tcPr>
            <w:tcW w:w="0" w:type="dxa"/>
            <w:vAlign w:val="bottom"/>
          </w:tcPr>
          <w:p>
            <w:pPr>
              <w:spacing w:after="0"/>
              <w:rPr>
                <w:sz w:val="1"/>
                <w:szCs w:val="1"/>
                <w:color w:val="auto"/>
              </w:rPr>
            </w:pPr>
          </w:p>
        </w:tc>
      </w:tr>
      <w:tr>
        <w:trPr>
          <w:trHeight w:val="230"/>
        </w:trPr>
        <w:tc>
          <w:tcPr>
            <w:tcW w:w="420" w:type="dxa"/>
            <w:vAlign w:val="bottom"/>
            <w:shd w:val="clear" w:color="auto" w:fill="CFF0FC"/>
          </w:tcPr>
          <w:p>
            <w:pPr>
              <w:spacing w:after="0"/>
              <w:rPr>
                <w:sz w:val="20"/>
                <w:szCs w:val="20"/>
                <w:color w:val="auto"/>
              </w:rPr>
            </w:pPr>
            <w:r>
              <w:rPr>
                <w:rFonts w:ascii="Arial" w:cs="Arial" w:eastAsia="Arial" w:hAnsi="Arial"/>
                <w:sz w:val="18"/>
                <w:szCs w:val="18"/>
                <w:color w:val="auto"/>
                <w:w w:val="99"/>
              </w:rPr>
              <w:t>2019</w:t>
            </w:r>
          </w:p>
        </w:tc>
        <w:tc>
          <w:tcPr>
            <w:tcW w:w="8520" w:type="dxa"/>
            <w:vAlign w:val="bottom"/>
            <w:shd w:val="clear" w:color="auto" w:fill="CFF0FC"/>
          </w:tcPr>
          <w:p>
            <w:pPr>
              <w:ind w:left="40"/>
              <w:spacing w:after="0"/>
              <w:rPr>
                <w:sz w:val="20"/>
                <w:szCs w:val="20"/>
                <w:color w:val="auto"/>
              </w:rPr>
            </w:pPr>
            <w:r>
              <w:rPr>
                <w:rFonts w:ascii="Arial" w:cs="Arial" w:eastAsia="Arial" w:hAnsi="Arial"/>
                <w:sz w:val="18"/>
                <w:szCs w:val="18"/>
                <w:color w:val="auto"/>
              </w:rPr>
              <w:t>(excluding the nine months ended September 30, 2019)</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21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30"/>
        </w:trPr>
        <w:tc>
          <w:tcPr>
            <w:tcW w:w="420" w:type="dxa"/>
            <w:vAlign w:val="bottom"/>
          </w:tcPr>
          <w:p>
            <w:pPr>
              <w:spacing w:after="0"/>
              <w:rPr>
                <w:sz w:val="20"/>
                <w:szCs w:val="20"/>
                <w:color w:val="auto"/>
              </w:rPr>
            </w:pPr>
            <w:r>
              <w:rPr>
                <w:rFonts w:ascii="Arial" w:cs="Arial" w:eastAsia="Arial" w:hAnsi="Arial"/>
                <w:sz w:val="18"/>
                <w:szCs w:val="18"/>
                <w:color w:val="auto"/>
                <w:w w:val="99"/>
              </w:rPr>
              <w:t>2020</w:t>
            </w:r>
          </w:p>
        </w:tc>
        <w:tc>
          <w:tcPr>
            <w:tcW w:w="8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180" w:type="dxa"/>
            <w:vAlign w:val="bottom"/>
          </w:tcPr>
          <w:p>
            <w:pPr>
              <w:jc w:val="right"/>
              <w:ind w:right="50"/>
              <w:spacing w:after="0"/>
              <w:rPr>
                <w:sz w:val="20"/>
                <w:szCs w:val="20"/>
                <w:color w:val="auto"/>
              </w:rPr>
            </w:pPr>
            <w:r>
              <w:rPr>
                <w:rFonts w:ascii="Arial" w:cs="Arial" w:eastAsia="Arial" w:hAnsi="Arial"/>
                <w:sz w:val="18"/>
                <w:szCs w:val="18"/>
                <w:color w:val="auto"/>
              </w:rPr>
              <w:t>116.5</w:t>
            </w:r>
          </w:p>
        </w:tc>
        <w:tc>
          <w:tcPr>
            <w:tcW w:w="0" w:type="dxa"/>
            <w:vAlign w:val="bottom"/>
          </w:tcPr>
          <w:p>
            <w:pPr>
              <w:spacing w:after="0"/>
              <w:rPr>
                <w:sz w:val="1"/>
                <w:szCs w:val="1"/>
                <w:color w:val="auto"/>
              </w:rPr>
            </w:pPr>
          </w:p>
        </w:tc>
      </w:tr>
      <w:tr>
        <w:trPr>
          <w:trHeight w:val="230"/>
        </w:trPr>
        <w:tc>
          <w:tcPr>
            <w:tcW w:w="420" w:type="dxa"/>
            <w:vAlign w:val="bottom"/>
            <w:shd w:val="clear" w:color="auto" w:fill="CFF0FC"/>
          </w:tcPr>
          <w:p>
            <w:pPr>
              <w:spacing w:after="0"/>
              <w:rPr>
                <w:sz w:val="20"/>
                <w:szCs w:val="20"/>
                <w:color w:val="auto"/>
              </w:rPr>
            </w:pPr>
            <w:r>
              <w:rPr>
                <w:rFonts w:ascii="Arial" w:cs="Arial" w:eastAsia="Arial" w:hAnsi="Arial"/>
                <w:sz w:val="18"/>
                <w:szCs w:val="18"/>
                <w:color w:val="auto"/>
                <w:w w:val="99"/>
              </w:rPr>
              <w:t>2021</w:t>
            </w:r>
          </w:p>
        </w:tc>
        <w:tc>
          <w:tcPr>
            <w:tcW w:w="85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1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89.5</w:t>
            </w:r>
          </w:p>
        </w:tc>
        <w:tc>
          <w:tcPr>
            <w:tcW w:w="0" w:type="dxa"/>
            <w:vAlign w:val="bottom"/>
          </w:tcPr>
          <w:p>
            <w:pPr>
              <w:spacing w:after="0"/>
              <w:rPr>
                <w:sz w:val="1"/>
                <w:szCs w:val="1"/>
                <w:color w:val="auto"/>
              </w:rPr>
            </w:pPr>
          </w:p>
        </w:tc>
      </w:tr>
      <w:tr>
        <w:trPr>
          <w:trHeight w:val="230"/>
        </w:trPr>
        <w:tc>
          <w:tcPr>
            <w:tcW w:w="420" w:type="dxa"/>
            <w:vAlign w:val="bottom"/>
          </w:tcPr>
          <w:p>
            <w:pPr>
              <w:spacing w:after="0"/>
              <w:rPr>
                <w:sz w:val="20"/>
                <w:szCs w:val="20"/>
                <w:color w:val="auto"/>
              </w:rPr>
            </w:pPr>
            <w:r>
              <w:rPr>
                <w:rFonts w:ascii="Arial" w:cs="Arial" w:eastAsia="Arial" w:hAnsi="Arial"/>
                <w:sz w:val="18"/>
                <w:szCs w:val="18"/>
                <w:color w:val="auto"/>
                <w:w w:val="99"/>
              </w:rPr>
              <w:t>2022</w:t>
            </w:r>
          </w:p>
        </w:tc>
        <w:tc>
          <w:tcPr>
            <w:tcW w:w="8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180" w:type="dxa"/>
            <w:vAlign w:val="bottom"/>
          </w:tcPr>
          <w:p>
            <w:pPr>
              <w:jc w:val="right"/>
              <w:ind w:right="50"/>
              <w:spacing w:after="0"/>
              <w:rPr>
                <w:sz w:val="20"/>
                <w:szCs w:val="20"/>
                <w:color w:val="auto"/>
              </w:rPr>
            </w:pPr>
            <w:r>
              <w:rPr>
                <w:rFonts w:ascii="Arial" w:cs="Arial" w:eastAsia="Arial" w:hAnsi="Arial"/>
                <w:sz w:val="18"/>
                <w:szCs w:val="18"/>
                <w:color w:val="auto"/>
              </w:rPr>
              <w:t>68.2</w:t>
            </w:r>
          </w:p>
        </w:tc>
        <w:tc>
          <w:tcPr>
            <w:tcW w:w="0" w:type="dxa"/>
            <w:vAlign w:val="bottom"/>
          </w:tcPr>
          <w:p>
            <w:pPr>
              <w:spacing w:after="0"/>
              <w:rPr>
                <w:sz w:val="1"/>
                <w:szCs w:val="1"/>
                <w:color w:val="auto"/>
              </w:rPr>
            </w:pPr>
          </w:p>
        </w:tc>
      </w:tr>
      <w:tr>
        <w:trPr>
          <w:trHeight w:val="230"/>
        </w:trPr>
        <w:tc>
          <w:tcPr>
            <w:tcW w:w="420" w:type="dxa"/>
            <w:vAlign w:val="bottom"/>
            <w:shd w:val="clear" w:color="auto" w:fill="CFF0FC"/>
          </w:tcPr>
          <w:p>
            <w:pPr>
              <w:spacing w:after="0"/>
              <w:rPr>
                <w:sz w:val="20"/>
                <w:szCs w:val="20"/>
                <w:color w:val="auto"/>
              </w:rPr>
            </w:pPr>
            <w:r>
              <w:rPr>
                <w:rFonts w:ascii="Arial" w:cs="Arial" w:eastAsia="Arial" w:hAnsi="Arial"/>
                <w:sz w:val="18"/>
                <w:szCs w:val="18"/>
                <w:color w:val="auto"/>
                <w:w w:val="99"/>
              </w:rPr>
              <w:t>2023</w:t>
            </w:r>
          </w:p>
        </w:tc>
        <w:tc>
          <w:tcPr>
            <w:tcW w:w="85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1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46.5</w:t>
            </w:r>
          </w:p>
        </w:tc>
        <w:tc>
          <w:tcPr>
            <w:tcW w:w="0" w:type="dxa"/>
            <w:vAlign w:val="bottom"/>
          </w:tcPr>
          <w:p>
            <w:pPr>
              <w:spacing w:after="0"/>
              <w:rPr>
                <w:sz w:val="1"/>
                <w:szCs w:val="1"/>
                <w:color w:val="auto"/>
              </w:rPr>
            </w:pPr>
          </w:p>
        </w:tc>
      </w:tr>
      <w:tr>
        <w:trPr>
          <w:trHeight w:val="230"/>
        </w:trPr>
        <w:tc>
          <w:tcPr>
            <w:tcW w:w="420" w:type="dxa"/>
            <w:vAlign w:val="bottom"/>
          </w:tcPr>
          <w:p>
            <w:pPr>
              <w:spacing w:after="0"/>
              <w:rPr>
                <w:sz w:val="20"/>
                <w:szCs w:val="20"/>
                <w:color w:val="auto"/>
              </w:rPr>
            </w:pPr>
            <w:r>
              <w:rPr>
                <w:rFonts w:ascii="Arial" w:cs="Arial" w:eastAsia="Arial" w:hAnsi="Arial"/>
                <w:sz w:val="18"/>
                <w:szCs w:val="18"/>
                <w:color w:val="auto"/>
                <w:w w:val="99"/>
              </w:rPr>
              <w:t>2024</w:t>
            </w:r>
          </w:p>
        </w:tc>
        <w:tc>
          <w:tcPr>
            <w:tcW w:w="8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180" w:type="dxa"/>
            <w:vAlign w:val="bottom"/>
          </w:tcPr>
          <w:p>
            <w:pPr>
              <w:jc w:val="right"/>
              <w:ind w:right="50"/>
              <w:spacing w:after="0"/>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r>
        <w:trPr>
          <w:trHeight w:val="230"/>
        </w:trPr>
        <w:tc>
          <w:tcPr>
            <w:tcW w:w="8940" w:type="dxa"/>
            <w:vAlign w:val="bottom"/>
            <w:tcBorders>
              <w:bottom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rPr>
              <w:t>Thereafter</w:t>
            </w:r>
          </w:p>
        </w:tc>
        <w:tc>
          <w:tcPr>
            <w:tcW w:w="300" w:type="dxa"/>
            <w:vAlign w:val="bottom"/>
            <w:tcBorders>
              <w:bottom w:val="single" w:sz="8" w:color="auto"/>
            </w:tcBorders>
            <w:shd w:val="clear" w:color="auto" w:fill="CFF0FC"/>
          </w:tcPr>
          <w:p>
            <w:pPr>
              <w:spacing w:after="0"/>
              <w:rPr>
                <w:sz w:val="19"/>
                <w:szCs w:val="19"/>
                <w:color w:val="auto"/>
              </w:rPr>
            </w:pPr>
          </w:p>
        </w:tc>
        <w:tc>
          <w:tcPr>
            <w:tcW w:w="218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82.7</w:t>
            </w:r>
          </w:p>
        </w:tc>
        <w:tc>
          <w:tcPr>
            <w:tcW w:w="0" w:type="dxa"/>
            <w:vAlign w:val="bottom"/>
          </w:tcPr>
          <w:p>
            <w:pPr>
              <w:spacing w:after="0"/>
              <w:rPr>
                <w:sz w:val="1"/>
                <w:szCs w:val="1"/>
                <w:color w:val="auto"/>
              </w:rPr>
            </w:pPr>
          </w:p>
        </w:tc>
      </w:tr>
      <w:tr>
        <w:trPr>
          <w:trHeight w:val="223"/>
        </w:trPr>
        <w:tc>
          <w:tcPr>
            <w:tcW w:w="8940" w:type="dxa"/>
            <w:vAlign w:val="bottom"/>
            <w:gridSpan w:val="2"/>
          </w:tcPr>
          <w:p>
            <w:pPr>
              <w:ind w:left="260"/>
              <w:spacing w:after="0"/>
              <w:rPr>
                <w:sz w:val="20"/>
                <w:szCs w:val="20"/>
                <w:color w:val="auto"/>
              </w:rPr>
            </w:pPr>
            <w:r>
              <w:rPr>
                <w:rFonts w:ascii="Arial" w:cs="Arial" w:eastAsia="Arial" w:hAnsi="Arial"/>
                <w:sz w:val="18"/>
                <w:szCs w:val="18"/>
                <w:color w:val="auto"/>
              </w:rPr>
              <w:t>Total future undiscounted lease payments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2180" w:type="dxa"/>
            <w:vAlign w:val="bottom"/>
          </w:tcPr>
          <w:p>
            <w:pPr>
              <w:jc w:val="right"/>
              <w:ind w:right="50"/>
              <w:spacing w:after="0"/>
              <w:rPr>
                <w:sz w:val="20"/>
                <w:szCs w:val="20"/>
                <w:color w:val="auto"/>
              </w:rPr>
            </w:pPr>
            <w:r>
              <w:rPr>
                <w:rFonts w:ascii="Arial" w:cs="Arial" w:eastAsia="Arial" w:hAnsi="Arial"/>
                <w:sz w:val="18"/>
                <w:szCs w:val="18"/>
                <w:color w:val="auto"/>
              </w:rPr>
              <w:t>461.3</w:t>
            </w:r>
          </w:p>
        </w:tc>
        <w:tc>
          <w:tcPr>
            <w:tcW w:w="0" w:type="dxa"/>
            <w:vAlign w:val="bottom"/>
          </w:tcPr>
          <w:p>
            <w:pPr>
              <w:spacing w:after="0"/>
              <w:rPr>
                <w:sz w:val="1"/>
                <w:szCs w:val="1"/>
                <w:color w:val="auto"/>
              </w:rPr>
            </w:pPr>
          </w:p>
        </w:tc>
      </w:tr>
      <w:tr>
        <w:trPr>
          <w:trHeight w:val="230"/>
        </w:trPr>
        <w:tc>
          <w:tcPr>
            <w:tcW w:w="420" w:type="dxa"/>
            <w:vAlign w:val="bottom"/>
            <w:tcBorders>
              <w:bottom w:val="single" w:sz="8" w:color="auto"/>
            </w:tcBorders>
            <w:shd w:val="clear" w:color="auto" w:fill="CFF0FC"/>
          </w:tcPr>
          <w:p>
            <w:pPr>
              <w:spacing w:after="0"/>
              <w:rPr>
                <w:sz w:val="19"/>
                <w:szCs w:val="19"/>
                <w:color w:val="auto"/>
              </w:rPr>
            </w:pPr>
          </w:p>
        </w:tc>
        <w:tc>
          <w:tcPr>
            <w:tcW w:w="8520" w:type="dxa"/>
            <w:vAlign w:val="bottom"/>
            <w:tcBorders>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rPr>
              <w:t>Less imputed interest</w:t>
            </w: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2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(43.7)</w:t>
            </w:r>
          </w:p>
        </w:tc>
        <w:tc>
          <w:tcPr>
            <w:tcW w:w="0" w:type="dxa"/>
            <w:vAlign w:val="bottom"/>
          </w:tcPr>
          <w:p>
            <w:pPr>
              <w:spacing w:after="0"/>
              <w:rPr>
                <w:sz w:val="1"/>
                <w:szCs w:val="1"/>
                <w:color w:val="auto"/>
              </w:rPr>
            </w:pPr>
          </w:p>
        </w:tc>
      </w:tr>
      <w:tr>
        <w:trPr>
          <w:trHeight w:val="223"/>
        </w:trPr>
        <w:tc>
          <w:tcPr>
            <w:tcW w:w="8940" w:type="dxa"/>
            <w:vAlign w:val="bottom"/>
            <w:gridSpan w:val="2"/>
          </w:tcPr>
          <w:p>
            <w:pPr>
              <w:ind w:left="260"/>
              <w:spacing w:after="0"/>
              <w:rPr>
                <w:sz w:val="20"/>
                <w:szCs w:val="20"/>
                <w:color w:val="auto"/>
              </w:rPr>
            </w:pPr>
            <w:r>
              <w:rPr>
                <w:rFonts w:ascii="Arial" w:cs="Arial" w:eastAsia="Arial" w:hAnsi="Arial"/>
                <w:sz w:val="18"/>
                <w:szCs w:val="18"/>
                <w:color w:val="auto"/>
              </w:rPr>
              <w:t>Total operating lease liabilities</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21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417.6</w:t>
            </w:r>
          </w:p>
        </w:tc>
        <w:tc>
          <w:tcPr>
            <w:tcW w:w="0" w:type="dxa"/>
            <w:vAlign w:val="bottom"/>
          </w:tcPr>
          <w:p>
            <w:pPr>
              <w:spacing w:after="0"/>
              <w:rPr>
                <w:sz w:val="1"/>
                <w:szCs w:val="1"/>
                <w:color w:val="auto"/>
              </w:rPr>
            </w:pPr>
          </w:p>
        </w:tc>
      </w:tr>
      <w:tr>
        <w:trPr>
          <w:trHeight w:val="20"/>
        </w:trPr>
        <w:tc>
          <w:tcPr>
            <w:tcW w:w="8940" w:type="dxa"/>
            <w:vAlign w:val="bottom"/>
            <w:gridSpan w:val="2"/>
            <w:vMerge w:val="restart"/>
          </w:tcPr>
          <w:p>
            <w:pPr>
              <w:spacing w:after="0"/>
              <w:rPr>
                <w:sz w:val="20"/>
                <w:szCs w:val="20"/>
                <w:color w:val="auto"/>
              </w:rPr>
            </w:pPr>
            <w:r>
              <w:rPr>
                <w:rFonts w:ascii="Arial" w:cs="Arial" w:eastAsia="Arial" w:hAnsi="Arial"/>
                <w:sz w:val="18"/>
                <w:szCs w:val="18"/>
                <w:color w:val="auto"/>
              </w:rPr>
              <w:t>Maturities of operating leases accounted for under ASC 840 as of December 31, 2018 were as follows:</w:t>
            </w:r>
          </w:p>
        </w:tc>
        <w:tc>
          <w:tcPr>
            <w:tcW w:w="30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894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89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(In millions)</w:t>
            </w:r>
          </w:p>
        </w:tc>
        <w:tc>
          <w:tcPr>
            <w:tcW w:w="30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8940" w:type="dxa"/>
            <w:vAlign w:val="bottom"/>
            <w:gridSpan w:val="2"/>
          </w:tcPr>
          <w:p>
            <w:pPr>
              <w:spacing w:after="0"/>
              <w:rPr>
                <w:sz w:val="20"/>
                <w:szCs w:val="20"/>
                <w:color w:val="auto"/>
              </w:rPr>
            </w:pPr>
            <w:r>
              <w:rPr>
                <w:rFonts w:ascii="Arial" w:cs="Arial" w:eastAsia="Arial" w:hAnsi="Arial"/>
                <w:sz w:val="18"/>
                <w:szCs w:val="18"/>
                <w:b w:val="1"/>
                <w:bCs w:val="1"/>
                <w:color w:val="auto"/>
              </w:rPr>
              <w:t>Period Ending December 31, 2018</w:t>
            </w:r>
          </w:p>
        </w:tc>
        <w:tc>
          <w:tcPr>
            <w:tcW w:w="300" w:type="dxa"/>
            <w:vAlign w:val="bottom"/>
          </w:tcPr>
          <w:p>
            <w:pPr>
              <w:spacing w:after="0"/>
              <w:rPr>
                <w:sz w:val="19"/>
                <w:szCs w:val="19"/>
                <w:color w:val="auto"/>
              </w:rPr>
            </w:pPr>
          </w:p>
        </w:tc>
        <w:tc>
          <w:tcPr>
            <w:tcW w:w="2180" w:type="dxa"/>
            <w:vAlign w:val="bottom"/>
          </w:tcPr>
          <w:p>
            <w:pPr>
              <w:jc w:val="right"/>
              <w:ind w:right="550"/>
              <w:spacing w:after="0"/>
              <w:rPr>
                <w:sz w:val="20"/>
                <w:szCs w:val="20"/>
                <w:color w:val="auto"/>
              </w:rPr>
            </w:pPr>
            <w:r>
              <w:rPr>
                <w:rFonts w:ascii="Arial" w:cs="Arial" w:eastAsia="Arial" w:hAnsi="Arial"/>
                <w:sz w:val="18"/>
                <w:szCs w:val="18"/>
                <w:b w:val="1"/>
                <w:bCs w:val="1"/>
                <w:color w:val="auto"/>
              </w:rPr>
              <w:t>Operating Leases</w:t>
            </w:r>
          </w:p>
        </w:tc>
        <w:tc>
          <w:tcPr>
            <w:tcW w:w="0" w:type="dxa"/>
            <w:vAlign w:val="bottom"/>
          </w:tcPr>
          <w:p>
            <w:pPr>
              <w:spacing w:after="0"/>
              <w:rPr>
                <w:sz w:val="1"/>
                <w:szCs w:val="1"/>
                <w:color w:val="auto"/>
              </w:rPr>
            </w:pPr>
          </w:p>
        </w:tc>
      </w:tr>
      <w:tr>
        <w:trPr>
          <w:trHeight w:val="230"/>
        </w:trPr>
        <w:tc>
          <w:tcPr>
            <w:tcW w:w="420" w:type="dxa"/>
            <w:vAlign w:val="bottom"/>
            <w:shd w:val="clear" w:color="auto" w:fill="CFF0FC"/>
          </w:tcPr>
          <w:p>
            <w:pPr>
              <w:spacing w:after="0"/>
              <w:rPr>
                <w:sz w:val="20"/>
                <w:szCs w:val="20"/>
                <w:color w:val="auto"/>
              </w:rPr>
            </w:pPr>
            <w:r>
              <w:rPr>
                <w:rFonts w:ascii="Arial" w:cs="Arial" w:eastAsia="Arial" w:hAnsi="Arial"/>
                <w:sz w:val="18"/>
                <w:szCs w:val="18"/>
                <w:color w:val="auto"/>
                <w:w w:val="99"/>
              </w:rPr>
              <w:t>2019</w:t>
            </w:r>
          </w:p>
        </w:tc>
        <w:tc>
          <w:tcPr>
            <w:tcW w:w="852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21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151.4</w:t>
            </w:r>
          </w:p>
        </w:tc>
        <w:tc>
          <w:tcPr>
            <w:tcW w:w="0" w:type="dxa"/>
            <w:vAlign w:val="bottom"/>
          </w:tcPr>
          <w:p>
            <w:pPr>
              <w:spacing w:after="0"/>
              <w:rPr>
                <w:sz w:val="1"/>
                <w:szCs w:val="1"/>
                <w:color w:val="auto"/>
              </w:rPr>
            </w:pPr>
          </w:p>
        </w:tc>
      </w:tr>
      <w:tr>
        <w:trPr>
          <w:trHeight w:val="230"/>
        </w:trPr>
        <w:tc>
          <w:tcPr>
            <w:tcW w:w="420" w:type="dxa"/>
            <w:vAlign w:val="bottom"/>
          </w:tcPr>
          <w:p>
            <w:pPr>
              <w:spacing w:after="0"/>
              <w:rPr>
                <w:sz w:val="20"/>
                <w:szCs w:val="20"/>
                <w:color w:val="auto"/>
              </w:rPr>
            </w:pPr>
            <w:r>
              <w:rPr>
                <w:rFonts w:ascii="Arial" w:cs="Arial" w:eastAsia="Arial" w:hAnsi="Arial"/>
                <w:sz w:val="18"/>
                <w:szCs w:val="18"/>
                <w:color w:val="auto"/>
                <w:w w:val="99"/>
              </w:rPr>
              <w:t>2020</w:t>
            </w:r>
          </w:p>
        </w:tc>
        <w:tc>
          <w:tcPr>
            <w:tcW w:w="8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180" w:type="dxa"/>
            <w:vAlign w:val="bottom"/>
          </w:tcPr>
          <w:p>
            <w:pPr>
              <w:jc w:val="right"/>
              <w:ind w:right="50"/>
              <w:spacing w:after="0"/>
              <w:rPr>
                <w:sz w:val="20"/>
                <w:szCs w:val="20"/>
                <w:color w:val="auto"/>
              </w:rPr>
            </w:pPr>
            <w:r>
              <w:rPr>
                <w:rFonts w:ascii="Arial" w:cs="Arial" w:eastAsia="Arial" w:hAnsi="Arial"/>
                <w:sz w:val="18"/>
                <w:szCs w:val="18"/>
                <w:color w:val="auto"/>
              </w:rPr>
              <w:t>115.2</w:t>
            </w:r>
          </w:p>
        </w:tc>
        <w:tc>
          <w:tcPr>
            <w:tcW w:w="0" w:type="dxa"/>
            <w:vAlign w:val="bottom"/>
          </w:tcPr>
          <w:p>
            <w:pPr>
              <w:spacing w:after="0"/>
              <w:rPr>
                <w:sz w:val="1"/>
                <w:szCs w:val="1"/>
                <w:color w:val="auto"/>
              </w:rPr>
            </w:pPr>
          </w:p>
        </w:tc>
      </w:tr>
      <w:tr>
        <w:trPr>
          <w:trHeight w:val="230"/>
        </w:trPr>
        <w:tc>
          <w:tcPr>
            <w:tcW w:w="420" w:type="dxa"/>
            <w:vAlign w:val="bottom"/>
            <w:shd w:val="clear" w:color="auto" w:fill="CFF0FC"/>
          </w:tcPr>
          <w:p>
            <w:pPr>
              <w:spacing w:after="0"/>
              <w:rPr>
                <w:sz w:val="20"/>
                <w:szCs w:val="20"/>
                <w:color w:val="auto"/>
              </w:rPr>
            </w:pPr>
            <w:r>
              <w:rPr>
                <w:rFonts w:ascii="Arial" w:cs="Arial" w:eastAsia="Arial" w:hAnsi="Arial"/>
                <w:sz w:val="18"/>
                <w:szCs w:val="18"/>
                <w:color w:val="auto"/>
                <w:w w:val="99"/>
              </w:rPr>
              <w:t>2021</w:t>
            </w:r>
          </w:p>
        </w:tc>
        <w:tc>
          <w:tcPr>
            <w:tcW w:w="85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1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85.5</w:t>
            </w:r>
          </w:p>
        </w:tc>
        <w:tc>
          <w:tcPr>
            <w:tcW w:w="0" w:type="dxa"/>
            <w:vAlign w:val="bottom"/>
          </w:tcPr>
          <w:p>
            <w:pPr>
              <w:spacing w:after="0"/>
              <w:rPr>
                <w:sz w:val="1"/>
                <w:szCs w:val="1"/>
                <w:color w:val="auto"/>
              </w:rPr>
            </w:pPr>
          </w:p>
        </w:tc>
      </w:tr>
      <w:tr>
        <w:trPr>
          <w:trHeight w:val="230"/>
        </w:trPr>
        <w:tc>
          <w:tcPr>
            <w:tcW w:w="420" w:type="dxa"/>
            <w:vAlign w:val="bottom"/>
          </w:tcPr>
          <w:p>
            <w:pPr>
              <w:spacing w:after="0"/>
              <w:rPr>
                <w:sz w:val="20"/>
                <w:szCs w:val="20"/>
                <w:color w:val="auto"/>
              </w:rPr>
            </w:pPr>
            <w:r>
              <w:rPr>
                <w:rFonts w:ascii="Arial" w:cs="Arial" w:eastAsia="Arial" w:hAnsi="Arial"/>
                <w:sz w:val="18"/>
                <w:szCs w:val="18"/>
                <w:color w:val="auto"/>
                <w:w w:val="99"/>
              </w:rPr>
              <w:t>2022</w:t>
            </w:r>
          </w:p>
        </w:tc>
        <w:tc>
          <w:tcPr>
            <w:tcW w:w="8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180" w:type="dxa"/>
            <w:vAlign w:val="bottom"/>
          </w:tcPr>
          <w:p>
            <w:pPr>
              <w:jc w:val="right"/>
              <w:ind w:right="50"/>
              <w:spacing w:after="0"/>
              <w:rPr>
                <w:sz w:val="20"/>
                <w:szCs w:val="20"/>
                <w:color w:val="auto"/>
              </w:rPr>
            </w:pPr>
            <w:r>
              <w:rPr>
                <w:rFonts w:ascii="Arial" w:cs="Arial" w:eastAsia="Arial" w:hAnsi="Arial"/>
                <w:sz w:val="18"/>
                <w:szCs w:val="18"/>
                <w:color w:val="auto"/>
              </w:rPr>
              <w:t>65.0</w:t>
            </w:r>
          </w:p>
        </w:tc>
        <w:tc>
          <w:tcPr>
            <w:tcW w:w="0" w:type="dxa"/>
            <w:vAlign w:val="bottom"/>
          </w:tcPr>
          <w:p>
            <w:pPr>
              <w:spacing w:after="0"/>
              <w:rPr>
                <w:sz w:val="1"/>
                <w:szCs w:val="1"/>
                <w:color w:val="auto"/>
              </w:rPr>
            </w:pPr>
          </w:p>
        </w:tc>
      </w:tr>
      <w:tr>
        <w:trPr>
          <w:trHeight w:val="230"/>
        </w:trPr>
        <w:tc>
          <w:tcPr>
            <w:tcW w:w="420" w:type="dxa"/>
            <w:vAlign w:val="bottom"/>
            <w:shd w:val="clear" w:color="auto" w:fill="CFF0FC"/>
          </w:tcPr>
          <w:p>
            <w:pPr>
              <w:spacing w:after="0"/>
              <w:rPr>
                <w:sz w:val="20"/>
                <w:szCs w:val="20"/>
                <w:color w:val="auto"/>
              </w:rPr>
            </w:pPr>
            <w:r>
              <w:rPr>
                <w:rFonts w:ascii="Arial" w:cs="Arial" w:eastAsia="Arial" w:hAnsi="Arial"/>
                <w:sz w:val="18"/>
                <w:szCs w:val="18"/>
                <w:color w:val="auto"/>
                <w:w w:val="99"/>
              </w:rPr>
              <w:t>2023</w:t>
            </w:r>
          </w:p>
        </w:tc>
        <w:tc>
          <w:tcPr>
            <w:tcW w:w="85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1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44.1</w:t>
            </w:r>
          </w:p>
        </w:tc>
        <w:tc>
          <w:tcPr>
            <w:tcW w:w="0" w:type="dxa"/>
            <w:vAlign w:val="bottom"/>
          </w:tcPr>
          <w:p>
            <w:pPr>
              <w:spacing w:after="0"/>
              <w:rPr>
                <w:sz w:val="1"/>
                <w:szCs w:val="1"/>
                <w:color w:val="auto"/>
              </w:rPr>
            </w:pPr>
          </w:p>
        </w:tc>
      </w:tr>
      <w:tr>
        <w:trPr>
          <w:trHeight w:val="230"/>
        </w:trPr>
        <w:tc>
          <w:tcPr>
            <w:tcW w:w="89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Thereafter</w:t>
            </w:r>
          </w:p>
        </w:tc>
        <w:tc>
          <w:tcPr>
            <w:tcW w:w="30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105.6</w:t>
            </w:r>
          </w:p>
        </w:tc>
        <w:tc>
          <w:tcPr>
            <w:tcW w:w="0" w:type="dxa"/>
            <w:vAlign w:val="bottom"/>
          </w:tcPr>
          <w:p>
            <w:pPr>
              <w:spacing w:after="0"/>
              <w:rPr>
                <w:sz w:val="1"/>
                <w:szCs w:val="1"/>
                <w:color w:val="auto"/>
              </w:rPr>
            </w:pPr>
          </w:p>
        </w:tc>
      </w:tr>
      <w:tr>
        <w:trPr>
          <w:trHeight w:val="223"/>
        </w:trPr>
        <w:tc>
          <w:tcPr>
            <w:tcW w:w="8940" w:type="dxa"/>
            <w:vAlign w:val="bottom"/>
            <w:tcBorders>
              <w:bottom w:val="single" w:sz="8" w:color="CFF0FC"/>
            </w:tcBorders>
            <w:gridSpan w:val="2"/>
            <w:shd w:val="clear" w:color="auto" w:fill="CFF0FC"/>
          </w:tcPr>
          <w:p>
            <w:pPr>
              <w:ind w:left="260"/>
              <w:spacing w:after="0"/>
              <w:rPr>
                <w:sz w:val="20"/>
                <w:szCs w:val="20"/>
                <w:color w:val="auto"/>
              </w:rPr>
            </w:pPr>
            <w:r>
              <w:rPr>
                <w:rFonts w:ascii="Arial" w:cs="Arial" w:eastAsia="Arial" w:hAnsi="Arial"/>
                <w:sz w:val="18"/>
                <w:szCs w:val="18"/>
                <w:color w:val="auto"/>
              </w:rPr>
              <w:t>Total minimum lease payments</w:t>
            </w: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218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566.8</w:t>
            </w: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85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left="360" w:hanging="352"/>
        <w:spacing w:after="0"/>
        <w:tabs>
          <w:tab w:leader="none" w:pos="360"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Segment Data</w:t>
      </w:r>
    </w:p>
    <w:p>
      <w:pPr>
        <w:spacing w:after="0" w:line="18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are organized and managed primarily on a geographic basis, with Right Management currently operating as a separate global business unit. Each country and business unit generally has its own distinct operations and management team, providing services under our global brands, and maintains its own financial reports. We have an executive sponsor for each global brand who is responsible for ensuring the integrity and consistency of delivery locally. Each operation reports directly or indirectly through a regional manager, to a member of executive management. Given this reporting structure, we operate using the following reporting segments: Americas, which includes United States and Other Americas; Southern Europe, which includes France, Italy and Other Southern Europe; Northern Europe; APME; and Right Management.</w:t>
      </w:r>
    </w:p>
    <w:p>
      <w:pPr>
        <w:spacing w:after="0" w:line="166"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Americas, Southern Europe, Northern Europe and APME segments derive a significant majority of their revenues from our staffing and interim services. The remaining revenues within these segments are derived from our outcome-based solutions and consulting services, permanent recruitment services and other services. The Right Management segment revenues are derived from outplacement and talent management services. Segment revenues represent sales to external clients. We provide services to a wide variety of clients, none of which individually comprise a significant portion of revenues for us as a whole. Due to the nature of our business, we generally do not have export sales.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51" w:right="2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6100" w:type="dxa"/>
            <w:vAlign w:val="bottom"/>
          </w:tcPr>
          <w:p>
            <w:pPr>
              <w:spacing w:after="0"/>
              <w:rPr>
                <w:sz w:val="19"/>
                <w:szCs w:val="19"/>
                <w:color w:val="auto"/>
              </w:rPr>
            </w:pPr>
          </w:p>
        </w:tc>
        <w:tc>
          <w:tcPr>
            <w:tcW w:w="2680" w:type="dxa"/>
            <w:vAlign w:val="bottom"/>
            <w:gridSpan w:val="6"/>
          </w:tcPr>
          <w:p>
            <w:pPr>
              <w:ind w:left="40"/>
              <w:spacing w:after="0"/>
              <w:rPr>
                <w:sz w:val="20"/>
                <w:szCs w:val="20"/>
                <w:color w:val="auto"/>
              </w:rPr>
            </w:pPr>
            <w:r>
              <w:rPr>
                <w:rFonts w:ascii="Arial" w:cs="Arial" w:eastAsia="Arial" w:hAnsi="Arial"/>
                <w:sz w:val="18"/>
                <w:szCs w:val="18"/>
                <w:b w:val="1"/>
                <w:bCs w:val="1"/>
                <w:color w:val="auto"/>
                <w:w w:val="98"/>
              </w:rPr>
              <w:t>3 Months Ended September 30,</w:t>
            </w:r>
          </w:p>
        </w:tc>
        <w:tc>
          <w:tcPr>
            <w:tcW w:w="2620" w:type="dxa"/>
            <w:vAlign w:val="bottom"/>
            <w:gridSpan w:val="6"/>
          </w:tcPr>
          <w:p>
            <w:pPr>
              <w:jc w:val="right"/>
              <w:ind w:right="70"/>
              <w:spacing w:after="0"/>
              <w:rPr>
                <w:sz w:val="20"/>
                <w:szCs w:val="20"/>
                <w:color w:val="auto"/>
              </w:rPr>
            </w:pPr>
            <w:r>
              <w:rPr>
                <w:rFonts w:ascii="Arial" w:cs="Arial" w:eastAsia="Arial" w:hAnsi="Arial"/>
                <w:sz w:val="18"/>
                <w:szCs w:val="18"/>
                <w:b w:val="1"/>
                <w:bCs w:val="1"/>
                <w:color w:val="auto"/>
                <w:w w:val="91"/>
              </w:rPr>
              <w:t>9 Months Ended September 30,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10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8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8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FF0FC"/>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00" w:type="dxa"/>
            <w:vAlign w:val="bottom"/>
            <w:shd w:val="clear" w:color="auto" w:fill="CFF0FC"/>
          </w:tcPr>
          <w:p>
            <w:pPr>
              <w:spacing w:after="0"/>
              <w:rPr>
                <w:sz w:val="20"/>
                <w:szCs w:val="20"/>
                <w:color w:val="auto"/>
              </w:rPr>
            </w:pPr>
            <w:r>
              <w:rPr>
                <w:rFonts w:ascii="Arial" w:cs="Arial" w:eastAsia="Arial" w:hAnsi="Arial"/>
                <w:sz w:val="18"/>
                <w:szCs w:val="18"/>
                <w:color w:val="auto"/>
              </w:rPr>
              <w:t>Revenues from services:</w:t>
            </w:r>
          </w:p>
        </w:tc>
        <w:tc>
          <w:tcPr>
            <w:tcW w:w="2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00" w:type="dxa"/>
            <w:vAlign w:val="bottom"/>
          </w:tcPr>
          <w:p>
            <w:pPr>
              <w:ind w:left="240"/>
              <w:spacing w:after="0"/>
              <w:rPr>
                <w:sz w:val="20"/>
                <w:szCs w:val="20"/>
                <w:color w:val="auto"/>
              </w:rPr>
            </w:pPr>
            <w:r>
              <w:rPr>
                <w:rFonts w:ascii="Arial" w:cs="Arial" w:eastAsia="Arial" w:hAnsi="Arial"/>
                <w:sz w:val="18"/>
                <w:szCs w:val="18"/>
                <w:color w:val="auto"/>
              </w:rPr>
              <w:t>Americas:</w:t>
            </w: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00" w:type="dxa"/>
            <w:vAlign w:val="bottom"/>
            <w:shd w:val="clear" w:color="auto" w:fill="CFF0FC"/>
          </w:tcPr>
          <w:p>
            <w:pPr>
              <w:ind w:left="480"/>
              <w:spacing w:after="0"/>
              <w:rPr>
                <w:sz w:val="20"/>
                <w:szCs w:val="20"/>
                <w:color w:val="auto"/>
              </w:rPr>
            </w:pPr>
            <w:r>
              <w:rPr>
                <w:rFonts w:ascii="Arial" w:cs="Arial" w:eastAsia="Arial" w:hAnsi="Arial"/>
                <w:sz w:val="18"/>
                <w:szCs w:val="18"/>
                <w:color w:val="auto"/>
              </w:rPr>
              <w:t>United States (a)</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645.7</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633.2</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1,880.2</w:t>
            </w:r>
          </w:p>
        </w:tc>
        <w:tc>
          <w:tcPr>
            <w:tcW w:w="10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110"/>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1,890.0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0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Other Americas</w:t>
            </w: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425.0</w:t>
            </w:r>
          </w:p>
        </w:tc>
        <w:tc>
          <w:tcPr>
            <w:tcW w:w="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406.8</w:t>
            </w:r>
          </w:p>
        </w:tc>
        <w:tc>
          <w:tcPr>
            <w:tcW w:w="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1,241.2</w:t>
            </w:r>
          </w:p>
        </w:tc>
        <w:tc>
          <w:tcPr>
            <w:tcW w:w="1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1,225.1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1,070.7</w:t>
            </w:r>
          </w:p>
        </w:tc>
        <w:tc>
          <w:tcPr>
            <w:tcW w:w="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1,040.0</w:t>
            </w:r>
          </w:p>
        </w:tc>
        <w:tc>
          <w:tcPr>
            <w:tcW w:w="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3,121.4</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3,115.1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00" w:type="dxa"/>
            <w:vAlign w:val="bottom"/>
          </w:tcPr>
          <w:p>
            <w:pPr>
              <w:ind w:left="240"/>
              <w:spacing w:after="0"/>
              <w:rPr>
                <w:sz w:val="20"/>
                <w:szCs w:val="20"/>
                <w:color w:val="auto"/>
              </w:rPr>
            </w:pPr>
            <w:r>
              <w:rPr>
                <w:rFonts w:ascii="Arial" w:cs="Arial" w:eastAsia="Arial" w:hAnsi="Arial"/>
                <w:sz w:val="18"/>
                <w:szCs w:val="18"/>
                <w:color w:val="auto"/>
              </w:rPr>
              <w:t>Southern Europe:</w:t>
            </w: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00" w:type="dxa"/>
            <w:vAlign w:val="bottom"/>
            <w:shd w:val="clear" w:color="auto" w:fill="CFF0FC"/>
          </w:tcPr>
          <w:p>
            <w:pPr>
              <w:ind w:left="480"/>
              <w:spacing w:after="0"/>
              <w:rPr>
                <w:sz w:val="20"/>
                <w:szCs w:val="20"/>
                <w:color w:val="auto"/>
              </w:rPr>
            </w:pPr>
            <w:r>
              <w:rPr>
                <w:rFonts w:ascii="Arial" w:cs="Arial" w:eastAsia="Arial" w:hAnsi="Arial"/>
                <w:sz w:val="18"/>
                <w:szCs w:val="18"/>
                <w:color w:val="auto"/>
              </w:rPr>
              <w:t>France</w:t>
            </w:r>
          </w:p>
        </w:tc>
        <w:tc>
          <w:tcPr>
            <w:tcW w:w="24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1,382.1</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1,460.6</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4,103.7</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4,397.1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00" w:type="dxa"/>
            <w:vAlign w:val="bottom"/>
          </w:tcPr>
          <w:p>
            <w:pPr>
              <w:ind w:left="480"/>
              <w:spacing w:after="0"/>
              <w:rPr>
                <w:sz w:val="20"/>
                <w:szCs w:val="20"/>
                <w:color w:val="auto"/>
              </w:rPr>
            </w:pPr>
            <w:r>
              <w:rPr>
                <w:rFonts w:ascii="Arial" w:cs="Arial" w:eastAsia="Arial" w:hAnsi="Arial"/>
                <w:sz w:val="18"/>
                <w:szCs w:val="18"/>
                <w:color w:val="auto"/>
              </w:rPr>
              <w:t>Italy</w:t>
            </w:r>
          </w:p>
        </w:tc>
        <w:tc>
          <w:tcPr>
            <w:tcW w:w="24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376.6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410.2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1,126.5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1,266.8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00" w:type="dxa"/>
            <w:vAlign w:val="bottom"/>
            <w:shd w:val="clear" w:color="auto" w:fill="CFF0FC"/>
          </w:tcPr>
          <w:p>
            <w:pPr>
              <w:ind w:left="480"/>
              <w:spacing w:after="0"/>
              <w:rPr>
                <w:sz w:val="20"/>
                <w:szCs w:val="20"/>
                <w:color w:val="auto"/>
              </w:rPr>
            </w:pPr>
            <w:r>
              <w:rPr>
                <w:rFonts w:ascii="Arial" w:cs="Arial" w:eastAsia="Arial" w:hAnsi="Arial"/>
                <w:sz w:val="18"/>
                <w:szCs w:val="18"/>
                <w:color w:val="auto"/>
              </w:rPr>
              <w:t>Other Southern Europe</w:t>
            </w:r>
          </w:p>
        </w:tc>
        <w:tc>
          <w:tcPr>
            <w:tcW w:w="24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592.9</w:t>
            </w:r>
          </w:p>
        </w:tc>
        <w:tc>
          <w:tcPr>
            <w:tcW w:w="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460.8</w:t>
            </w:r>
          </w:p>
        </w:tc>
        <w:tc>
          <w:tcPr>
            <w:tcW w:w="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1,610.8</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1,413.7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2,351.6</w:t>
            </w:r>
          </w:p>
        </w:tc>
        <w:tc>
          <w:tcPr>
            <w:tcW w:w="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2,331.6</w:t>
            </w:r>
          </w:p>
        </w:tc>
        <w:tc>
          <w:tcPr>
            <w:tcW w:w="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6,841.0</w:t>
            </w:r>
          </w:p>
        </w:tc>
        <w:tc>
          <w:tcPr>
            <w:tcW w:w="1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7,077.6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00" w:type="dxa"/>
            <w:vAlign w:val="bottom"/>
          </w:tcPr>
          <w:p>
            <w:pPr>
              <w:ind w:left="240"/>
              <w:spacing w:after="0"/>
              <w:rPr>
                <w:sz w:val="20"/>
                <w:szCs w:val="20"/>
                <w:color w:val="auto"/>
              </w:rPr>
            </w:pPr>
            <w:r>
              <w:rPr>
                <w:rFonts w:ascii="Arial" w:cs="Arial" w:eastAsia="Arial" w:hAnsi="Arial"/>
                <w:sz w:val="18"/>
                <w:szCs w:val="18"/>
                <w:color w:val="auto"/>
              </w:rPr>
              <w:t>Northern Europe</w:t>
            </w:r>
          </w:p>
        </w:tc>
        <w:tc>
          <w:tcPr>
            <w:tcW w:w="24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1,156.6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1,287.1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3,529.5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4,097.9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APME</w:t>
            </w:r>
          </w:p>
        </w:tc>
        <w:tc>
          <w:tcPr>
            <w:tcW w:w="24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621.9</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713.0</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2,030.7</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2,158.0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Right Management</w:t>
            </w: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48.1</w:t>
            </w:r>
          </w:p>
        </w:tc>
        <w:tc>
          <w:tcPr>
            <w:tcW w:w="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47.0</w:t>
            </w:r>
          </w:p>
        </w:tc>
        <w:tc>
          <w:tcPr>
            <w:tcW w:w="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144.3</w:t>
            </w:r>
          </w:p>
        </w:tc>
        <w:tc>
          <w:tcPr>
            <w:tcW w:w="1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149.4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0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Consolidated (b)</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5,248.9</w:t>
            </w:r>
          </w:p>
        </w:tc>
        <w:tc>
          <w:tcPr>
            <w:tcW w:w="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5,418.7</w:t>
            </w:r>
          </w:p>
        </w:tc>
        <w:tc>
          <w:tcPr>
            <w:tcW w:w="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15,666.9</w:t>
            </w:r>
          </w:p>
        </w:tc>
        <w:tc>
          <w:tcPr>
            <w:tcW w:w="10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16,598.0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6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100" w:type="dxa"/>
            <w:vAlign w:val="bottom"/>
            <w:shd w:val="clear" w:color="auto" w:fill="CFF0FC"/>
          </w:tcPr>
          <w:p>
            <w:pPr>
              <w:spacing w:after="0"/>
              <w:rPr>
                <w:sz w:val="20"/>
                <w:szCs w:val="20"/>
                <w:color w:val="auto"/>
              </w:rPr>
            </w:pPr>
            <w:r>
              <w:rPr>
                <w:rFonts w:ascii="Arial" w:cs="Arial" w:eastAsia="Arial" w:hAnsi="Arial"/>
                <w:sz w:val="18"/>
                <w:szCs w:val="18"/>
                <w:color w:val="auto"/>
              </w:rPr>
              <w:t>Operating unit profit: (c)</w:t>
            </w:r>
          </w:p>
        </w:tc>
        <w:tc>
          <w:tcPr>
            <w:tcW w:w="2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00" w:type="dxa"/>
            <w:vAlign w:val="bottom"/>
          </w:tcPr>
          <w:p>
            <w:pPr>
              <w:ind w:left="240"/>
              <w:spacing w:after="0"/>
              <w:rPr>
                <w:sz w:val="20"/>
                <w:szCs w:val="20"/>
                <w:color w:val="auto"/>
              </w:rPr>
            </w:pPr>
            <w:r>
              <w:rPr>
                <w:rFonts w:ascii="Arial" w:cs="Arial" w:eastAsia="Arial" w:hAnsi="Arial"/>
                <w:sz w:val="18"/>
                <w:szCs w:val="18"/>
                <w:color w:val="auto"/>
              </w:rPr>
              <w:t>Americas:</w:t>
            </w: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00" w:type="dxa"/>
            <w:vAlign w:val="bottom"/>
            <w:shd w:val="clear" w:color="auto" w:fill="CFF0FC"/>
          </w:tcPr>
          <w:p>
            <w:pPr>
              <w:ind w:left="480"/>
              <w:spacing w:after="0"/>
              <w:rPr>
                <w:sz w:val="20"/>
                <w:szCs w:val="20"/>
                <w:color w:val="auto"/>
              </w:rPr>
            </w:pPr>
            <w:r>
              <w:rPr>
                <w:rFonts w:ascii="Arial" w:cs="Arial" w:eastAsia="Arial" w:hAnsi="Arial"/>
                <w:sz w:val="18"/>
                <w:szCs w:val="18"/>
                <w:color w:val="auto"/>
              </w:rPr>
              <w:t>United States</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35.8</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33.2</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84.4</w:t>
            </w:r>
          </w:p>
        </w:tc>
        <w:tc>
          <w:tcPr>
            <w:tcW w:w="10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110"/>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98.1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0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Other Americas</w:t>
            </w: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18.9</w:t>
            </w:r>
          </w:p>
        </w:tc>
        <w:tc>
          <w:tcPr>
            <w:tcW w:w="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18.1</w:t>
            </w:r>
          </w:p>
        </w:tc>
        <w:tc>
          <w:tcPr>
            <w:tcW w:w="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51.0</w:t>
            </w:r>
          </w:p>
        </w:tc>
        <w:tc>
          <w:tcPr>
            <w:tcW w:w="1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52.8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54.7</w:t>
            </w:r>
          </w:p>
        </w:tc>
        <w:tc>
          <w:tcPr>
            <w:tcW w:w="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51.3</w:t>
            </w:r>
          </w:p>
        </w:tc>
        <w:tc>
          <w:tcPr>
            <w:tcW w:w="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135.4</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150.9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00" w:type="dxa"/>
            <w:vAlign w:val="bottom"/>
          </w:tcPr>
          <w:p>
            <w:pPr>
              <w:ind w:left="240"/>
              <w:spacing w:after="0"/>
              <w:rPr>
                <w:sz w:val="20"/>
                <w:szCs w:val="20"/>
                <w:color w:val="auto"/>
              </w:rPr>
            </w:pPr>
            <w:r>
              <w:rPr>
                <w:rFonts w:ascii="Arial" w:cs="Arial" w:eastAsia="Arial" w:hAnsi="Arial"/>
                <w:sz w:val="18"/>
                <w:szCs w:val="18"/>
                <w:color w:val="auto"/>
              </w:rPr>
              <w:t>Southern Europe:</w:t>
            </w: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00" w:type="dxa"/>
            <w:vAlign w:val="bottom"/>
            <w:shd w:val="clear" w:color="auto" w:fill="CFF0FC"/>
          </w:tcPr>
          <w:p>
            <w:pPr>
              <w:ind w:left="480"/>
              <w:spacing w:after="0"/>
              <w:rPr>
                <w:sz w:val="20"/>
                <w:szCs w:val="20"/>
                <w:color w:val="auto"/>
              </w:rPr>
            </w:pPr>
            <w:r>
              <w:rPr>
                <w:rFonts w:ascii="Arial" w:cs="Arial" w:eastAsia="Arial" w:hAnsi="Arial"/>
                <w:sz w:val="18"/>
                <w:szCs w:val="18"/>
                <w:color w:val="auto"/>
              </w:rPr>
              <w:t>France</w:t>
            </w:r>
          </w:p>
        </w:tc>
        <w:tc>
          <w:tcPr>
            <w:tcW w:w="24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70.4</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78.8</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201.6</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209.5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00" w:type="dxa"/>
            <w:vAlign w:val="bottom"/>
          </w:tcPr>
          <w:p>
            <w:pPr>
              <w:ind w:left="480"/>
              <w:spacing w:after="0"/>
              <w:rPr>
                <w:sz w:val="20"/>
                <w:szCs w:val="20"/>
                <w:color w:val="auto"/>
              </w:rPr>
            </w:pPr>
            <w:r>
              <w:rPr>
                <w:rFonts w:ascii="Arial" w:cs="Arial" w:eastAsia="Arial" w:hAnsi="Arial"/>
                <w:sz w:val="18"/>
                <w:szCs w:val="18"/>
                <w:color w:val="auto"/>
              </w:rPr>
              <w:t>Italy</w:t>
            </w:r>
          </w:p>
        </w:tc>
        <w:tc>
          <w:tcPr>
            <w:tcW w:w="24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23.3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25.7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73.5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82.8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00" w:type="dxa"/>
            <w:vAlign w:val="bottom"/>
            <w:shd w:val="clear" w:color="auto" w:fill="CFF0FC"/>
          </w:tcPr>
          <w:p>
            <w:pPr>
              <w:ind w:left="480"/>
              <w:spacing w:after="0"/>
              <w:rPr>
                <w:sz w:val="20"/>
                <w:szCs w:val="20"/>
                <w:color w:val="auto"/>
              </w:rPr>
            </w:pPr>
            <w:r>
              <w:rPr>
                <w:rFonts w:ascii="Arial" w:cs="Arial" w:eastAsia="Arial" w:hAnsi="Arial"/>
                <w:sz w:val="18"/>
                <w:szCs w:val="18"/>
                <w:color w:val="auto"/>
              </w:rPr>
              <w:t>Other Southern Europe</w:t>
            </w:r>
          </w:p>
        </w:tc>
        <w:tc>
          <w:tcPr>
            <w:tcW w:w="24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22.8</w:t>
            </w:r>
          </w:p>
        </w:tc>
        <w:tc>
          <w:tcPr>
            <w:tcW w:w="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17.1</w:t>
            </w:r>
          </w:p>
        </w:tc>
        <w:tc>
          <w:tcPr>
            <w:tcW w:w="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51.8</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48.7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116.5</w:t>
            </w:r>
          </w:p>
        </w:tc>
        <w:tc>
          <w:tcPr>
            <w:tcW w:w="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121.6</w:t>
            </w:r>
          </w:p>
        </w:tc>
        <w:tc>
          <w:tcPr>
            <w:tcW w:w="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326.9</w:t>
            </w:r>
          </w:p>
        </w:tc>
        <w:tc>
          <w:tcPr>
            <w:tcW w:w="1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341.0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00" w:type="dxa"/>
            <w:vAlign w:val="bottom"/>
          </w:tcPr>
          <w:p>
            <w:pPr>
              <w:ind w:left="240"/>
              <w:spacing w:after="0"/>
              <w:rPr>
                <w:sz w:val="20"/>
                <w:szCs w:val="20"/>
                <w:color w:val="auto"/>
              </w:rPr>
            </w:pPr>
            <w:r>
              <w:rPr>
                <w:rFonts w:ascii="Arial" w:cs="Arial" w:eastAsia="Arial" w:hAnsi="Arial"/>
                <w:sz w:val="18"/>
                <w:szCs w:val="18"/>
                <w:color w:val="auto"/>
              </w:rPr>
              <w:t>Northern Europe</w:t>
            </w:r>
          </w:p>
        </w:tc>
        <w:tc>
          <w:tcPr>
            <w:tcW w:w="24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21.4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40.5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46.3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81.8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APME (d)</w:t>
            </w:r>
          </w:p>
        </w:tc>
        <w:tc>
          <w:tcPr>
            <w:tcW w:w="24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53.3</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32.4</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101.5</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87.5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00" w:type="dxa"/>
            <w:vAlign w:val="bottom"/>
          </w:tcPr>
          <w:p>
            <w:pPr>
              <w:ind w:left="240"/>
              <w:spacing w:after="0"/>
              <w:rPr>
                <w:sz w:val="20"/>
                <w:szCs w:val="20"/>
                <w:color w:val="auto"/>
              </w:rPr>
            </w:pPr>
            <w:r>
              <w:rPr>
                <w:rFonts w:ascii="Arial" w:cs="Arial" w:eastAsia="Arial" w:hAnsi="Arial"/>
                <w:sz w:val="18"/>
                <w:szCs w:val="18"/>
                <w:color w:val="auto"/>
              </w:rPr>
              <w:t>Right Management</w:t>
            </w: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7.5</w:t>
            </w: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6.5</w:t>
            </w: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253.4</w:t>
            </w:r>
          </w:p>
        </w:tc>
        <w:tc>
          <w:tcPr>
            <w:tcW w:w="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252.3</w:t>
            </w:r>
          </w:p>
        </w:tc>
        <w:tc>
          <w:tcPr>
            <w:tcW w:w="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628.7</w:t>
            </w:r>
          </w:p>
        </w:tc>
        <w:tc>
          <w:tcPr>
            <w:tcW w:w="1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684.6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00" w:type="dxa"/>
            <w:vAlign w:val="bottom"/>
            <w:shd w:val="clear" w:color="auto" w:fill="CFF0FC"/>
          </w:tcPr>
          <w:p>
            <w:pPr>
              <w:spacing w:after="0"/>
              <w:rPr>
                <w:sz w:val="20"/>
                <w:szCs w:val="20"/>
                <w:color w:val="auto"/>
              </w:rPr>
            </w:pPr>
            <w:r>
              <w:rPr>
                <w:rFonts w:ascii="Arial" w:cs="Arial" w:eastAsia="Arial" w:hAnsi="Arial"/>
                <w:sz w:val="18"/>
                <w:szCs w:val="18"/>
                <w:color w:val="auto"/>
              </w:rPr>
              <w:t>Corporate expenses</w:t>
            </w:r>
          </w:p>
        </w:tc>
        <w:tc>
          <w:tcPr>
            <w:tcW w:w="2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(29.2)</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(26.3)</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(89.0)</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Goodwill impairment charge</w:t>
            </w:r>
          </w:p>
        </w:tc>
        <w:tc>
          <w:tcPr>
            <w:tcW w:w="24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(64.0)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00" w:type="dxa"/>
            <w:vAlign w:val="bottom"/>
            <w:shd w:val="clear" w:color="auto" w:fill="CFF0FC"/>
          </w:tcPr>
          <w:p>
            <w:pPr>
              <w:spacing w:after="0"/>
              <w:rPr>
                <w:sz w:val="20"/>
                <w:szCs w:val="20"/>
                <w:color w:val="auto"/>
              </w:rPr>
            </w:pPr>
            <w:r>
              <w:rPr>
                <w:rFonts w:ascii="Arial" w:cs="Arial" w:eastAsia="Arial" w:hAnsi="Arial"/>
                <w:sz w:val="18"/>
                <w:szCs w:val="18"/>
                <w:color w:val="auto"/>
              </w:rPr>
              <w:t>Intangible asset amortization expense</w:t>
            </w:r>
          </w:p>
        </w:tc>
        <w:tc>
          <w:tcPr>
            <w:tcW w:w="24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w:t>
            </w:r>
          </w:p>
        </w:tc>
        <w:tc>
          <w:tcPr>
            <w:tcW w:w="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w:t>
            </w:r>
          </w:p>
        </w:tc>
        <w:tc>
          <w:tcPr>
            <w:tcW w:w="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(22.4)</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00" w:type="dxa"/>
            <w:vAlign w:val="bottom"/>
          </w:tcPr>
          <w:p>
            <w:pPr>
              <w:ind w:left="360"/>
              <w:spacing w:after="0"/>
              <w:rPr>
                <w:sz w:val="20"/>
                <w:szCs w:val="20"/>
                <w:color w:val="auto"/>
              </w:rPr>
            </w:pPr>
            <w:r>
              <w:rPr>
                <w:rFonts w:ascii="Arial" w:cs="Arial" w:eastAsia="Arial" w:hAnsi="Arial"/>
                <w:sz w:val="18"/>
                <w:szCs w:val="18"/>
                <w:color w:val="auto"/>
              </w:rPr>
              <w:t>Operating profit</w:t>
            </w:r>
          </w:p>
        </w:tc>
        <w:tc>
          <w:tcPr>
            <w:tcW w:w="24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217.0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216.7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453.3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578.8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00" w:type="dxa"/>
            <w:vAlign w:val="bottom"/>
            <w:shd w:val="clear" w:color="auto" w:fill="CFF0FC"/>
          </w:tcPr>
          <w:p>
            <w:pPr>
              <w:spacing w:after="0"/>
              <w:rPr>
                <w:sz w:val="20"/>
                <w:szCs w:val="20"/>
                <w:color w:val="auto"/>
              </w:rPr>
            </w:pPr>
            <w:r>
              <w:rPr>
                <w:rFonts w:ascii="Arial" w:cs="Arial" w:eastAsia="Arial" w:hAnsi="Arial"/>
                <w:sz w:val="18"/>
                <w:szCs w:val="18"/>
                <w:color w:val="auto"/>
              </w:rPr>
              <w:t>Interest and other (expenses) income, net (e)</w:t>
            </w:r>
          </w:p>
        </w:tc>
        <w:tc>
          <w:tcPr>
            <w:tcW w:w="24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w:t>
            </w:r>
          </w:p>
        </w:tc>
        <w:tc>
          <w:tcPr>
            <w:tcW w:w="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w:t>
            </w:r>
          </w:p>
        </w:tc>
        <w:tc>
          <w:tcPr>
            <w:tcW w:w="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46.1</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00" w:type="dxa"/>
            <w:vAlign w:val="bottom"/>
          </w:tcPr>
          <w:p>
            <w:pPr>
              <w:ind w:left="360"/>
              <w:spacing w:after="0"/>
              <w:rPr>
                <w:sz w:val="20"/>
                <w:szCs w:val="20"/>
                <w:color w:val="auto"/>
              </w:rPr>
            </w:pPr>
            <w:r>
              <w:rPr>
                <w:rFonts w:ascii="Arial" w:cs="Arial" w:eastAsia="Arial" w:hAnsi="Arial"/>
                <w:sz w:val="18"/>
                <w:szCs w:val="18"/>
                <w:color w:val="auto"/>
              </w:rPr>
              <w:t>Earnings before income taxes</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204.8</w:t>
            </w: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204.9</w:t>
            </w: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499.4</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ind w:right="110"/>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540.4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ind w:left="460" w:right="40" w:hanging="452"/>
        <w:spacing w:after="0" w:line="279" w:lineRule="auto"/>
        <w:tabs>
          <w:tab w:leader="none" w:pos="4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In the United States, revenues from services included fees received from the related franchise offices of $3.5 and $3.7 for the three months ended September 30, 2019 and 2018, respectively, and $10.8 for both the nine months ended September 30, 2019 and 2018. These fees are primarily based on revenues generated by the franchise offices, which were $151.6 and $169.9 for the three months ended September 30, 2019 and 2018, respectively, and $462.8 and $485.6 for the nine months ended September 30, 2019 and 2018, respectively.</w:t>
      </w:r>
    </w:p>
    <w:p>
      <w:pPr>
        <w:spacing w:after="0" w:line="49" w:lineRule="exact"/>
        <w:rPr>
          <w:rFonts w:ascii="Arial" w:cs="Arial" w:eastAsia="Arial" w:hAnsi="Arial"/>
          <w:sz w:val="17"/>
          <w:szCs w:val="17"/>
          <w:color w:val="auto"/>
        </w:rPr>
      </w:pPr>
    </w:p>
    <w:p>
      <w:pPr>
        <w:ind w:left="460" w:right="20" w:hanging="452"/>
        <w:spacing w:after="0" w:line="279" w:lineRule="auto"/>
        <w:tabs>
          <w:tab w:leader="none" w:pos="4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Our consolidated revenues from services include fees received from our franchise offices of $4.3 and $6.2 for the three months ended September 30, 2019 and 2018, respectively, and $14.0 and $17.6 for the nine months ended September 30, 2019 and 2018, respectively. These fees are primarily based on revenues generated by the franchise offices, which were $274.0 and $278.7 for the three months ended September 30, 2019 and 2018, respectively, and $680.2 and $789.4 for the nine months ended September 30, 2019 and 2018, respectively.</w:t>
      </w:r>
    </w:p>
    <w:p>
      <w:pPr>
        <w:spacing w:after="0" w:line="49" w:lineRule="exact"/>
        <w:rPr>
          <w:rFonts w:ascii="Arial" w:cs="Arial" w:eastAsia="Arial" w:hAnsi="Arial"/>
          <w:sz w:val="17"/>
          <w:szCs w:val="17"/>
          <w:color w:val="auto"/>
        </w:rPr>
      </w:pPr>
    </w:p>
    <w:p>
      <w:pPr>
        <w:ind w:left="460" w:right="360" w:hanging="452"/>
        <w:spacing w:after="0" w:line="286" w:lineRule="auto"/>
        <w:tabs>
          <w:tab w:leader="none" w:pos="4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We evaluate segment performance based on operating unit profit (“OUP”), which is equal to segment revenues less cost of services and branch and national headquarters operating costs. This profit measure does not include goodwill and intangible asset impairment charges or amortization of intangibles related to acquisitions, corporate expenses, interest and other income and expense amounts or income taxes.</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51" w:right="239" w:bottom="1440" w:gutter="0" w:footer="0" w:header="0"/>
        </w:sectPr>
      </w:pPr>
    </w:p>
    <w:bookmarkStart w:id="24" w:name="page25"/>
    <w:bookmarkEnd w:id="24"/>
    <w:p>
      <w:pPr>
        <w:ind w:left="460" w:hanging="452"/>
        <w:spacing w:after="0" w:line="342" w:lineRule="auto"/>
        <w:tabs>
          <w:tab w:leader="none" w:pos="4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APME OUP includes a one-time non-cash gain of $30.4 for the three and nine months ended September 30, 2019, related to the deconsolidation of our ManpowerGroup Greater China Limited joint venture. See Note 5 to the Consolidated Financial Statements for further information.</w:t>
      </w:r>
    </w:p>
    <w:p>
      <w:pPr>
        <w:spacing w:after="0" w:line="2" w:lineRule="exact"/>
        <w:rPr>
          <w:rFonts w:ascii="Arial" w:cs="Arial" w:eastAsia="Arial" w:hAnsi="Arial"/>
          <w:sz w:val="16"/>
          <w:szCs w:val="16"/>
          <w:color w:val="auto"/>
        </w:rPr>
      </w:pPr>
    </w:p>
    <w:p>
      <w:pPr>
        <w:ind w:left="460" w:right="320" w:hanging="452"/>
        <w:spacing w:after="0" w:line="264" w:lineRule="auto"/>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Interest and other (expenses) income, net includes a one-time non-cash gain of $80.4 for the nine months ended September 30, 2019, related to the disposition of our previously held equity interest in Manpower Switzerland. See Note 5 to the Consolidated Financial Statements for further information.</w:t>
      </w:r>
    </w:p>
    <w:p>
      <w:pPr>
        <w:spacing w:after="0" w:line="235" w:lineRule="exact"/>
        <w:rPr>
          <w:sz w:val="20"/>
          <w:szCs w:val="20"/>
          <w:color w:val="auto"/>
        </w:rPr>
      </w:pPr>
    </w:p>
    <w:p>
      <w:pPr>
        <w:ind w:left="360" w:hanging="352"/>
        <w:spacing w:after="0"/>
        <w:tabs>
          <w:tab w:leader="none" w:pos="360"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Contingencies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w:t>
      </w:r>
    </w:p>
    <w:p>
      <w:pPr>
        <w:spacing w:after="0" w:line="185" w:lineRule="exact"/>
        <w:rPr>
          <w:sz w:val="20"/>
          <w:szCs w:val="20"/>
          <w:color w:val="auto"/>
        </w:rPr>
      </w:pPr>
    </w:p>
    <w:p>
      <w:pPr>
        <w:jc w:val="both"/>
        <w:ind w:right="60"/>
        <w:spacing w:after="0" w:line="279" w:lineRule="auto"/>
        <w:rPr>
          <w:sz w:val="20"/>
          <w:szCs w:val="20"/>
          <w:color w:val="auto"/>
        </w:rPr>
      </w:pPr>
      <w:r>
        <w:rPr>
          <w:rFonts w:ascii="Arial" w:cs="Arial" w:eastAsia="Arial" w:hAnsi="Arial"/>
          <w:sz w:val="17"/>
          <w:szCs w:val="17"/>
          <w:color w:val="auto"/>
        </w:rPr>
        <w:t>On April 26, 2017, the sellers of 7S, a company we acquired in 2015, formally disputed the contingent consideration related to the acquisition, claiming that they were owed an additional $23.7 (€20.8), plus interest. The dispute was submitted to an arbitration tribunal in Germany. On June 28, 2019, the arbitration forum handed down its decision, rejecting the claims brought by the 7S sellers. Finding in favor of ManpowerGroup, the arbitration tribunal confirmed that no further amounts are owed by us, and also awarded us reimbursement of legal fees and other costs.</w:t>
      </w:r>
    </w:p>
    <w:p>
      <w:pPr>
        <w:spacing w:after="0" w:line="17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40"/>
          </w:cols>
          <w:pgMar w:left="240" w:top="341" w:right="31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auto"/>
        </w:rPr>
        <w:t>Item 2 – Management’s Discussion and Analysis of Financial Condition and Results of Operations</w:t>
      </w:r>
    </w:p>
    <w:p>
      <w:pPr>
        <w:spacing w:after="0" w:line="185"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See the financial measures section on pages 37 and 38 for further information on the Non-GAAP financial measures of constant currency and organic constant currency.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Business Overview</w:t>
      </w:r>
    </w:p>
    <w:p>
      <w:pPr>
        <w:spacing w:after="0" w:line="185" w:lineRule="exact"/>
        <w:rPr>
          <w:sz w:val="20"/>
          <w:szCs w:val="20"/>
          <w:color w:val="auto"/>
        </w:rPr>
      </w:pPr>
    </w:p>
    <w:p>
      <w:pPr>
        <w:ind w:right="160"/>
        <w:spacing w:after="0" w:line="288" w:lineRule="auto"/>
        <w:rPr>
          <w:sz w:val="20"/>
          <w:szCs w:val="20"/>
          <w:color w:val="auto"/>
        </w:rPr>
      </w:pPr>
      <w:r>
        <w:rPr>
          <w:rFonts w:ascii="Arial" w:cs="Arial" w:eastAsia="Arial" w:hAnsi="Arial"/>
          <w:sz w:val="16"/>
          <w:szCs w:val="16"/>
          <w:color w:val="auto"/>
        </w:rPr>
        <w:t>Client demand for workforce solutions and services is dependent on the overall strength of the labor market and secular trends toward greater workforce flexibility within each of the segments where we operate. Improving economic growth typically results in increasing demand for labor, resulting in greater demand for our staffing services while demand for our outplacement services typically declines. During periods of increased demand, we are generally able to improve our profitability and operating leverage as our cost base can support some increase in business without a similar increase in selling and administrative expenses. By contrast, during periods of decreased demand, as we experienced in the third quarter of 2019 and in the first nine months of 2019, our operating profit is generally impacted unfavorably as we experience a deleveraging of selling and administrative expenses, which may not decline at the same pace as revenues. We continued to see significant variation across global labor markets during the third quarter, which is reflected in our results and evidenced by discussions with many of our clients, who note that they are impacted by increased volatility and uncertainty with expectations of slowing economic growth driven by trade-related uncertainty and slowing manufacturing activity, particularly in Europe. At the same time, clients in healthy labor markets are struggling to overcome a shortage of talent with the required skills.</w:t>
      </w:r>
    </w:p>
    <w:p>
      <w:pPr>
        <w:spacing w:after="0" w:line="12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During the third quarter of 2019, the United States dollar was stronger, on average, relative to the currencies in all of our markets than in the third quarter of 2018, having an unfavorable impact on our reported results. This strengthening was particularly pronounced against the Euro and British Pound. Our reported revenues from services decreased 3.1% in the third quarter of 2019 compared to the third quarter of 2018 and our reported operating profit increased 0.2%. These results were partly impacted by the relative weakness of other currencies against the United States dollar compared to the same period in 2018, and generally may understate the performance of our underlying business. The changes in the foreign currency exchange rates had a 3.4% unfavorable impact on revenues from services, a 3.1% unfavorable impact on operating profit, and an approximately $0.07 per share unfavorable impact on net earnings per share – diluted in the quarter. Substantially all of our subsidiaries derive revenues from services and incur expenses within the same currency and generally do not have cross-currency transactions, and therefore, changes in foreign currency exchange rates primarily impact reported earnings and not our actual cash flow unless earnings are repatriated. To understand the performance of our underlying business, we utilize constant currency or organic constant currency variances for our consolidated and segment results.</w:t>
      </w:r>
    </w:p>
    <w:p>
      <w:pPr>
        <w:spacing w:after="0" w:line="151"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During the three months ended September 30, 2019, our businesses did not experience significant changes in revenue trends from the previous quarter. The environment continued to be one of revenue declines in most of our markets, with slowing economic growth globally and continued tight labor markets in many countries, particularly Europe, that is overshadowing modest constant currency growth elsewhere. Our consolidated revenues were up 0.3% in constant currency in the quarter, an improvement from the 0.1% constant currency decline in the second quarter of 2019 due primarily to incremental growth in the United States and the United Kingdom, and improved trends in Spain and Italy. After adjusting for billing days, our organic constant currency revenue decrease was 0.5% compared to a 0.6% decrease in the second quarter of 2019. During the third quarter of 2019, several key markets within Southern and Northern Europe continued to experience revenue declines, partially offset by continued constant currency revenue increases in certain markets within the Americas and APME. After adjusting for billing days, we experienced a revenue decrease in organic constant currency in Southern Europe due to revenue declines in France and Italy, partially offset by organic constant currency revenue growth in certain markets within Other Southern Europe. The revenue decrease in Northern Europe was primarily due to the decreases in Germany, the Netherlands, and Sweden due mostly to reduced demand from the manufacturing sector in those markets. In the Americas, revenues increased 5.5% in constant currency due to increased demand for our staffing/interim services in certain markets within Other Americas and the increase in the United States driven by our Experis business. In APME, revenues increased 4.6% in organic constant currency primarily due to an increase in our Manpower staffing revenues. As of the date of this report, we expect that the uneven economic environment trend we saw during the third quarter will continue into the fourth quarter, with certain European labor markets and our European results being sluggish, and improving or flat organic constant currency results in markets within the Americas and APME.</w:t>
      </w:r>
    </w:p>
    <w:p>
      <w:pPr>
        <w:spacing w:after="0" w:line="12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Our gross profit margin in the third quarter of 2019 compared to 2018 decreased due to our higher-margin ManpowerGroup Solutions business, specifically our Talent Based Outsourcing business, comprising a lower percentage of our consolidated revenues in the third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6" w:name="page27"/>
    <w:bookmarkEnd w:id="26"/>
    <w:p>
      <w:pPr>
        <w:ind w:right="440"/>
        <w:spacing w:after="0" w:line="277" w:lineRule="auto"/>
        <w:rPr>
          <w:sz w:val="20"/>
          <w:szCs w:val="20"/>
          <w:color w:val="auto"/>
        </w:rPr>
      </w:pPr>
      <w:r>
        <w:rPr>
          <w:rFonts w:ascii="Arial" w:cs="Arial" w:eastAsia="Arial" w:hAnsi="Arial"/>
          <w:sz w:val="18"/>
          <w:szCs w:val="18"/>
          <w:color w:val="auto"/>
        </w:rPr>
        <w:t>quarter of 2019 compared to 2018, a decline in our staffing margin due to declines in most of our markets within Northern Europe, and a decrease in our permanent recruitment business.</w:t>
      </w:r>
    </w:p>
    <w:p>
      <w:pPr>
        <w:spacing w:after="0" w:line="143"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ManpowerGroup Greater China Limited, which operates in the Greater China region of China, Taiwan, Hong Kong, and Macau, completed its initial public offering (“IPO”) on the Hong Kong Stock Market on July 10, 2019, resulting in deconsolidation of the entity. As a result of this transaction, we recognized a non-cash accounting gain of $30.4 million (see further information in Note 5 of our Consolidated Financial Statements). ManpowerGroup Greater China Limited’s results through July 10, 2019, were included in our consolidated results for the third quarter and first nine months of 2019.</w:t>
      </w:r>
    </w:p>
    <w:p>
      <w:pPr>
        <w:spacing w:after="0" w:line="131"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Our operating profit increased 0.2% in the third quarter of 2019 (3.3% in constant currency; 5.6% in organic constant currency) while our operating profit margin increased 10 basis points compared to the third quarter of 2018. Excluding the gain from the deconsolidation of ManpowerGroup Greater China Limited recorded in the third quarter 2019 our operating profit was down 10.7% in constant currency while operating profit margin was down 40 basis points compared to the third quarter of 2018. We continue to monitor expenses closely to ensure we maintain the benefit of our efforts to optimize our organizational and cost structures, while investing appropriately to support the growth in the business and enhance our productivity, technology and digital capabilities.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Operating Results - Three Months Ended September 30, 2019 and 2018</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selected consolidated financial data for the three months ended September 30, 2019 as compared to 2018.</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5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ind w:left="220"/>
              <w:spacing w:after="0"/>
              <w:rPr>
                <w:sz w:val="20"/>
                <w:szCs w:val="20"/>
                <w:color w:val="auto"/>
              </w:rPr>
            </w:pPr>
            <w:r>
              <w:rPr>
                <w:rFonts w:ascii="Arial" w:cs="Arial" w:eastAsia="Arial" w:hAnsi="Arial"/>
                <w:sz w:val="18"/>
                <w:szCs w:val="18"/>
                <w:b w:val="1"/>
                <w:bCs w:val="1"/>
                <w:color w:val="auto"/>
              </w:rPr>
              <w:t>Constant</w:t>
            </w:r>
          </w:p>
        </w:tc>
        <w:tc>
          <w:tcPr>
            <w:tcW w:w="0" w:type="dxa"/>
            <w:vAlign w:val="bottom"/>
          </w:tcPr>
          <w:p>
            <w:pPr>
              <w:spacing w:after="0"/>
              <w:rPr>
                <w:sz w:val="1"/>
                <w:szCs w:val="1"/>
                <w:color w:val="auto"/>
              </w:rPr>
            </w:pPr>
          </w:p>
        </w:tc>
      </w:tr>
      <w:tr>
        <w:trPr>
          <w:trHeight w:val="216"/>
        </w:trPr>
        <w:tc>
          <w:tcPr>
            <w:tcW w:w="5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ind w:left="200"/>
              <w:spacing w:after="0"/>
              <w:rPr>
                <w:sz w:val="20"/>
                <w:szCs w:val="20"/>
                <w:color w:val="auto"/>
              </w:rPr>
            </w:pPr>
            <w:r>
              <w:rPr>
                <w:rFonts w:ascii="Arial" w:cs="Arial" w:eastAsia="Arial" w:hAnsi="Arial"/>
                <w:sz w:val="18"/>
                <w:szCs w:val="18"/>
                <w:b w:val="1"/>
                <w:bCs w:val="1"/>
                <w:color w:val="auto"/>
              </w:rPr>
              <w:t>Currency</w:t>
            </w:r>
          </w:p>
        </w:tc>
        <w:tc>
          <w:tcPr>
            <w:tcW w:w="0" w:type="dxa"/>
            <w:vAlign w:val="bottom"/>
          </w:tcPr>
          <w:p>
            <w:pPr>
              <w:spacing w:after="0"/>
              <w:rPr>
                <w:sz w:val="1"/>
                <w:szCs w:val="1"/>
                <w:color w:val="auto"/>
              </w:rPr>
            </w:pPr>
          </w:p>
        </w:tc>
      </w:tr>
      <w:tr>
        <w:trPr>
          <w:trHeight w:val="234"/>
        </w:trPr>
        <w:tc>
          <w:tcPr>
            <w:tcW w:w="56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millions, except per share data)</w:t>
            </w:r>
          </w:p>
        </w:tc>
        <w:tc>
          <w:tcPr>
            <w:tcW w:w="10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FF0FC"/>
            </w:tcBorders>
          </w:tcPr>
          <w:p>
            <w:pPr>
              <w:spacing w:after="0"/>
              <w:rPr>
                <w:sz w:val="20"/>
                <w:szCs w:val="20"/>
                <w:color w:val="auto"/>
              </w:rPr>
            </w:pPr>
          </w:p>
        </w:tc>
        <w:tc>
          <w:tcPr>
            <w:tcW w:w="13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Variance</w:t>
            </w:r>
          </w:p>
        </w:tc>
        <w:tc>
          <w:tcPr>
            <w:tcW w:w="120" w:type="dxa"/>
            <w:vAlign w:val="bottom"/>
            <w:tcBorders>
              <w:bottom w:val="single" w:sz="8" w:color="CFF0FC"/>
            </w:tcBorders>
          </w:tcPr>
          <w:p>
            <w:pPr>
              <w:spacing w:after="0"/>
              <w:rPr>
                <w:sz w:val="20"/>
                <w:szCs w:val="20"/>
                <w:color w:val="auto"/>
              </w:rPr>
            </w:pPr>
          </w:p>
        </w:tc>
        <w:tc>
          <w:tcPr>
            <w:tcW w:w="136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Variance</w:t>
            </w:r>
          </w:p>
        </w:tc>
        <w:tc>
          <w:tcPr>
            <w:tcW w:w="0" w:type="dxa"/>
            <w:vAlign w:val="bottom"/>
          </w:tcPr>
          <w:p>
            <w:pPr>
              <w:spacing w:after="0"/>
              <w:rPr>
                <w:sz w:val="1"/>
                <w:szCs w:val="1"/>
                <w:color w:val="auto"/>
              </w:rPr>
            </w:pPr>
          </w:p>
        </w:tc>
      </w:tr>
      <w:tr>
        <w:trPr>
          <w:trHeight w:val="223"/>
        </w:trPr>
        <w:tc>
          <w:tcPr>
            <w:tcW w:w="5600" w:type="dxa"/>
            <w:vAlign w:val="bottom"/>
            <w:shd w:val="clear" w:color="auto" w:fill="CFF0FC"/>
          </w:tcPr>
          <w:p>
            <w:pPr>
              <w:spacing w:after="0"/>
              <w:rPr>
                <w:sz w:val="20"/>
                <w:szCs w:val="20"/>
                <w:color w:val="auto"/>
              </w:rPr>
            </w:pPr>
            <w:r>
              <w:rPr>
                <w:rFonts w:ascii="Arial" w:cs="Arial" w:eastAsia="Arial" w:hAnsi="Arial"/>
                <w:sz w:val="18"/>
                <w:szCs w:val="18"/>
                <w:color w:val="auto"/>
              </w:rPr>
              <w:t>Revenues from services</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5,248.9</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5,418.7</w:t>
            </w:r>
          </w:p>
        </w:tc>
        <w:tc>
          <w:tcPr>
            <w:tcW w:w="14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(3.1)%</w:t>
            </w:r>
          </w:p>
        </w:tc>
        <w:tc>
          <w:tcPr>
            <w:tcW w:w="1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30"/>
        </w:trPr>
        <w:tc>
          <w:tcPr>
            <w:tcW w:w="56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services</w:t>
            </w:r>
          </w:p>
        </w:tc>
        <w:tc>
          <w:tcPr>
            <w:tcW w:w="1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4,408.6</w:t>
            </w:r>
          </w:p>
        </w:tc>
        <w:tc>
          <w:tcPr>
            <w:tcW w:w="1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4,528.1</w:t>
            </w:r>
          </w:p>
        </w:tc>
        <w:tc>
          <w:tcPr>
            <w:tcW w:w="1460" w:type="dxa"/>
            <w:vAlign w:val="bottom"/>
            <w:tcBorders>
              <w:bottom w:val="single" w:sz="8" w:color="CFF0FC"/>
            </w:tcBorders>
            <w:gridSpan w:val="2"/>
          </w:tcPr>
          <w:p>
            <w:pPr>
              <w:jc w:val="right"/>
              <w:spacing w:after="0"/>
              <w:rPr>
                <w:sz w:val="20"/>
                <w:szCs w:val="20"/>
                <w:color w:val="auto"/>
              </w:rPr>
            </w:pPr>
            <w:r>
              <w:rPr>
                <w:rFonts w:ascii="Arial" w:cs="Arial" w:eastAsia="Arial" w:hAnsi="Arial"/>
                <w:sz w:val="16"/>
                <w:szCs w:val="16"/>
                <w:color w:val="auto"/>
              </w:rPr>
              <w:t>(2.6)%</w:t>
            </w:r>
          </w:p>
        </w:tc>
        <w:tc>
          <w:tcPr>
            <w:tcW w:w="120" w:type="dxa"/>
            <w:vAlign w:val="bottom"/>
            <w:tcBorders>
              <w:bottom w:val="single" w:sz="8" w:color="CFF0FC"/>
            </w:tcBorders>
          </w:tcPr>
          <w:p>
            <w:pPr>
              <w:spacing w:after="0"/>
              <w:rPr>
                <w:sz w:val="19"/>
                <w:szCs w:val="19"/>
                <w:color w:val="auto"/>
              </w:rPr>
            </w:pPr>
          </w:p>
        </w:tc>
        <w:tc>
          <w:tcPr>
            <w:tcW w:w="136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0.9%</w:t>
            </w:r>
          </w:p>
        </w:tc>
        <w:tc>
          <w:tcPr>
            <w:tcW w:w="0" w:type="dxa"/>
            <w:vAlign w:val="bottom"/>
          </w:tcPr>
          <w:p>
            <w:pPr>
              <w:spacing w:after="0"/>
              <w:rPr>
                <w:sz w:val="1"/>
                <w:szCs w:val="1"/>
                <w:color w:val="auto"/>
              </w:rPr>
            </w:pPr>
          </w:p>
        </w:tc>
      </w:tr>
      <w:tr>
        <w:trPr>
          <w:trHeight w:val="223"/>
        </w:trPr>
        <w:tc>
          <w:tcPr>
            <w:tcW w:w="5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840.3</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890.6</w:t>
            </w:r>
          </w:p>
        </w:tc>
        <w:tc>
          <w:tcPr>
            <w:tcW w:w="14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(5.7)%</w:t>
            </w:r>
          </w:p>
        </w:tc>
        <w:tc>
          <w:tcPr>
            <w:tcW w:w="1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30"/>
        </w:trPr>
        <w:tc>
          <w:tcPr>
            <w:tcW w:w="5600" w:type="dxa"/>
            <w:vAlign w:val="bottom"/>
            <w:tcBorders>
              <w:bottom w:val="single" w:sz="8" w:color="CFF0FC"/>
            </w:tcBorders>
          </w:tcPr>
          <w:p>
            <w:pPr>
              <w:ind w:left="260"/>
              <w:spacing w:after="0"/>
              <w:rPr>
                <w:sz w:val="20"/>
                <w:szCs w:val="20"/>
                <w:color w:val="auto"/>
              </w:rPr>
            </w:pPr>
            <w:r>
              <w:rPr>
                <w:rFonts w:ascii="Arial" w:cs="Arial" w:eastAsia="Arial" w:hAnsi="Arial"/>
                <w:sz w:val="18"/>
                <w:szCs w:val="18"/>
                <w:i w:val="1"/>
                <w:iCs w:val="1"/>
                <w:color w:val="auto"/>
              </w:rPr>
              <w:t>Gross profit margin</w:t>
            </w:r>
          </w:p>
        </w:tc>
        <w:tc>
          <w:tcPr>
            <w:tcW w:w="1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16.0%</w:t>
            </w:r>
          </w:p>
        </w:tc>
        <w:tc>
          <w:tcPr>
            <w:tcW w:w="1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16.4%</w:t>
            </w:r>
          </w:p>
        </w:tc>
        <w:tc>
          <w:tcPr>
            <w:tcW w:w="100" w:type="dxa"/>
            <w:vAlign w:val="bottom"/>
            <w:tcBorders>
              <w:bottom w:val="single" w:sz="8" w:color="CFF0FC"/>
            </w:tcBorders>
          </w:tcPr>
          <w:p>
            <w:pPr>
              <w:spacing w:after="0"/>
              <w:rPr>
                <w:sz w:val="19"/>
                <w:szCs w:val="19"/>
                <w:color w:val="auto"/>
              </w:rPr>
            </w:pPr>
          </w:p>
        </w:tc>
        <w:tc>
          <w:tcPr>
            <w:tcW w:w="13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36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00" w:type="dxa"/>
            <w:vAlign w:val="bottom"/>
            <w:shd w:val="clear" w:color="auto" w:fill="CFF0FC"/>
          </w:tcPr>
          <w:p>
            <w:pPr>
              <w:spacing w:after="0"/>
              <w:rPr>
                <w:sz w:val="20"/>
                <w:szCs w:val="20"/>
                <w:color w:val="auto"/>
              </w:rPr>
            </w:pPr>
            <w:r>
              <w:rPr>
                <w:rFonts w:ascii="Arial" w:cs="Arial" w:eastAsia="Arial" w:hAnsi="Arial"/>
                <w:sz w:val="18"/>
                <w:szCs w:val="18"/>
                <w:color w:val="auto"/>
              </w:rPr>
              <w:t>Selling and administrative expenses</w:t>
            </w:r>
          </w:p>
        </w:tc>
        <w:tc>
          <w:tcPr>
            <w:tcW w:w="1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623.3</w:t>
            </w:r>
          </w:p>
        </w:tc>
        <w:tc>
          <w:tcPr>
            <w:tcW w:w="1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673.9</w:t>
            </w:r>
          </w:p>
        </w:tc>
        <w:tc>
          <w:tcPr>
            <w:tcW w:w="14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(7.5)%</w:t>
            </w:r>
          </w:p>
        </w:tc>
        <w:tc>
          <w:tcPr>
            <w:tcW w:w="1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223"/>
        </w:trPr>
        <w:tc>
          <w:tcPr>
            <w:tcW w:w="5600" w:type="dxa"/>
            <w:vAlign w:val="bottom"/>
          </w:tcPr>
          <w:p>
            <w:pPr>
              <w:ind w:left="260"/>
              <w:spacing w:after="0"/>
              <w:rPr>
                <w:sz w:val="20"/>
                <w:szCs w:val="20"/>
                <w:color w:val="auto"/>
              </w:rPr>
            </w:pPr>
            <w:r>
              <w:rPr>
                <w:rFonts w:ascii="Arial" w:cs="Arial" w:eastAsia="Arial" w:hAnsi="Arial"/>
                <w:sz w:val="18"/>
                <w:szCs w:val="18"/>
                <w:color w:val="auto"/>
              </w:rPr>
              <w:t>Operating profit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217.0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216.7</w:t>
            </w:r>
          </w:p>
        </w:tc>
        <w:tc>
          <w:tcPr>
            <w:tcW w:w="1460" w:type="dxa"/>
            <w:vAlign w:val="bottom"/>
            <w:gridSpan w:val="2"/>
          </w:tcPr>
          <w:p>
            <w:pPr>
              <w:jc w:val="right"/>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30"/>
        </w:trPr>
        <w:tc>
          <w:tcPr>
            <w:tcW w:w="5600" w:type="dxa"/>
            <w:vAlign w:val="bottom"/>
            <w:shd w:val="clear" w:color="auto" w:fill="CFF0FC"/>
          </w:tcPr>
          <w:p>
            <w:pPr>
              <w:ind w:left="260"/>
              <w:spacing w:after="0"/>
              <w:rPr>
                <w:sz w:val="20"/>
                <w:szCs w:val="20"/>
                <w:color w:val="auto"/>
              </w:rPr>
            </w:pPr>
            <w:r>
              <w:rPr>
                <w:rFonts w:ascii="Arial" w:cs="Arial" w:eastAsia="Arial" w:hAnsi="Arial"/>
                <w:sz w:val="18"/>
                <w:szCs w:val="18"/>
                <w:i w:val="1"/>
                <w:iCs w:val="1"/>
                <w:color w:val="auto"/>
              </w:rPr>
              <w:t>Operating profit margin</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i w:val="1"/>
                <w:iCs w:val="1"/>
                <w:color w:val="auto"/>
              </w:rPr>
              <w:t>4.1%</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i w:val="1"/>
                <w:iCs w:val="1"/>
                <w:color w:val="auto"/>
              </w:rPr>
              <w:t>4.0%</w:t>
            </w:r>
          </w:p>
        </w:tc>
        <w:tc>
          <w:tcPr>
            <w:tcW w:w="1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Interest and other expenses, net</w:t>
            </w:r>
          </w:p>
        </w:tc>
        <w:tc>
          <w:tcPr>
            <w:tcW w:w="1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12.2</w:t>
            </w:r>
          </w:p>
        </w:tc>
        <w:tc>
          <w:tcPr>
            <w:tcW w:w="1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11.8</w:t>
            </w:r>
          </w:p>
        </w:tc>
        <w:tc>
          <w:tcPr>
            <w:tcW w:w="1460" w:type="dxa"/>
            <w:vAlign w:val="bottom"/>
            <w:tcBorders>
              <w:bottom w:val="single" w:sz="8" w:color="CFF0FC"/>
            </w:tcBorders>
            <w:gridSpan w:val="2"/>
          </w:tcPr>
          <w:p>
            <w:pPr>
              <w:jc w:val="right"/>
              <w:spacing w:after="0"/>
              <w:rPr>
                <w:sz w:val="20"/>
                <w:szCs w:val="20"/>
                <w:color w:val="auto"/>
              </w:rPr>
            </w:pPr>
            <w:r>
              <w:rPr>
                <w:rFonts w:ascii="Arial" w:cs="Arial" w:eastAsia="Arial" w:hAnsi="Arial"/>
                <w:sz w:val="16"/>
                <w:szCs w:val="16"/>
                <w:color w:val="auto"/>
              </w:rPr>
              <w:t>5.2%</w:t>
            </w:r>
          </w:p>
        </w:tc>
        <w:tc>
          <w:tcPr>
            <w:tcW w:w="120" w:type="dxa"/>
            <w:vAlign w:val="bottom"/>
            <w:tcBorders>
              <w:bottom w:val="single" w:sz="8" w:color="CFF0FC"/>
            </w:tcBorders>
          </w:tcPr>
          <w:p>
            <w:pPr>
              <w:spacing w:after="0"/>
              <w:rPr>
                <w:sz w:val="19"/>
                <w:szCs w:val="19"/>
                <w:color w:val="auto"/>
              </w:rPr>
            </w:pPr>
          </w:p>
        </w:tc>
        <w:tc>
          <w:tcPr>
            <w:tcW w:w="136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Earnings before income taxes</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204.8</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204.9</w:t>
            </w:r>
          </w:p>
        </w:tc>
        <w:tc>
          <w:tcPr>
            <w:tcW w:w="14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(0.1)%</w:t>
            </w:r>
          </w:p>
        </w:tc>
        <w:tc>
          <w:tcPr>
            <w:tcW w:w="1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30"/>
        </w:trPr>
        <w:tc>
          <w:tcPr>
            <w:tcW w:w="560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58.7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46.9</w:t>
            </w:r>
          </w:p>
        </w:tc>
        <w:tc>
          <w:tcPr>
            <w:tcW w:w="1460" w:type="dxa"/>
            <w:vAlign w:val="bottom"/>
            <w:gridSpan w:val="2"/>
          </w:tcPr>
          <w:p>
            <w:pPr>
              <w:jc w:val="right"/>
              <w:spacing w:after="0"/>
              <w:rPr>
                <w:sz w:val="20"/>
                <w:szCs w:val="20"/>
                <w:color w:val="auto"/>
              </w:rPr>
            </w:pPr>
            <w:r>
              <w:rPr>
                <w:rFonts w:ascii="Arial" w:cs="Arial" w:eastAsia="Arial" w:hAnsi="Arial"/>
                <w:sz w:val="16"/>
                <w:szCs w:val="16"/>
                <w:color w:val="auto"/>
              </w:rPr>
              <w:t>24.7%</w:t>
            </w: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0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Effective income tax rate</w:t>
            </w:r>
          </w:p>
        </w:tc>
        <w:tc>
          <w:tcPr>
            <w:tcW w:w="1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i w:val="1"/>
                <w:iCs w:val="1"/>
                <w:color w:val="auto"/>
              </w:rPr>
              <w:t>28.6%</w:t>
            </w:r>
          </w:p>
        </w:tc>
        <w:tc>
          <w:tcPr>
            <w:tcW w:w="1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i w:val="1"/>
                <w:iCs w:val="1"/>
                <w:color w:val="auto"/>
              </w:rPr>
              <w:t>23.0%</w:t>
            </w:r>
          </w:p>
        </w:tc>
        <w:tc>
          <w:tcPr>
            <w:tcW w:w="1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Net earnings</w:t>
            </w:r>
          </w:p>
        </w:tc>
        <w:tc>
          <w:tcPr>
            <w:tcW w:w="100" w:type="dxa"/>
            <w:vAlign w:val="bottom"/>
            <w:tcBorders>
              <w:bottom w:val="single" w:sz="8" w:color="CFF0FC"/>
            </w:tcBorders>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146.1</w:t>
            </w:r>
          </w:p>
        </w:tc>
        <w:tc>
          <w:tcPr>
            <w:tcW w:w="100" w:type="dxa"/>
            <w:vAlign w:val="bottom"/>
            <w:tcBorders>
              <w:bottom w:val="single" w:sz="8" w:color="CFF0FC"/>
            </w:tcBorders>
          </w:tcPr>
          <w:p>
            <w:pPr>
              <w:spacing w:after="0"/>
              <w:rPr>
                <w:sz w:val="22"/>
                <w:szCs w:val="22"/>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158.0</w:t>
            </w:r>
          </w:p>
        </w:tc>
        <w:tc>
          <w:tcPr>
            <w:tcW w:w="1460" w:type="dxa"/>
            <w:vAlign w:val="bottom"/>
            <w:tcBorders>
              <w:bottom w:val="single" w:sz="8" w:color="CFF0FC"/>
            </w:tcBorders>
            <w:gridSpan w:val="2"/>
          </w:tcPr>
          <w:p>
            <w:pPr>
              <w:jc w:val="right"/>
              <w:spacing w:after="0"/>
              <w:rPr>
                <w:sz w:val="20"/>
                <w:szCs w:val="20"/>
                <w:color w:val="auto"/>
              </w:rPr>
            </w:pPr>
            <w:r>
              <w:rPr>
                <w:rFonts w:ascii="Arial" w:cs="Arial" w:eastAsia="Arial" w:hAnsi="Arial"/>
                <w:sz w:val="16"/>
                <w:szCs w:val="16"/>
                <w:color w:val="auto"/>
              </w:rPr>
              <w:t>(7.5)%</w:t>
            </w:r>
          </w:p>
        </w:tc>
        <w:tc>
          <w:tcPr>
            <w:tcW w:w="120" w:type="dxa"/>
            <w:vAlign w:val="bottom"/>
            <w:tcBorders>
              <w:bottom w:val="single" w:sz="8" w:color="CFF0FC"/>
            </w:tcBorders>
          </w:tcPr>
          <w:p>
            <w:pPr>
              <w:spacing w:after="0"/>
              <w:rPr>
                <w:sz w:val="22"/>
                <w:szCs w:val="22"/>
                <w:color w:val="auto"/>
              </w:rPr>
            </w:pPr>
          </w:p>
        </w:tc>
        <w:tc>
          <w:tcPr>
            <w:tcW w:w="136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210"/>
        </w:trPr>
        <w:tc>
          <w:tcPr>
            <w:tcW w:w="56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earnings per share – diluted</w:t>
            </w:r>
          </w:p>
        </w:tc>
        <w:tc>
          <w:tcPr>
            <w:tcW w:w="1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2.42</w:t>
            </w:r>
          </w:p>
        </w:tc>
        <w:tc>
          <w:tcPr>
            <w:tcW w:w="1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2.43</w:t>
            </w:r>
          </w:p>
        </w:tc>
        <w:tc>
          <w:tcPr>
            <w:tcW w:w="146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6"/>
                <w:szCs w:val="16"/>
                <w:color w:val="auto"/>
              </w:rPr>
              <w:t>(0.4)%</w:t>
            </w:r>
          </w:p>
        </w:tc>
        <w:tc>
          <w:tcPr>
            <w:tcW w:w="120" w:type="dxa"/>
            <w:vAlign w:val="bottom"/>
            <w:tcBorders>
              <w:bottom w:val="single" w:sz="8" w:color="CFF0FC"/>
            </w:tcBorders>
            <w:shd w:val="clear" w:color="auto" w:fill="CFF0FC"/>
          </w:tcPr>
          <w:p>
            <w:pPr>
              <w:spacing w:after="0"/>
              <w:rPr>
                <w:sz w:val="18"/>
                <w:szCs w:val="18"/>
                <w:color w:val="auto"/>
              </w:rPr>
            </w:pPr>
          </w:p>
        </w:tc>
        <w:tc>
          <w:tcPr>
            <w:tcW w:w="13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Arial" w:cs="Arial" w:eastAsia="Arial" w:hAnsi="Arial"/>
                <w:sz w:val="18"/>
                <w:szCs w:val="18"/>
                <w:color w:val="auto"/>
              </w:rPr>
              <w:t>Weighted average shares – diluted</w:t>
            </w: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60.3</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65.0</w:t>
            </w:r>
          </w:p>
        </w:tc>
        <w:tc>
          <w:tcPr>
            <w:tcW w:w="1460" w:type="dxa"/>
            <w:vAlign w:val="bottom"/>
            <w:gridSpan w:val="2"/>
          </w:tcPr>
          <w:p>
            <w:pPr>
              <w:jc w:val="right"/>
              <w:spacing w:after="0"/>
              <w:rPr>
                <w:sz w:val="20"/>
                <w:szCs w:val="20"/>
                <w:color w:val="auto"/>
              </w:rPr>
            </w:pPr>
            <w:r>
              <w:rPr>
                <w:rFonts w:ascii="Arial" w:cs="Arial" w:eastAsia="Arial" w:hAnsi="Arial"/>
                <w:sz w:val="16"/>
                <w:szCs w:val="16"/>
                <w:color w:val="auto"/>
              </w:rPr>
              <w:t>(7.1)%</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year-over-year decrease in revenues from services of 3.1% (increase of 0.3% in constant currency and 0.6% in organic constant currency) was attributed to:</w:t>
      </w:r>
    </w:p>
    <w:p>
      <w:pPr>
        <w:spacing w:after="0" w:line="130" w:lineRule="exact"/>
        <w:rPr>
          <w:sz w:val="20"/>
          <w:szCs w:val="20"/>
          <w:color w:val="auto"/>
        </w:rPr>
      </w:pPr>
    </w:p>
    <w:p>
      <w:pPr>
        <w:ind w:left="760" w:right="20" w:hanging="374"/>
        <w:spacing w:after="0" w:line="297" w:lineRule="auto"/>
        <w:tabs>
          <w:tab w:leader="none" w:pos="7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decreased demand for services in several of our markets within Northern Europe, where revenues decreased 10.1% (-5.3% in constant currency and -4.3% in organic constant currency), primarily due to a decrease in our staffing/interim revenues and the disposition of our language translation business in the Netherlands at the end of December 2018. We experienced revenue declines in Germany, the Netherlands, Belgium, the United Kingdom, and the Nordics of 21.1%, 23.7%, 8.4%, 1.5% and 9.5% (-17.5%, -20.2%, -4.2%, increase of 4.2%, and -3.0%, respectively, in constant currency; -16.4% and -0.8% in organic constant currency in the Netherlands and the Nordics, respectively);</w:t>
      </w:r>
    </w:p>
    <w:p>
      <w:pPr>
        <w:spacing w:after="0" w:line="117" w:lineRule="exact"/>
        <w:rPr>
          <w:rFonts w:ascii="Arial" w:cs="Arial" w:eastAsia="Arial" w:hAnsi="Arial"/>
          <w:sz w:val="16"/>
          <w:szCs w:val="16"/>
          <w:color w:val="auto"/>
        </w:rPr>
      </w:pPr>
    </w:p>
    <w:p>
      <w:pPr>
        <w:ind w:left="760" w:right="240" w:hanging="374"/>
        <w:spacing w:after="0" w:line="312" w:lineRule="auto"/>
        <w:tabs>
          <w:tab w:leader="none" w:pos="7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 revenue decrease in APME of 12.8% (-12.6% in constant currency; increase of 4.6% in organic constant currency) due primarily to the deconsolidation of ManpowerGroup Greater China Limited in July 2019, the disposition of a low-margin business in Greater China at the end of December 2018, and the impact of changes in currency exchange rates, partially offset by an increase in our Manpower staffing revenues; and</w:t>
      </w:r>
    </w:p>
    <w:p>
      <w:pPr>
        <w:spacing w:after="0" w:line="106" w:lineRule="exact"/>
        <w:rPr>
          <w:rFonts w:ascii="Arial" w:cs="Arial" w:eastAsia="Arial" w:hAnsi="Arial"/>
          <w:sz w:val="16"/>
          <w:szCs w:val="16"/>
          <w:color w:val="auto"/>
        </w:rPr>
      </w:pPr>
    </w:p>
    <w:p>
      <w:pPr>
        <w:ind w:left="760" w:hanging="374"/>
        <w:spacing w:after="0"/>
        <w:tabs>
          <w:tab w:leader="none" w:pos="7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3.4% decrease due to the impact of changes in currency exchange rates; partially offset by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7" w:name="page28"/>
    <w:bookmarkEnd w:id="27"/>
    <w:p>
      <w:pPr>
        <w:ind w:left="760" w:right="80" w:hanging="374"/>
        <w:spacing w:after="0" w:line="291" w:lineRule="auto"/>
        <w:tabs>
          <w:tab w:leader="none" w:pos="7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a revenue increase in Southern Europe of 0.9% (5.0% in constant currency; 0.1% in organic constant currency). The increase was primarily due to the additional revenues as a result of the acquisition of the remaining controlling interest in Manpower Switzerland in April 2019. This increase was partially offset by a revenue decrease in France of 5.4% (-1.0% in constant currency) primarily due to decreased demand for our Manpower staffing services and the unfavorable impact of changes in currency exchange rates, partially offset by an increase in our ManpowerGroup Solutions business. The increase was also partially offset by a decrease in Italy of 8.2% (-3.9% in constant currency) primarily due to the unfavorable impact of changes in currency exchange rates and a decreased demand for our Manpower staffing services as a result of a challenging economic environment, partially offset by a 0.6% increase (5.5% in constant currency) in the permanent recruitment business;</w:t>
      </w:r>
    </w:p>
    <w:p>
      <w:pPr>
        <w:spacing w:after="0" w:line="126" w:lineRule="exact"/>
        <w:rPr>
          <w:rFonts w:ascii="Arial" w:cs="Arial" w:eastAsia="Arial" w:hAnsi="Arial"/>
          <w:sz w:val="16"/>
          <w:szCs w:val="16"/>
          <w:color w:val="auto"/>
        </w:rPr>
      </w:pPr>
    </w:p>
    <w:p>
      <w:pPr>
        <w:ind w:left="760" w:right="60" w:hanging="374"/>
        <w:spacing w:after="0" w:line="302" w:lineRule="auto"/>
        <w:tabs>
          <w:tab w:leader="none" w:pos="7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a revenue increase in the United States of 2.0% (1.3% on an organic basis) primarily driven by increased demand for our Experis interim services as we experienced increased activity from our small-to-medium sized clients, an increase in our ManpowerGroup Solutions business, primarily within our MSP and RPO offerings, and additional revenues as a result of the acquisition of three franchises in August 2019. These increases were partially offset by decreased demand for our Manpower services due to reduced activity of our manufacturing clients; and</w:t>
      </w:r>
    </w:p>
    <w:p>
      <w:pPr>
        <w:spacing w:after="0" w:line="113" w:lineRule="exact"/>
        <w:rPr>
          <w:rFonts w:ascii="Arial" w:cs="Arial" w:eastAsia="Arial" w:hAnsi="Arial"/>
          <w:sz w:val="16"/>
          <w:szCs w:val="16"/>
          <w:color w:val="auto"/>
        </w:rPr>
      </w:pPr>
    </w:p>
    <w:p>
      <w:pPr>
        <w:ind w:left="760" w:hanging="374"/>
        <w:spacing w:after="0" w:line="264" w:lineRule="auto"/>
        <w:tabs>
          <w:tab w:leader="none" w:pos="7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increased demand for services at Right Management, where revenues increased 2.5% (4.7% in constant currency), including a 7.1% increase (9.7% in constant currency) in our outplacement services, partially offset by an 11.2% decrease (-9.8% in constant currency) in our talent management business.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The year-over-year 40 basis point decrease in gross profit margin was primarily attributed to:</w:t>
      </w:r>
    </w:p>
    <w:p>
      <w:pPr>
        <w:spacing w:after="0" w:line="198" w:lineRule="exact"/>
        <w:rPr>
          <w:sz w:val="20"/>
          <w:szCs w:val="20"/>
          <w:color w:val="auto"/>
        </w:rPr>
      </w:pPr>
    </w:p>
    <w:p>
      <w:pPr>
        <w:ind w:left="760" w:right="20" w:hanging="374"/>
        <w:spacing w:after="0" w:line="277" w:lineRule="auto"/>
        <w:tabs>
          <w:tab w:leader="none" w:pos="7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20 basis point unfavorable impact as our higher-margin ManpowerGroup Solutions business, specifically our Talent Based Outsourcing business, comprised a lower percentage of our consolidated revenues in the third quarter of 2019 compared to 2018;</w:t>
      </w:r>
    </w:p>
    <w:p>
      <w:pPr>
        <w:spacing w:after="0" w:line="129" w:lineRule="exact"/>
        <w:rPr>
          <w:rFonts w:ascii="Arial" w:cs="Arial" w:eastAsia="Arial" w:hAnsi="Arial"/>
          <w:sz w:val="18"/>
          <w:szCs w:val="18"/>
          <w:color w:val="auto"/>
        </w:rPr>
      </w:pPr>
    </w:p>
    <w:p>
      <w:pPr>
        <w:ind w:left="760" w:right="80" w:hanging="374"/>
        <w:spacing w:after="0" w:line="342" w:lineRule="auto"/>
        <w:tabs>
          <w:tab w:leader="none" w:pos="7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a 10 basis point unfavorable impact from a decrease in our staffing/interim margin due to declines in most of our markets within Northern Europe, partially offset by improvement from pricing initiatives in a few of our largest markets and favorable direct cost adjustments in France; and</w:t>
      </w:r>
    </w:p>
    <w:p>
      <w:pPr>
        <w:spacing w:after="0" w:line="83" w:lineRule="exact"/>
        <w:rPr>
          <w:rFonts w:ascii="Arial" w:cs="Arial" w:eastAsia="Arial" w:hAnsi="Arial"/>
          <w:sz w:val="16"/>
          <w:szCs w:val="16"/>
          <w:color w:val="auto"/>
        </w:rPr>
      </w:pPr>
    </w:p>
    <w:p>
      <w:pPr>
        <w:ind w:left="760" w:right="280" w:hanging="374"/>
        <w:spacing w:after="0" w:line="277" w:lineRule="auto"/>
        <w:tabs>
          <w:tab w:leader="none" w:pos="7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10 basis point unfavorable impact due to the decrease in our permanent recruitment business of 8.7% (-5.6% in constant currency; increase of 2.5% in organic constant currency).</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color w:val="auto"/>
        </w:rPr>
        <w:t>The 7.5% decrease in selling and administrative expenses in the third quarter of 2019 (-4.4% in constant currency and -3.2% in organic constant currency)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was primarily attributed to:</w:t>
      </w:r>
    </w:p>
    <w:p>
      <w:pPr>
        <w:spacing w:after="0" w:line="170" w:lineRule="exact"/>
        <w:rPr>
          <w:sz w:val="20"/>
          <w:szCs w:val="20"/>
          <w:color w:val="auto"/>
        </w:rPr>
      </w:pPr>
    </w:p>
    <w:p>
      <w:pPr>
        <w:ind w:left="760" w:hanging="374"/>
        <w:spacing w:after="0"/>
        <w:tabs>
          <w:tab w:leader="none" w:pos="7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$30.4 million gain related to the deconsolidation of ManpowerGroup Greater China Limited;</w:t>
      </w:r>
    </w:p>
    <w:p>
      <w:pPr>
        <w:spacing w:after="0" w:line="184" w:lineRule="exact"/>
        <w:rPr>
          <w:rFonts w:ascii="Arial" w:cs="Arial" w:eastAsia="Arial" w:hAnsi="Arial"/>
          <w:sz w:val="18"/>
          <w:szCs w:val="18"/>
          <w:color w:val="auto"/>
        </w:rPr>
      </w:pPr>
    </w:p>
    <w:p>
      <w:pPr>
        <w:ind w:left="760" w:right="60" w:hanging="374"/>
        <w:spacing w:after="0" w:line="277" w:lineRule="auto"/>
        <w:tabs>
          <w:tab w:leader="none" w:pos="7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 $18.6 million decrease in the third quarter of 2019 compared to 2018 as a result of the ManpowerGroup Greater China Limited deconsolidation in July 2019 and dispositions in December 2018 in Northern Europe and APME;</w:t>
      </w:r>
    </w:p>
    <w:p>
      <w:pPr>
        <w:spacing w:after="0" w:line="129" w:lineRule="exact"/>
        <w:rPr>
          <w:rFonts w:ascii="Arial" w:cs="Arial" w:eastAsia="Arial" w:hAnsi="Arial"/>
          <w:sz w:val="18"/>
          <w:szCs w:val="18"/>
          <w:color w:val="auto"/>
        </w:rPr>
      </w:pPr>
    </w:p>
    <w:p>
      <w:pPr>
        <w:ind w:left="760" w:right="200" w:hanging="374"/>
        <w:spacing w:after="0" w:line="264" w:lineRule="auto"/>
        <w:tabs>
          <w:tab w:leader="none" w:pos="7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2.8% decrease (increase of 0.3% in constant currency and 1.6% in organic constant currency) in personnel costs primarily due to a reduction in headcount as a result of adjusting our cost-base for the slower market environment in many of our European operations, particularly within Northern Europe;</w:t>
      </w:r>
    </w:p>
    <w:p>
      <w:pPr>
        <w:spacing w:after="0" w:line="140" w:lineRule="exact"/>
        <w:rPr>
          <w:rFonts w:ascii="Arial" w:cs="Arial" w:eastAsia="Arial" w:hAnsi="Arial"/>
          <w:sz w:val="18"/>
          <w:szCs w:val="18"/>
          <w:color w:val="auto"/>
        </w:rPr>
      </w:pPr>
    </w:p>
    <w:p>
      <w:pPr>
        <w:ind w:left="760" w:right="520" w:hanging="374"/>
        <w:spacing w:after="0" w:line="286" w:lineRule="auto"/>
        <w:tabs>
          <w:tab w:leader="none" w:pos="7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an 8.2% decrease (-5.2% in constant currency and -4.5% organic constant currency) in office-related costs primarily due to a decrease in the number of offices as a result of our delivery channel and other front-office centralization and back-office optimization activities, as well as adjusting our cost-base for the slower market environment in many of our European operations; and</w:t>
      </w:r>
    </w:p>
    <w:p>
      <w:pPr>
        <w:spacing w:after="0" w:line="125" w:lineRule="exact"/>
        <w:rPr>
          <w:rFonts w:ascii="Arial" w:cs="Arial" w:eastAsia="Arial" w:hAnsi="Arial"/>
          <w:sz w:val="17"/>
          <w:szCs w:val="17"/>
          <w:color w:val="auto"/>
        </w:rPr>
      </w:pPr>
    </w:p>
    <w:p>
      <w:pPr>
        <w:ind w:left="760" w:hanging="374"/>
        <w:spacing w:after="0"/>
        <w:tabs>
          <w:tab w:leader="none" w:pos="7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3.1% decrease due to the impact of changes in currency exchange rates; partially offset by</w:t>
      </w:r>
    </w:p>
    <w:p>
      <w:pPr>
        <w:spacing w:after="0" w:line="184" w:lineRule="exact"/>
        <w:rPr>
          <w:rFonts w:ascii="Arial" w:cs="Arial" w:eastAsia="Arial" w:hAnsi="Arial"/>
          <w:sz w:val="18"/>
          <w:szCs w:val="18"/>
          <w:color w:val="auto"/>
        </w:rPr>
      </w:pPr>
    </w:p>
    <w:p>
      <w:pPr>
        <w:ind w:left="760" w:right="600" w:hanging="374"/>
        <w:spacing w:after="0" w:line="277" w:lineRule="auto"/>
        <w:tabs>
          <w:tab w:leader="none" w:pos="7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additional recurring selling and administrative costs of $10.9 million incurred as a result of the acquisition of Manpower Switzerland in Southern Europe and acquisition of three franchises in the United States in late August 2019.</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517" w:right="279" w:bottom="1440" w:gutter="0" w:footer="0" w:header="0"/>
        </w:sectPr>
      </w:pPr>
    </w:p>
    <w:bookmarkStart w:id="28" w:name="page29"/>
    <w:bookmarkEnd w:id="28"/>
    <w:p>
      <w:pPr>
        <w:ind w:right="120"/>
        <w:spacing w:after="0" w:line="277" w:lineRule="auto"/>
        <w:rPr>
          <w:sz w:val="20"/>
          <w:szCs w:val="20"/>
          <w:color w:val="auto"/>
        </w:rPr>
      </w:pPr>
      <w:r>
        <w:rPr>
          <w:rFonts w:ascii="Arial" w:cs="Arial" w:eastAsia="Arial" w:hAnsi="Arial"/>
          <w:sz w:val="18"/>
          <w:szCs w:val="18"/>
          <w:color w:val="auto"/>
        </w:rPr>
        <w:t>Selling and administrative expenses as a percent of revenues decreased 50 basis points in the third quarter of 2019 compared to the third quarter of 2018 due primarily to the 50 basis point favorable impact from the ManpowerGroup Greater China Limited deconsolidation gain.</w:t>
      </w:r>
    </w:p>
    <w:p>
      <w:pPr>
        <w:spacing w:after="0" w:line="143"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Interest and other expenses (income), net is comprised of interest, foreign exchange gains and losses and other miscellaneous non-operating income and expenses, including noncontrolling interests. Interest and other expenses (income), net was expense of $12.2 million in the third quarter of 2019 compared to $11.8 million in the third quarter of 2018. Net interest expense increased $2.6 million in the third quarter of 2019 to $11.3 million from $8.7 million in the third quarter of 2018 primarily due to a decrease in interest rates and increase in debt in certain countries with high interest rates. Miscellaneous income was $3.2 million in the third quarter of 2019 compared to miscellaneous expenses of $0.1 million in the third quarter of 2018. The change was primarily due to a decrease in expenses related to net earnings attributable to noncontrolling interests.</w:t>
      </w:r>
    </w:p>
    <w:p>
      <w:pPr>
        <w:spacing w:after="0" w:line="13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recorded income tax expense at an effective rate of 28.6% for the three months ended September 30, 2019, as compared to an effective rate of 23.0% for the three months ended September 30, 2018. The 2019 rate was unfavorably impacted by the transition of the French CICE subsidy, which was non-taxable, to new French subsidies in January 2019 that are taxable, partially offset by the favorable impact of the gain from the ManpowerGroup Greater China Limited deconsolidation, which was non-taxable. The 2018 rate was favorably impacted by the enactment of the Tax Act of 2017 and certain discrete tax benefits. The 28.6% effective tax rate in the quarter was higher than the United States Federal statutory rate of 21% primarily due to the French business tax and our overall mix of earnings.</w:t>
      </w:r>
    </w:p>
    <w:p>
      <w:pPr>
        <w:spacing w:after="0" w:line="153" w:lineRule="exact"/>
        <w:rPr>
          <w:sz w:val="20"/>
          <w:szCs w:val="20"/>
          <w:color w:val="auto"/>
        </w:rPr>
      </w:pPr>
    </w:p>
    <w:p>
      <w:pPr>
        <w:ind w:right="280"/>
        <w:spacing w:after="0" w:line="312" w:lineRule="auto"/>
        <w:rPr>
          <w:sz w:val="20"/>
          <w:szCs w:val="20"/>
          <w:color w:val="auto"/>
        </w:rPr>
      </w:pPr>
      <w:r>
        <w:rPr>
          <w:rFonts w:ascii="Arial" w:cs="Arial" w:eastAsia="Arial" w:hAnsi="Arial"/>
          <w:sz w:val="16"/>
          <w:szCs w:val="16"/>
          <w:color w:val="auto"/>
        </w:rPr>
        <w:t>Net earnings per share - diluted was $2.42 and $2.43 in the third quarter of 2019 and 2018, respectively. Foreign currency exchange rates unfavorably impacted net earnings per share - diluted by approximately $0.07 per share in the third quarter of 2019. The gain from the ManpowerGroup Greater China Limited IPO recorded in the third quarter of 2019 positively impacted net earnings per share – diluted by approximately $0.50 per share.</w:t>
      </w:r>
    </w:p>
    <w:p>
      <w:pPr>
        <w:spacing w:after="0" w:line="12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Weighted average shares - diluted decreased to 60.3 million in the third quarter of 2019 from 65.0 million in the third quarter of 2018. This decrease was due to the impact of share repurchases completed since the third quarter of 2018, partially offset by shares issued as a result of exercises and vesting of share-based awards since the third quarter of 2018.</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07"/>
        </w:trPr>
        <w:tc>
          <w:tcPr>
            <w:tcW w:w="5580" w:type="dxa"/>
            <w:vAlign w:val="bottom"/>
            <w:gridSpan w:val="2"/>
          </w:tcPr>
          <w:p>
            <w:pPr>
              <w:spacing w:after="0"/>
              <w:rPr>
                <w:sz w:val="20"/>
                <w:szCs w:val="20"/>
                <w:color w:val="auto"/>
              </w:rPr>
            </w:pPr>
            <w:r>
              <w:rPr>
                <w:rFonts w:ascii="Arial" w:cs="Arial" w:eastAsia="Arial" w:hAnsi="Arial"/>
                <w:sz w:val="18"/>
                <w:szCs w:val="18"/>
                <w:color w:val="auto"/>
                <w:w w:val="98"/>
              </w:rPr>
              <w:t>Operating Results - Nine Months Ended September 30, 2019 and 2018</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100" w:type="dxa"/>
            <w:vAlign w:val="bottom"/>
            <w:shd w:val="clear" w:color="auto" w:fill="000000"/>
          </w:tcPr>
          <w:p>
            <w:pPr>
              <w:spacing w:after="0" w:line="20" w:lineRule="exact"/>
              <w:rPr>
                <w:sz w:val="1"/>
                <w:szCs w:val="1"/>
                <w:color w:val="auto"/>
              </w:rPr>
            </w:pPr>
          </w:p>
        </w:tc>
        <w:tc>
          <w:tcPr>
            <w:tcW w:w="4960" w:type="dxa"/>
            <w:vAlign w:val="bottom"/>
            <w:gridSpan w:val="1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060" w:type="dxa"/>
            <w:vAlign w:val="bottom"/>
            <w:gridSpan w:val="11"/>
          </w:tcPr>
          <w:p>
            <w:pPr>
              <w:spacing w:after="0"/>
              <w:rPr>
                <w:sz w:val="20"/>
                <w:szCs w:val="20"/>
                <w:color w:val="auto"/>
              </w:rPr>
            </w:pPr>
            <w:r>
              <w:rPr>
                <w:rFonts w:ascii="Arial" w:cs="Arial" w:eastAsia="Arial" w:hAnsi="Arial"/>
                <w:sz w:val="18"/>
                <w:szCs w:val="18"/>
                <w:color w:val="auto"/>
                <w:w w:val="93"/>
              </w:rPr>
              <w:t>The following table presents selected consolidated financial data for the nine months ended September 30, 2019 as compared to 2018.</w:t>
            </w:r>
          </w:p>
        </w:tc>
        <w:tc>
          <w:tcPr>
            <w:tcW w:w="1360" w:type="dxa"/>
            <w:vAlign w:val="bottom"/>
            <w:vMerge w:val="restart"/>
          </w:tcPr>
          <w:p>
            <w:pPr>
              <w:ind w:left="220"/>
              <w:spacing w:after="0"/>
              <w:rPr>
                <w:sz w:val="20"/>
                <w:szCs w:val="20"/>
                <w:color w:val="auto"/>
              </w:rPr>
            </w:pPr>
            <w:r>
              <w:rPr>
                <w:rFonts w:ascii="Arial" w:cs="Arial" w:eastAsia="Arial" w:hAnsi="Arial"/>
                <w:sz w:val="18"/>
                <w:szCs w:val="18"/>
                <w:b w:val="1"/>
                <w:bCs w:val="1"/>
                <w:color w:val="auto"/>
              </w:rPr>
              <w:t>Constant</w:t>
            </w:r>
          </w:p>
        </w:tc>
        <w:tc>
          <w:tcPr>
            <w:tcW w:w="0" w:type="dxa"/>
            <w:vAlign w:val="bottom"/>
          </w:tcPr>
          <w:p>
            <w:pPr>
              <w:spacing w:after="0"/>
              <w:rPr>
                <w:sz w:val="1"/>
                <w:szCs w:val="1"/>
                <w:color w:val="auto"/>
              </w:rPr>
            </w:pPr>
          </w:p>
        </w:tc>
      </w:tr>
      <w:tr>
        <w:trPr>
          <w:trHeight w:val="211"/>
        </w:trPr>
        <w:tc>
          <w:tcPr>
            <w:tcW w:w="5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ind w:left="200"/>
              <w:spacing w:after="0"/>
              <w:rPr>
                <w:sz w:val="20"/>
                <w:szCs w:val="20"/>
                <w:color w:val="auto"/>
              </w:rPr>
            </w:pPr>
            <w:r>
              <w:rPr>
                <w:rFonts w:ascii="Arial" w:cs="Arial" w:eastAsia="Arial" w:hAnsi="Arial"/>
                <w:sz w:val="18"/>
                <w:szCs w:val="18"/>
                <w:b w:val="1"/>
                <w:bCs w:val="1"/>
                <w:color w:val="auto"/>
              </w:rPr>
              <w:t>Currency</w:t>
            </w:r>
          </w:p>
        </w:tc>
        <w:tc>
          <w:tcPr>
            <w:tcW w:w="0" w:type="dxa"/>
            <w:vAlign w:val="bottom"/>
          </w:tcPr>
          <w:p>
            <w:pPr>
              <w:spacing w:after="0"/>
              <w:rPr>
                <w:sz w:val="1"/>
                <w:szCs w:val="1"/>
                <w:color w:val="auto"/>
              </w:rPr>
            </w:pPr>
          </w:p>
        </w:tc>
      </w:tr>
      <w:tr>
        <w:trPr>
          <w:trHeight w:val="234"/>
        </w:trPr>
        <w:tc>
          <w:tcPr>
            <w:tcW w:w="55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(in millions, except per share data)</w:t>
            </w:r>
          </w:p>
        </w:tc>
        <w:tc>
          <w:tcPr>
            <w:tcW w:w="12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14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40" w:type="dxa"/>
            <w:vAlign w:val="bottom"/>
            <w:tcBorders>
              <w:bottom w:val="single" w:sz="8" w:color="CFF0FC"/>
            </w:tcBorders>
          </w:tcPr>
          <w:p>
            <w:pPr>
              <w:spacing w:after="0"/>
              <w:rPr>
                <w:sz w:val="20"/>
                <w:szCs w:val="20"/>
                <w:color w:val="auto"/>
              </w:rPr>
            </w:pPr>
          </w:p>
        </w:tc>
        <w:tc>
          <w:tcPr>
            <w:tcW w:w="13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Variance</w:t>
            </w:r>
          </w:p>
        </w:tc>
        <w:tc>
          <w:tcPr>
            <w:tcW w:w="120" w:type="dxa"/>
            <w:vAlign w:val="bottom"/>
            <w:tcBorders>
              <w:bottom w:val="single" w:sz="8" w:color="CFF0FC"/>
            </w:tcBorders>
          </w:tcPr>
          <w:p>
            <w:pPr>
              <w:spacing w:after="0"/>
              <w:rPr>
                <w:sz w:val="20"/>
                <w:szCs w:val="20"/>
                <w:color w:val="auto"/>
              </w:rPr>
            </w:pPr>
          </w:p>
        </w:tc>
        <w:tc>
          <w:tcPr>
            <w:tcW w:w="136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Variance</w:t>
            </w:r>
          </w:p>
        </w:tc>
        <w:tc>
          <w:tcPr>
            <w:tcW w:w="0" w:type="dxa"/>
            <w:vAlign w:val="bottom"/>
          </w:tcPr>
          <w:p>
            <w:pPr>
              <w:spacing w:after="0"/>
              <w:rPr>
                <w:sz w:val="1"/>
                <w:szCs w:val="1"/>
                <w:color w:val="auto"/>
              </w:rPr>
            </w:pPr>
          </w:p>
        </w:tc>
      </w:tr>
      <w:tr>
        <w:trPr>
          <w:trHeight w:val="223"/>
        </w:trPr>
        <w:tc>
          <w:tcPr>
            <w:tcW w:w="55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Revenues from services</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15,666.9</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16,598.0</w:t>
            </w:r>
          </w:p>
        </w:tc>
        <w:tc>
          <w:tcPr>
            <w:tcW w:w="14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(5.6)%</w:t>
            </w:r>
          </w:p>
        </w:tc>
        <w:tc>
          <w:tcPr>
            <w:tcW w:w="1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(0.7)%</w:t>
            </w:r>
          </w:p>
        </w:tc>
        <w:tc>
          <w:tcPr>
            <w:tcW w:w="0" w:type="dxa"/>
            <w:vAlign w:val="bottom"/>
          </w:tcPr>
          <w:p>
            <w:pPr>
              <w:spacing w:after="0"/>
              <w:rPr>
                <w:sz w:val="1"/>
                <w:szCs w:val="1"/>
                <w:color w:val="auto"/>
              </w:rPr>
            </w:pPr>
          </w:p>
        </w:tc>
      </w:tr>
      <w:tr>
        <w:trPr>
          <w:trHeight w:val="230"/>
        </w:trPr>
        <w:tc>
          <w:tcPr>
            <w:tcW w:w="558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Cost of services</w:t>
            </w:r>
          </w:p>
        </w:tc>
        <w:tc>
          <w:tcPr>
            <w:tcW w:w="1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13,151.4</w:t>
            </w:r>
          </w:p>
        </w:tc>
        <w:tc>
          <w:tcPr>
            <w:tcW w:w="1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13,899.3</w:t>
            </w:r>
          </w:p>
        </w:tc>
        <w:tc>
          <w:tcPr>
            <w:tcW w:w="1480" w:type="dxa"/>
            <w:vAlign w:val="bottom"/>
            <w:tcBorders>
              <w:bottom w:val="single" w:sz="8" w:color="CFF0FC"/>
            </w:tcBorders>
            <w:gridSpan w:val="2"/>
          </w:tcPr>
          <w:p>
            <w:pPr>
              <w:jc w:val="right"/>
              <w:spacing w:after="0"/>
              <w:rPr>
                <w:sz w:val="20"/>
                <w:szCs w:val="20"/>
                <w:color w:val="auto"/>
              </w:rPr>
            </w:pPr>
            <w:r>
              <w:rPr>
                <w:rFonts w:ascii="Arial" w:cs="Arial" w:eastAsia="Arial" w:hAnsi="Arial"/>
                <w:sz w:val="16"/>
                <w:szCs w:val="16"/>
                <w:color w:val="auto"/>
              </w:rPr>
              <w:t>(5.4)%</w:t>
            </w:r>
          </w:p>
        </w:tc>
        <w:tc>
          <w:tcPr>
            <w:tcW w:w="120" w:type="dxa"/>
            <w:vAlign w:val="bottom"/>
            <w:tcBorders>
              <w:bottom w:val="single" w:sz="8" w:color="CFF0FC"/>
            </w:tcBorders>
          </w:tcPr>
          <w:p>
            <w:pPr>
              <w:spacing w:after="0"/>
              <w:rPr>
                <w:sz w:val="19"/>
                <w:szCs w:val="19"/>
                <w:color w:val="auto"/>
              </w:rPr>
            </w:pPr>
          </w:p>
        </w:tc>
        <w:tc>
          <w:tcPr>
            <w:tcW w:w="136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223"/>
        </w:trPr>
        <w:tc>
          <w:tcPr>
            <w:tcW w:w="55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Gross profit</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2,515.5</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2,698.7</w:t>
            </w:r>
          </w:p>
        </w:tc>
        <w:tc>
          <w:tcPr>
            <w:tcW w:w="14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(6.8)%</w:t>
            </w:r>
          </w:p>
        </w:tc>
        <w:tc>
          <w:tcPr>
            <w:tcW w:w="1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30"/>
        </w:trPr>
        <w:tc>
          <w:tcPr>
            <w:tcW w:w="5580" w:type="dxa"/>
            <w:vAlign w:val="bottom"/>
            <w:gridSpan w:val="2"/>
          </w:tcPr>
          <w:p>
            <w:pPr>
              <w:ind w:left="260"/>
              <w:spacing w:after="0"/>
              <w:rPr>
                <w:sz w:val="20"/>
                <w:szCs w:val="20"/>
                <w:color w:val="auto"/>
              </w:rPr>
            </w:pPr>
            <w:r>
              <w:rPr>
                <w:rFonts w:ascii="Arial" w:cs="Arial" w:eastAsia="Arial" w:hAnsi="Arial"/>
                <w:sz w:val="18"/>
                <w:szCs w:val="18"/>
                <w:i w:val="1"/>
                <w:iCs w:val="1"/>
                <w:color w:val="auto"/>
              </w:rPr>
              <w:t>Gross profit margin</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i w:val="1"/>
                <w:iCs w:val="1"/>
                <w:color w:val="auto"/>
              </w:rPr>
              <w:t>16.1%</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i w:val="1"/>
                <w:iCs w:val="1"/>
                <w:color w:val="auto"/>
              </w:rPr>
              <w:t>16.3%</w:t>
            </w: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5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w w:val="98"/>
              </w:rPr>
              <w:t>Selling and administrative expenses, excluding goodwill impairment</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charge</w:t>
            </w:r>
          </w:p>
        </w:tc>
        <w:tc>
          <w:tcPr>
            <w:tcW w:w="1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8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1,998.2</w:t>
            </w:r>
          </w:p>
        </w:tc>
        <w:tc>
          <w:tcPr>
            <w:tcW w:w="1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2,119.9</w:t>
            </w:r>
          </w:p>
        </w:tc>
        <w:tc>
          <w:tcPr>
            <w:tcW w:w="14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(5.7)%</w:t>
            </w:r>
          </w:p>
        </w:tc>
        <w:tc>
          <w:tcPr>
            <w:tcW w:w="12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30"/>
        </w:trPr>
        <w:tc>
          <w:tcPr>
            <w:tcW w:w="558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color w:val="auto"/>
              </w:rPr>
              <w:t>Goodwill impairment charge</w:t>
            </w:r>
          </w:p>
        </w:tc>
        <w:tc>
          <w:tcPr>
            <w:tcW w:w="1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64.0</w:t>
            </w:r>
          </w:p>
        </w:tc>
        <w:tc>
          <w:tcPr>
            <w:tcW w:w="1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19"/>
                <w:szCs w:val="19"/>
                <w:color w:val="auto"/>
              </w:rPr>
            </w:pPr>
          </w:p>
        </w:tc>
        <w:tc>
          <w:tcPr>
            <w:tcW w:w="134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36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Selling and administrative expenses</w:t>
            </w:r>
          </w:p>
        </w:tc>
        <w:tc>
          <w:tcPr>
            <w:tcW w:w="1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2,062.2</w:t>
            </w:r>
          </w:p>
        </w:tc>
        <w:tc>
          <w:tcPr>
            <w:tcW w:w="1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2,119.9</w:t>
            </w:r>
          </w:p>
        </w:tc>
        <w:tc>
          <w:tcPr>
            <w:tcW w:w="14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(2.7)%</w:t>
            </w:r>
          </w:p>
        </w:tc>
        <w:tc>
          <w:tcPr>
            <w:tcW w:w="1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23"/>
        </w:trPr>
        <w:tc>
          <w:tcPr>
            <w:tcW w:w="5580" w:type="dxa"/>
            <w:vAlign w:val="bottom"/>
            <w:gridSpan w:val="2"/>
          </w:tcPr>
          <w:p>
            <w:pPr>
              <w:ind w:left="260"/>
              <w:spacing w:after="0"/>
              <w:rPr>
                <w:sz w:val="20"/>
                <w:szCs w:val="20"/>
                <w:color w:val="auto"/>
              </w:rPr>
            </w:pPr>
            <w:r>
              <w:rPr>
                <w:rFonts w:ascii="Arial" w:cs="Arial" w:eastAsia="Arial" w:hAnsi="Arial"/>
                <w:sz w:val="18"/>
                <w:szCs w:val="18"/>
                <w:color w:val="auto"/>
              </w:rPr>
              <w:t>Operating profit</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453.3</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578.8</w:t>
            </w: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(21.7)%</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(17.7)%</w:t>
            </w:r>
          </w:p>
        </w:tc>
        <w:tc>
          <w:tcPr>
            <w:tcW w:w="0" w:type="dxa"/>
            <w:vAlign w:val="bottom"/>
          </w:tcPr>
          <w:p>
            <w:pPr>
              <w:spacing w:after="0"/>
              <w:rPr>
                <w:sz w:val="1"/>
                <w:szCs w:val="1"/>
                <w:color w:val="auto"/>
              </w:rPr>
            </w:pPr>
          </w:p>
        </w:tc>
      </w:tr>
      <w:tr>
        <w:trPr>
          <w:trHeight w:val="230"/>
        </w:trPr>
        <w:tc>
          <w:tcPr>
            <w:tcW w:w="5580" w:type="dxa"/>
            <w:vAlign w:val="bottom"/>
            <w:gridSpan w:val="2"/>
            <w:shd w:val="clear" w:color="auto" w:fill="CFF0FC"/>
          </w:tcPr>
          <w:p>
            <w:pPr>
              <w:ind w:left="260"/>
              <w:spacing w:after="0"/>
              <w:rPr>
                <w:sz w:val="20"/>
                <w:szCs w:val="20"/>
                <w:color w:val="auto"/>
              </w:rPr>
            </w:pPr>
            <w:r>
              <w:rPr>
                <w:rFonts w:ascii="Arial" w:cs="Arial" w:eastAsia="Arial" w:hAnsi="Arial"/>
                <w:sz w:val="18"/>
                <w:szCs w:val="18"/>
                <w:i w:val="1"/>
                <w:iCs w:val="1"/>
                <w:color w:val="auto"/>
              </w:rPr>
              <w:t>Operating profit margin</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i w:val="1"/>
                <w:iCs w:val="1"/>
                <w:color w:val="auto"/>
              </w:rPr>
              <w:t>2.9%</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i w:val="1"/>
                <w:iCs w:val="1"/>
                <w:color w:val="auto"/>
              </w:rPr>
              <w:t>3.5%</w:t>
            </w:r>
          </w:p>
        </w:tc>
        <w:tc>
          <w:tcPr>
            <w:tcW w:w="1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8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Interest and other (income) expenses, net</w:t>
            </w:r>
          </w:p>
        </w:tc>
        <w:tc>
          <w:tcPr>
            <w:tcW w:w="1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(46.1)</w:t>
            </w:r>
          </w:p>
        </w:tc>
        <w:tc>
          <w:tcPr>
            <w:tcW w:w="1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38.4</w:t>
            </w:r>
          </w:p>
        </w:tc>
        <w:tc>
          <w:tcPr>
            <w:tcW w:w="140" w:type="dxa"/>
            <w:vAlign w:val="bottom"/>
            <w:tcBorders>
              <w:bottom w:val="single" w:sz="8" w:color="CFF0FC"/>
            </w:tcBorders>
          </w:tcPr>
          <w:p>
            <w:pPr>
              <w:spacing w:after="0"/>
              <w:rPr>
                <w:sz w:val="19"/>
                <w:szCs w:val="19"/>
                <w:color w:val="auto"/>
              </w:rPr>
            </w:pPr>
          </w:p>
        </w:tc>
        <w:tc>
          <w:tcPr>
            <w:tcW w:w="134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36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Earnings before income taxes</w:t>
            </w:r>
          </w:p>
        </w:tc>
        <w:tc>
          <w:tcPr>
            <w:tcW w:w="1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499.4</w:t>
            </w:r>
          </w:p>
        </w:tc>
        <w:tc>
          <w:tcPr>
            <w:tcW w:w="1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540.4</w:t>
            </w:r>
          </w:p>
        </w:tc>
        <w:tc>
          <w:tcPr>
            <w:tcW w:w="14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(7.6)%</w:t>
            </w:r>
          </w:p>
        </w:tc>
        <w:tc>
          <w:tcPr>
            <w:tcW w:w="1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23"/>
        </w:trPr>
        <w:tc>
          <w:tcPr>
            <w:tcW w:w="5580" w:type="dxa"/>
            <w:vAlign w:val="bottom"/>
            <w:gridSpan w:val="2"/>
          </w:tcPr>
          <w:p>
            <w:pPr>
              <w:spacing w:after="0"/>
              <w:rPr>
                <w:sz w:val="20"/>
                <w:szCs w:val="20"/>
                <w:color w:val="auto"/>
              </w:rPr>
            </w:pPr>
            <w:r>
              <w:rPr>
                <w:rFonts w:ascii="Arial" w:cs="Arial" w:eastAsia="Arial" w:hAnsi="Arial"/>
                <w:sz w:val="18"/>
                <w:szCs w:val="18"/>
                <w:color w:val="auto"/>
              </w:rPr>
              <w:t>Provision for income taxes</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172.5</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142.0</w:t>
            </w: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21.4%</w:t>
            </w: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80" w:type="dxa"/>
            <w:vAlign w:val="bottom"/>
            <w:gridSpan w:val="2"/>
            <w:shd w:val="clear" w:color="auto" w:fill="CFF0FC"/>
          </w:tcPr>
          <w:p>
            <w:pPr>
              <w:spacing w:after="0"/>
              <w:rPr>
                <w:sz w:val="20"/>
                <w:szCs w:val="20"/>
                <w:color w:val="auto"/>
              </w:rPr>
            </w:pPr>
            <w:r>
              <w:rPr>
                <w:rFonts w:ascii="Arial" w:cs="Arial" w:eastAsia="Arial" w:hAnsi="Arial"/>
                <w:sz w:val="18"/>
                <w:szCs w:val="18"/>
                <w:i w:val="1"/>
                <w:iCs w:val="1"/>
                <w:color w:val="auto"/>
              </w:rPr>
              <w:t>Effective income tax rate</w:t>
            </w:r>
          </w:p>
        </w:tc>
        <w:tc>
          <w:tcPr>
            <w:tcW w:w="1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i w:val="1"/>
                <w:iCs w:val="1"/>
                <w:color w:val="auto"/>
              </w:rPr>
              <w:t>34.5%</w:t>
            </w:r>
          </w:p>
        </w:tc>
        <w:tc>
          <w:tcPr>
            <w:tcW w:w="1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i w:val="1"/>
                <w:iCs w:val="1"/>
                <w:color w:val="auto"/>
              </w:rPr>
              <w:t>26.3%</w:t>
            </w:r>
          </w:p>
        </w:tc>
        <w:tc>
          <w:tcPr>
            <w:tcW w:w="1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58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color w:val="auto"/>
              </w:rPr>
              <w:t>Net earnings</w:t>
            </w:r>
          </w:p>
        </w:tc>
        <w:tc>
          <w:tcPr>
            <w:tcW w:w="120" w:type="dxa"/>
            <w:vAlign w:val="bottom"/>
            <w:tcBorders>
              <w:bottom w:val="single" w:sz="8" w:color="CFF0FC"/>
            </w:tcBorders>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326.9</w:t>
            </w:r>
          </w:p>
        </w:tc>
        <w:tc>
          <w:tcPr>
            <w:tcW w:w="14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398.4</w:t>
            </w:r>
          </w:p>
        </w:tc>
        <w:tc>
          <w:tcPr>
            <w:tcW w:w="1480" w:type="dxa"/>
            <w:vAlign w:val="bottom"/>
            <w:tcBorders>
              <w:bottom w:val="single" w:sz="8" w:color="CFF0FC"/>
            </w:tcBorders>
            <w:gridSpan w:val="2"/>
          </w:tcPr>
          <w:p>
            <w:pPr>
              <w:jc w:val="right"/>
              <w:spacing w:after="0"/>
              <w:rPr>
                <w:sz w:val="20"/>
                <w:szCs w:val="20"/>
                <w:color w:val="auto"/>
              </w:rPr>
            </w:pPr>
            <w:r>
              <w:rPr>
                <w:rFonts w:ascii="Arial" w:cs="Arial" w:eastAsia="Arial" w:hAnsi="Arial"/>
                <w:sz w:val="16"/>
                <w:szCs w:val="16"/>
                <w:color w:val="auto"/>
              </w:rPr>
              <w:t>(17.9)%</w:t>
            </w:r>
          </w:p>
        </w:tc>
        <w:tc>
          <w:tcPr>
            <w:tcW w:w="120" w:type="dxa"/>
            <w:vAlign w:val="bottom"/>
            <w:tcBorders>
              <w:bottom w:val="single" w:sz="8" w:color="CFF0FC"/>
            </w:tcBorders>
          </w:tcPr>
          <w:p>
            <w:pPr>
              <w:spacing w:after="0"/>
              <w:rPr>
                <w:sz w:val="22"/>
                <w:szCs w:val="22"/>
                <w:color w:val="auto"/>
              </w:rPr>
            </w:pPr>
          </w:p>
        </w:tc>
        <w:tc>
          <w:tcPr>
            <w:tcW w:w="136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(14.5)%</w:t>
            </w:r>
          </w:p>
        </w:tc>
        <w:tc>
          <w:tcPr>
            <w:tcW w:w="0" w:type="dxa"/>
            <w:vAlign w:val="bottom"/>
          </w:tcPr>
          <w:p>
            <w:pPr>
              <w:spacing w:after="0"/>
              <w:rPr>
                <w:sz w:val="1"/>
                <w:szCs w:val="1"/>
                <w:color w:val="auto"/>
              </w:rPr>
            </w:pPr>
          </w:p>
        </w:tc>
      </w:tr>
      <w:tr>
        <w:trPr>
          <w:trHeight w:val="210"/>
        </w:trPr>
        <w:tc>
          <w:tcPr>
            <w:tcW w:w="558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Net earnings per share – diluted</w:t>
            </w:r>
          </w:p>
        </w:tc>
        <w:tc>
          <w:tcPr>
            <w:tcW w:w="1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5.40</w:t>
            </w:r>
          </w:p>
        </w:tc>
        <w:tc>
          <w:tcPr>
            <w:tcW w:w="1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6.03</w:t>
            </w:r>
          </w:p>
        </w:tc>
        <w:tc>
          <w:tcPr>
            <w:tcW w:w="148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6"/>
                <w:szCs w:val="16"/>
                <w:color w:val="auto"/>
              </w:rPr>
              <w:t>(10.4)%</w:t>
            </w:r>
          </w:p>
        </w:tc>
        <w:tc>
          <w:tcPr>
            <w:tcW w:w="120" w:type="dxa"/>
            <w:vAlign w:val="bottom"/>
            <w:tcBorders>
              <w:bottom w:val="single" w:sz="8" w:color="CFF0FC"/>
            </w:tcBorders>
            <w:shd w:val="clear" w:color="auto" w:fill="CFF0FC"/>
          </w:tcPr>
          <w:p>
            <w:pPr>
              <w:spacing w:after="0"/>
              <w:rPr>
                <w:sz w:val="18"/>
                <w:szCs w:val="18"/>
                <w:color w:val="auto"/>
              </w:rPr>
            </w:pPr>
          </w:p>
        </w:tc>
        <w:tc>
          <w:tcPr>
            <w:tcW w:w="13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(6.8)%</w:t>
            </w:r>
          </w:p>
        </w:tc>
        <w:tc>
          <w:tcPr>
            <w:tcW w:w="0" w:type="dxa"/>
            <w:vAlign w:val="bottom"/>
          </w:tcPr>
          <w:p>
            <w:pPr>
              <w:spacing w:after="0"/>
              <w:rPr>
                <w:sz w:val="1"/>
                <w:szCs w:val="1"/>
                <w:color w:val="auto"/>
              </w:rPr>
            </w:pPr>
          </w:p>
        </w:tc>
      </w:tr>
      <w:tr>
        <w:trPr>
          <w:trHeight w:val="20"/>
        </w:trPr>
        <w:tc>
          <w:tcPr>
            <w:tcW w:w="558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shares – diluted</w:t>
            </w: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60.6</w:t>
            </w:r>
          </w:p>
        </w:tc>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66.1</w:t>
            </w: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(8.4)%</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The year-over-year decrease in revenues from services of 5.6% (-0.7% in constant currency and -0.8% in organic constant currency) was attributed to:</w:t>
      </w:r>
    </w:p>
    <w:p>
      <w:pPr>
        <w:spacing w:after="0" w:line="210" w:lineRule="exact"/>
        <w:rPr>
          <w:sz w:val="20"/>
          <w:szCs w:val="20"/>
          <w:color w:val="auto"/>
        </w:rPr>
      </w:pPr>
    </w:p>
    <w:p>
      <w:pPr>
        <w:ind w:left="760" w:right="20" w:hanging="374"/>
        <w:spacing w:after="0" w:line="297" w:lineRule="auto"/>
        <w:tabs>
          <w:tab w:leader="none" w:pos="7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decreased demand for services in several of our markets within Northern Europe, where revenues decreased 13.9% (-8.0% in constant currency and -7.2% in organic constant currency), primarily due to reduced demand for our Manpower staffing services and the disposition of our language translation business in the Netherlands at the end of December 2018. We experienced revenue declines in Germany, the Netherlands, Belgium, the United Kingdom, and the Nordics of 27.0%, 25.8%, 10.5%, 6.9%, and 8.2% (-22.3%, -21.0%, -4.9%, -1.2%, and -0.1%, respectively, in constant currency; -17.3% and increase of 0.8% in organic constant currency in the Netherlands and the Nordics, respectively);</w:t>
      </w:r>
    </w:p>
    <w:p>
      <w:pPr>
        <w:spacing w:after="0" w:line="117" w:lineRule="exact"/>
        <w:rPr>
          <w:rFonts w:ascii="Arial" w:cs="Arial" w:eastAsia="Arial" w:hAnsi="Arial"/>
          <w:sz w:val="16"/>
          <w:szCs w:val="16"/>
          <w:color w:val="auto"/>
        </w:rPr>
      </w:pPr>
    </w:p>
    <w:p>
      <w:pPr>
        <w:ind w:left="760" w:right="180" w:hanging="374"/>
        <w:spacing w:after="0" w:line="293" w:lineRule="auto"/>
        <w:tabs>
          <w:tab w:leader="none" w:pos="7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a revenue decrease in Southern Europe of 3.3% (increase of 2.4% in constant currency; -0.8% in organic constant currency). This included a revenue decrease in France of 6.7% (-0.8% in constant currency) primarily due to the unfavorable impact of changes in currency exchange rates and a slight decrease in our Manpower staffing revenues, partially offset by increased demand in our ManpowerGroup Solutions business and the additional revenues as a result of the acquisition of the remaining controlling interest in Manpower Switzerland in April 2019. The Southern Europe decrease also included a decrease in Italy of 11.1% (-5.5% in constant currency) due to decreased demand for our Manpower staffing services, partially offset by a 4.5% increase (11.2% in constant currency) in the permanent recruitment business;</w:t>
      </w:r>
    </w:p>
    <w:p>
      <w:pPr>
        <w:spacing w:after="0" w:line="124" w:lineRule="exact"/>
        <w:rPr>
          <w:rFonts w:ascii="Arial" w:cs="Arial" w:eastAsia="Arial" w:hAnsi="Arial"/>
          <w:sz w:val="16"/>
          <w:szCs w:val="16"/>
          <w:color w:val="auto"/>
        </w:rPr>
      </w:pPr>
    </w:p>
    <w:p>
      <w:pPr>
        <w:ind w:left="760" w:right="600" w:hanging="374"/>
        <w:spacing w:after="0" w:line="277" w:lineRule="auto"/>
        <w:tabs>
          <w:tab w:leader="none" w:pos="7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revenue decrease in the United States of 0.5% primarily driven by a decline in demand for our staffing/interim services, partially offset by additional revenues as a result of the acquisition of three franchises in August 2019;</w:t>
      </w:r>
    </w:p>
    <w:p>
      <w:pPr>
        <w:spacing w:after="0" w:line="129" w:lineRule="exact"/>
        <w:rPr>
          <w:rFonts w:ascii="Arial" w:cs="Arial" w:eastAsia="Arial" w:hAnsi="Arial"/>
          <w:sz w:val="18"/>
          <w:szCs w:val="18"/>
          <w:color w:val="auto"/>
        </w:rPr>
      </w:pPr>
    </w:p>
    <w:p>
      <w:pPr>
        <w:ind w:left="760" w:right="80" w:hanging="374"/>
        <w:spacing w:after="0" w:line="286" w:lineRule="auto"/>
        <w:tabs>
          <w:tab w:leader="none" w:pos="7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a revenue decrease in APME of 5.9% (-3.1% in constant currency; increase of 5.2% in organic constant currency) due to the deconsolidation of ManpowerGroup Greater China Limited in July 2019, the disposition of a low-margin business in Greater China at the end of December 2018, and the impact of changes in currency exchange rates, partially offset by an increase in our Manpower staffing revenues;</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24" w:right="239" w:bottom="1440" w:gutter="0" w:footer="0" w:header="0"/>
        </w:sectPr>
      </w:pPr>
    </w:p>
    <w:bookmarkStart w:id="30" w:name="page31"/>
    <w:bookmarkEnd w:id="30"/>
    <w:p>
      <w:pPr>
        <w:ind w:left="760" w:right="360" w:hanging="374"/>
        <w:spacing w:after="0" w:line="264" w:lineRule="auto"/>
        <w:tabs>
          <w:tab w:leader="none" w:pos="7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decreased demand for services at Right Management, where revenues decreased 3.4% (-0.3% in constant currency), including a 1.9% decrease (increase of 1.2% in constant currency) in our outplacement services, as well as an 8.3% decrease (-5.4% in constant currency) in our talent management business; and</w:t>
      </w:r>
    </w:p>
    <w:p>
      <w:pPr>
        <w:spacing w:after="0" w:line="140" w:lineRule="exact"/>
        <w:rPr>
          <w:rFonts w:ascii="Arial" w:cs="Arial" w:eastAsia="Arial" w:hAnsi="Arial"/>
          <w:sz w:val="18"/>
          <w:szCs w:val="18"/>
          <w:color w:val="auto"/>
        </w:rPr>
      </w:pPr>
    </w:p>
    <w:p>
      <w:pPr>
        <w:ind w:left="760" w:hanging="374"/>
        <w:spacing w:after="0"/>
        <w:tabs>
          <w:tab w:leader="none" w:pos="7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4.9% decrease due to the impact of changes in currency exchange rates.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year-over-year 20 basis point decrease in gross profit margin was primarily attributed to:</w:t>
      </w:r>
    </w:p>
    <w:p>
      <w:pPr>
        <w:spacing w:after="0" w:line="198" w:lineRule="exact"/>
        <w:rPr>
          <w:sz w:val="20"/>
          <w:szCs w:val="20"/>
          <w:color w:val="auto"/>
        </w:rPr>
      </w:pPr>
    </w:p>
    <w:p>
      <w:pPr>
        <w:ind w:left="760" w:right="160" w:hanging="374"/>
        <w:spacing w:after="0" w:line="277" w:lineRule="auto"/>
        <w:tabs>
          <w:tab w:leader="none" w:pos="7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20 basis point unfavorable impact from the declining margins in our higher-margin ManpowerGroup Solutions business, particularly within our Talent Based Outsourcing business; and</w:t>
      </w:r>
    </w:p>
    <w:p>
      <w:pPr>
        <w:spacing w:after="0" w:line="129" w:lineRule="exact"/>
        <w:rPr>
          <w:rFonts w:ascii="Arial" w:cs="Arial" w:eastAsia="Arial" w:hAnsi="Arial"/>
          <w:sz w:val="18"/>
          <w:szCs w:val="18"/>
          <w:color w:val="auto"/>
        </w:rPr>
      </w:pPr>
    </w:p>
    <w:p>
      <w:pPr>
        <w:ind w:left="760" w:hanging="374"/>
        <w:spacing w:after="0" w:line="264" w:lineRule="auto"/>
        <w:tabs>
          <w:tab w:leader="none" w:pos="7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10 basis point unfavorable impact from the decrease in our staffing/interim margin due to declines in most of our markets within Northern Europe partially offset by improvement from pricing initiatives in a few of our largest markets and favorable direct cost adjustments in France; partially offset by</w:t>
      </w:r>
    </w:p>
    <w:p>
      <w:pPr>
        <w:spacing w:after="0" w:line="140" w:lineRule="exact"/>
        <w:rPr>
          <w:rFonts w:ascii="Arial" w:cs="Arial" w:eastAsia="Arial" w:hAnsi="Arial"/>
          <w:sz w:val="18"/>
          <w:szCs w:val="18"/>
          <w:color w:val="auto"/>
        </w:rPr>
      </w:pPr>
    </w:p>
    <w:p>
      <w:pPr>
        <w:ind w:left="760" w:hanging="374"/>
        <w:spacing w:after="0"/>
        <w:tabs>
          <w:tab w:leader="none" w:pos="7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10 basis point favorable impact from changes in currency exchange rates.</w:t>
      </w:r>
    </w:p>
    <w:p>
      <w:pPr>
        <w:spacing w:after="0" w:line="18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2.7% decrease in selling and administrative expenses in the nine months ended September 30, 2019 (increase of 2.0% in constant currency and 2.2% in organic constant currency) was primarily attributed to:</w:t>
      </w:r>
    </w:p>
    <w:p>
      <w:pPr>
        <w:spacing w:after="0" w:line="130" w:lineRule="exact"/>
        <w:rPr>
          <w:sz w:val="20"/>
          <w:szCs w:val="20"/>
          <w:color w:val="auto"/>
        </w:rPr>
      </w:pPr>
    </w:p>
    <w:p>
      <w:pPr>
        <w:ind w:left="760" w:right="80" w:hanging="374"/>
        <w:spacing w:after="0" w:line="312" w:lineRule="auto"/>
        <w:tabs>
          <w:tab w:leader="none" w:pos="7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a 7.3% decrease (-2.7% in both constant currency and organic constant currency) in office-related costs primarily due to the favorable impact of changes in currency exchange rates, a decrease in the number of offices as a result of our delivery channel and other front-office centralization and back-office optimization activities, as well as adjusting our cost-base for the slower market environment in many of our European operations;</w:t>
      </w:r>
    </w:p>
    <w:p>
      <w:pPr>
        <w:spacing w:after="0" w:line="106" w:lineRule="exact"/>
        <w:rPr>
          <w:rFonts w:ascii="Arial" w:cs="Arial" w:eastAsia="Arial" w:hAnsi="Arial"/>
          <w:sz w:val="16"/>
          <w:szCs w:val="16"/>
          <w:color w:val="auto"/>
        </w:rPr>
      </w:pPr>
    </w:p>
    <w:p>
      <w:pPr>
        <w:ind w:left="760" w:right="300" w:hanging="374"/>
        <w:spacing w:after="0" w:line="264" w:lineRule="auto"/>
        <w:tabs>
          <w:tab w:leader="none" w:pos="7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4.1% decrease (increase of 0.5% in both constant currency and organic constant currency) in personnel costs primarily due to the favorable impact of changes in currency exchange rates, partially offset by an increase in headcount to support the increase in revenues in certain markets within the Americas, Southern Europe and APME;</w:t>
      </w:r>
    </w:p>
    <w:p>
      <w:pPr>
        <w:spacing w:after="0" w:line="140" w:lineRule="exact"/>
        <w:rPr>
          <w:rFonts w:ascii="Arial" w:cs="Arial" w:eastAsia="Arial" w:hAnsi="Arial"/>
          <w:sz w:val="18"/>
          <w:szCs w:val="18"/>
          <w:color w:val="auto"/>
        </w:rPr>
      </w:pPr>
    </w:p>
    <w:p>
      <w:pPr>
        <w:ind w:left="760" w:hanging="374"/>
        <w:spacing w:after="0" w:line="277" w:lineRule="auto"/>
        <w:tabs>
          <w:tab w:leader="none" w:pos="7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$26.1 million decrease in the nine months ended September 30, 2019 compared to 2018 as a result of the ManpowerGroup Greater China Limited deconsolidation in July 2019 and dispositions in December 2018 in Northern Europe and APME; partially offset by</w:t>
      </w:r>
    </w:p>
    <w:p>
      <w:pPr>
        <w:spacing w:after="0" w:line="129" w:lineRule="exact"/>
        <w:rPr>
          <w:rFonts w:ascii="Arial" w:cs="Arial" w:eastAsia="Arial" w:hAnsi="Arial"/>
          <w:sz w:val="18"/>
          <w:szCs w:val="18"/>
          <w:color w:val="auto"/>
        </w:rPr>
      </w:pPr>
    </w:p>
    <w:p>
      <w:pPr>
        <w:ind w:left="760" w:right="240" w:hanging="374"/>
        <w:spacing w:after="0" w:line="277" w:lineRule="auto"/>
        <w:tabs>
          <w:tab w:leader="none" w:pos="7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goodwill impairment and related charges of $65.6 million related to our Germany reporting unit and New Zealand operations in the nine months ended September 30, 2019;</w:t>
      </w:r>
    </w:p>
    <w:p>
      <w:pPr>
        <w:spacing w:after="0" w:line="129" w:lineRule="exact"/>
        <w:rPr>
          <w:rFonts w:ascii="Arial" w:cs="Arial" w:eastAsia="Arial" w:hAnsi="Arial"/>
          <w:sz w:val="18"/>
          <w:szCs w:val="18"/>
          <w:color w:val="auto"/>
        </w:rPr>
      </w:pPr>
    </w:p>
    <w:p>
      <w:pPr>
        <w:ind w:left="760" w:right="620" w:hanging="374"/>
        <w:spacing w:after="0" w:line="277" w:lineRule="auto"/>
        <w:tabs>
          <w:tab w:leader="none" w:pos="7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additional recurring selling and administrative costs of $23.2 million incurred as a result of the acquisition of Manpower Switzerland in Southern Europe and acquisition of three franchises in the United States in late August 2019; and</w:t>
      </w:r>
    </w:p>
    <w:p>
      <w:pPr>
        <w:spacing w:after="0" w:line="129" w:lineRule="exact"/>
        <w:rPr>
          <w:rFonts w:ascii="Arial" w:cs="Arial" w:eastAsia="Arial" w:hAnsi="Arial"/>
          <w:sz w:val="18"/>
          <w:szCs w:val="18"/>
          <w:color w:val="auto"/>
        </w:rPr>
      </w:pPr>
    </w:p>
    <w:p>
      <w:pPr>
        <w:ind w:left="760" w:right="140" w:hanging="374"/>
        <w:spacing w:after="0" w:line="277" w:lineRule="auto"/>
        <w:tabs>
          <w:tab w:leader="none" w:pos="7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restructuring costs of $39.8 million incurred in the nine months ended September 30, 2019 compared to $39.3 million incurred in the nine months ended September 30, 2018.</w:t>
      </w:r>
    </w:p>
    <w:p>
      <w:pPr>
        <w:spacing w:after="0" w:line="130"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Selling and administrative expenses as a percent of revenues increased 40 basis points in the nine months ended September 30, 2019 compared to the nine months ended September 30, 2018 due to a 40 basis point unfavorable impact from the goodwill impairment and other related charges, 10 basis point unfavorable impact from the increase in restructuring costs, and a 10 basis point unfavorable impact from changes in currency exchange rates. These items were partially offset by a 20 basis point favorable impact from the ManpowerGroup Greater China Limited deconsolidation gain.</w:t>
      </w:r>
    </w:p>
    <w:p>
      <w:pPr>
        <w:spacing w:after="0" w:line="171"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Interest and other expenses (income), net is comprised of interest, foreign exchange gains and losses and other miscellaneous non-operating income and expenses, including noncontrolling interests. Interest and other expenses (income), net was income of $46.1 million in the nine months ended September 30, 2019 compared to expenses of $38.4 million in the nine months ended September 30, 2018. Net interest expense decreased $2.9 million in the nine months ended September 30, 2019 to $30.1 million from $33.0 million in the third quarter of 2018 due to the lower interest rate on our €500.0 million notes offered and sold in June 2018 compared to the interest rate on the €350.0 million notes due June 22, 2018 that were repaid in June 2018. Miscellaneous income was $82.7 million in the nine months ended September 30, 2019 compared to miscellaneous expense of $2.6 million in the nine months ended</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31" w:name="page32"/>
    <w:bookmarkEnd w:id="31"/>
    <w:p>
      <w:pPr>
        <w:ind w:right="20"/>
        <w:spacing w:after="0" w:line="264" w:lineRule="auto"/>
        <w:rPr>
          <w:sz w:val="20"/>
          <w:szCs w:val="20"/>
          <w:color w:val="auto"/>
        </w:rPr>
      </w:pPr>
      <w:r>
        <w:rPr>
          <w:rFonts w:ascii="Arial" w:cs="Arial" w:eastAsia="Arial" w:hAnsi="Arial"/>
          <w:sz w:val="18"/>
          <w:szCs w:val="18"/>
          <w:color w:val="auto"/>
        </w:rPr>
        <w:t>September 30, 2018. The change was primarily due to the gain of $80.4 million from the acquisition of Manpower Switzerland and a decrease in expenses related to net earnings attributable to noncontrolling interests, partially offset by the decrease in the income from the equity investment in Switzerland prior to the acquisition.</w:t>
      </w:r>
    </w:p>
    <w:p>
      <w:pPr>
        <w:spacing w:after="0" w:line="181"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We recorded income tax expense at an effective rate of 34.5% for the nine months ended September 30, 2019, as compared to an effective rate of 26.3% for the nine months ended September 30, 2018. The 34.5% effective tax rate for the nine months ended September 30, 2019 was higher than the United States Federal statutory rate of 21% primarily due to the French business tax, our overall mix of earnings, and the recognition of valuation allowances in Germany.</w:t>
      </w:r>
    </w:p>
    <w:p>
      <w:pPr>
        <w:spacing w:after="0" w:line="14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Net earnings per share - diluted was $5.40 and $6.03 in the nine months ended September 30, 2019 and 2018, respectively. Foreign currency exchange rates unfavorably impacted net earnings per share - diluted by approximately $0.22 per share for the nine months ended September 30, 2019. The gain from the acquisition of Manpower Switzerland recorded in the nine months ended September 30, 2019 positively impacted net earnings per share – diluted by approximately $1.33 per share. Goodwill impairment and related tax and other charges recorded in the nine months ended September 30, 2019 negatively impacted net earnings per share – diluted by approximately $1.08. The gain from the deconsolidation of ManpowerGroup Greater China Limited recorded in the nine months ended September 30, 2019 positively impacted net earnings per share – diluted by approximately $0.50 per share. In the nine months ended September 30, 2019 and 2018, restructuring costs negatively impacted net earnings per share - diluted by approximately $0.52 and $0.45 per share, net of tax.</w:t>
      </w:r>
    </w:p>
    <w:p>
      <w:pPr>
        <w:spacing w:after="0" w:line="127"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Weighted average shares - diluted decreased to 60.6 million in the nine months ended September 30, 2019 from 66.1 million in the nine months ended September 30, 2018. This decrease was due to the impact of share repurchases completed since the nine months ended September 30, 2018, partially offset by shares issued as a result of exercises and vesting of share-based awards since the nine months ended September 30, 2018.</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Segment Operating Results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Americas</w:t>
      </w:r>
    </w:p>
    <w:p>
      <w:pPr>
        <w:spacing w:after="0" w:line="185"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In the Americas, revenues from services increased 2.9% (5.5% in constant currency and 5.1% in organic constant currency) in the third quarter of 2019 compared to 2018. In the United States, revenues from services increased 2.0% (1.3% on an organic basis) in the third quarter of 2019 compared to 2018, primarily driven by increased demand for our Experis interim services as we experienced increased activity from our small-to-medium sized clients, the favorable impact of approximately one additional billing day, a 6.0% increase in our permanent recruitment business, and an increase in our ManpowerGroup Solutions business, primarily within our MSP and RPO offerings. These increases were partially offset by decreased demand for our Manpower services due to reduced activity of our manufacturing clients. In Other Americas, revenues from services increased 4.5% (11.0% in constant currency) in the third quarter of 2019 compared to 2018. We experienced revenue growth in Canada and Peru of 19.5% and 24.1%, respectively (20.8%, and 26.0%, respectively, in constant currency). These increases were partially offset by decreases in Mexico, Argentina, Colombia and Brazil of 1.7%, 16.4%, 3.6% and 2.3%, respectively (increases of 0.8%, 32.2%, 8.8% and decrease of -1.7%, respectively, in constant currency). The constant currency increase in Argentina was primarily due to inflation. There has been a steady devaluation of the Argentine peso relative to the United States dollar in the last few years. As of July 1, 2018, the Argentina economy was designated as highly-inflationary and was treated as such for accounting purposes starting in the third quarter of 2018.</w:t>
      </w:r>
    </w:p>
    <w:p>
      <w:pPr>
        <w:spacing w:after="0" w:line="146"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In the Americas, revenues from services increased 0.2% (3.7% in constant currency) in the nine months ended September 30, 2019 compared to 2018. In the United States, revenues from services decreased 0.5% in the nine months ended September 30, 2019 compared to 2018, primarily driven by a decline in demand for our staffing/interim services and the unfavorable impact of approximately one fewer billing day, partially offset by a 3.1% increase in our permanent recruitment business and an increase in our ManpowerGroup Solutions business, primarily within our MSP offering. In Other Americas, revenues from services increased 1.3% (10.2% in constant currency) in the nine months ended September 30, 2019 compared to 2018. We experienced revenue growth in Mexico, Canada, and Peru of 1.9%, 11.3%, and 16.0%, respectively (3.1%, 14.7%, and 18.3%, respectively, in constant currency). These increases were partially offset by decreases in Argentina, Colombia and Brazil of 33.5%, 1.6% and 1.5%, respectively (increases of 21.6%, 10.5% and 7.1%, respectively, in constant currency).</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2" w:name="page33"/>
    <w:bookmarkEnd w:id="32"/>
    <w:p>
      <w:pPr>
        <w:spacing w:after="0" w:line="288" w:lineRule="auto"/>
        <w:rPr>
          <w:sz w:val="20"/>
          <w:szCs w:val="20"/>
          <w:color w:val="auto"/>
        </w:rPr>
      </w:pPr>
      <w:r>
        <w:rPr>
          <w:rFonts w:ascii="Arial" w:cs="Arial" w:eastAsia="Arial" w:hAnsi="Arial"/>
          <w:sz w:val="16"/>
          <w:szCs w:val="16"/>
          <w:color w:val="auto"/>
        </w:rPr>
        <w:t xml:space="preserve">Gross profit margin increased in the three months ended September 30, 2019 compared to 2018 and was flat in the nine months ended September 30, 2019 compared to 2018. Gross profit margin increased due to margin improvements in our </w:t>
      </w:r>
      <w:r>
        <w:rPr>
          <w:rFonts w:ascii="Arial" w:cs="Arial" w:eastAsia="Arial" w:hAnsi="Arial"/>
          <w:sz w:val="16"/>
          <w:szCs w:val="16"/>
          <w:color w:val="282A32"/>
        </w:rPr>
        <w:t>s</w:t>
      </w:r>
      <w:r>
        <w:rPr>
          <w:rFonts w:ascii="Arial" w:cs="Arial" w:eastAsia="Arial" w:hAnsi="Arial"/>
          <w:sz w:val="16"/>
          <w:szCs w:val="16"/>
          <w:color w:val="auto"/>
        </w:rPr>
        <w:t>taffing/interim business, specifically in the United States, due to pricing discipline and lower payroll tax and insurance costs. Gross profit margin also increased due to the increase of 6.9% (8.0% in constant currency) and 2.6%</w:t>
      </w:r>
    </w:p>
    <w:p>
      <w:pPr>
        <w:ind w:right="40"/>
        <w:spacing w:after="0" w:line="255" w:lineRule="auto"/>
        <w:rPr>
          <w:sz w:val="20"/>
          <w:szCs w:val="20"/>
          <w:color w:val="auto"/>
        </w:rPr>
      </w:pPr>
      <w:r>
        <w:rPr>
          <w:rFonts w:ascii="Arial" w:cs="Arial" w:eastAsia="Arial" w:hAnsi="Arial"/>
          <w:sz w:val="18"/>
          <w:szCs w:val="18"/>
          <w:color w:val="auto"/>
        </w:rPr>
        <w:t>(4.2% in constant currency) in the permanent recruitment business for the three and nine months ended September 30, 2019 and 2018, respectively. The gross profit margin increases in the nine months ended September 30, 2019 compared to 2018 were offset by the decreases in the staffing/interim gross profit margins within certain markets within Other Americas.</w:t>
      </w:r>
    </w:p>
    <w:p>
      <w:pPr>
        <w:spacing w:after="0" w:line="163"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In the three and nine months ended September 30, 2019, selling and administrative expenses increased 3.0% (4.9% in constant currency) and 3.4% (6.4% in constant currency), respectively, due primarily to an increase in salary-related expenses, as a result of higher headcount related to growth initiatives. The increase in the nine months ended September 30, 2019 was also due to the increase in restructuring costs to $5.1 million from $0.3 million in the first nine months of 2018.</w:t>
      </w:r>
    </w:p>
    <w:p>
      <w:pPr>
        <w:spacing w:after="0" w:line="146"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Operating Unit Profit (“OUP”) margin in the Americas was 5.1% and 4.9% for the third quarter of 2019 and 2018, respectively. In the United States, OUP margin increased to 5.5% in the third quarter of 2019 from 5.2% in 2018. The margin increase in the third quarter of 2019 in the United States was primarily due to the improvement in the gross profit margin, partially offset by increased costs as a result of headcount increases for growth initiatives. Other Americas OUP margin was flat at 4.5% in the third quarter of 2019 and 2018 as we were able to increase revenues without a similar increase in selling and administrative expenses offset by a decline in the gross profit margin.</w:t>
      </w:r>
    </w:p>
    <w:p>
      <w:pPr>
        <w:spacing w:after="0" w:line="148"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OUP margin in the Americas was 4.3% and 4.8% for the nine months ended September 30, 2019 and 2018, respectively. In the United States, OUP margin decreased to 4.5% for the nine months ended September 30, 2019 compared to 5.2% in 2018. The margin decrease in 2019 in the United States was primarily due to increased costs as a result of headcount increases for growth initiatives, partially offset by an improvement in the gross profit margin. Other Americas OUP margin decreased to 4.1% for the nine months ended September 30, 2019 compared to 4.3% in 2018 primarily due to an increase in restructuring costs and increased costs as a result of headcount increases for growth initiatives.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Southern Europe</w:t>
      </w:r>
    </w:p>
    <w:p>
      <w:pPr>
        <w:spacing w:after="0" w:line="185"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In Southern Europe, which includes operations in France and Italy, revenues from services increased 0.9% (5.0% in constant currency; 0.1% in organic constant currency) in the third quarter of 2019 compared to 2018. In the third quarter of 2019, revenues from services decreased 5.4% (-1.0% in constant currency) in France (which represents 59% of Southern Europe’s revenues) and decreased 8.2% (-3.9% in constant currency) in Italy (which represents 16% of Southern Europe’s revenues). The decrease in France is primarily due to the unfavorable impact of changes in currency exchange rates and decreased demand for our Manpower staffing services, partially offset by the favorable impact of approximately one additional billing day and an increase in our ManpowerGroup Solutions business. The decrease in Italy was primarily due to the unfavorable impact of changes in currency exchange rates and decreased demand for our Manpower staffing services as a result of a challenging economic environment, partially offset by the favorable impact of approximately one additional billing day and a 0.6% increase (5.5% in constant currency) in the permanent recruitment business. In Other Southern Europe, revenues from services increased 28.7% (31.9% in constant currency and 6.9% in organic constant currency) during the third quarter of 2019 compared to 2018, due to the additional revenue from our acquisition in April 2019 of the remaining interest in Manpower Switzerland (which represents approximately 5% of Southern Europe’s revenues) increased demand for our Manpower staffing services, the favorable impact of approximately one additional billing day, an increase in our ManpowerGroup Solutions business and an increase in our permanent recruitment business of 15.4% (18.2% in constant currency and 4.9% in organic constant currency), partially offset by the unfavorable impact of changes in currency exchange rates.</w:t>
      </w:r>
    </w:p>
    <w:p>
      <w:pPr>
        <w:spacing w:after="0" w:line="134"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Revenues from services decreased 3.3% (increase of 2.4% in constant currency; -0.8% in organic constant currency) in the nine months ended September 30, 2019 compared to 2018. In the nine months ended September 30, 2019, revenues from services decreased 6.7% (-0.8% in constant currency) in France and decreased 11.1% (-5.5% in constant currency) in Italy compared to 2018. The decrease in France is primarily due to the unfavorable impact of changes in currency exchange rates and decreased demand for our Manpower staffing services, partially offset by an increase in our ManpowerGroup Solutions business. The decrease in Italy was due to decreased demand for our Manpower staffing services as a result of a challenging economic environment and the unfavorable impact of changes in currency exchange rates, partially offset by the favorable impact of approximately one additional billing day and a 4.5% increase (11.2% in constant currency) in the permanent recruitment business. In Other Southern Europe, revenues from</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3" w:name="page34"/>
    <w:bookmarkEnd w:id="33"/>
    <w:p>
      <w:pPr>
        <w:ind w:right="40"/>
        <w:spacing w:after="0" w:line="257" w:lineRule="auto"/>
        <w:rPr>
          <w:sz w:val="20"/>
          <w:szCs w:val="20"/>
          <w:color w:val="auto"/>
        </w:rPr>
      </w:pPr>
      <w:r>
        <w:rPr>
          <w:rFonts w:ascii="Arial" w:cs="Arial" w:eastAsia="Arial" w:hAnsi="Arial"/>
          <w:sz w:val="18"/>
          <w:szCs w:val="18"/>
          <w:color w:val="auto"/>
        </w:rPr>
        <w:t>services increased 13.9% (19.4% in constant currency and 3.5% in organic constant currency) during the nine months ended September 30, 2019 compared to 2018, due to the additional revenue from our acquisition of the remaining interest in Manpower Switzerland, increased demand for our Manpower staffing services, the favorable impact of approximately one additional billing day, an increase in our ManpowerGroup Solutions business and the increase in our permanent recruitment business of 8.1% (13.9% in constant currency and 5.8% in organic constant currency), partially offset by the unfavorable impact of changes in currency exchange rates.</w:t>
      </w:r>
    </w:p>
    <w:p>
      <w:pPr>
        <w:spacing w:after="0" w:line="161"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Gross profit margin decreased in the three months ended September 30, 2019 compared to 2018 primarily due to the decrease in France's staffing/interim margin due to the unfavorable impact from transition of the CICE program to a new subsidy program, partially offset by various initiatives undertaken to address the unfavorable impact from this transition and the improvement of the staffing/interim gross profit margin in Italy. Gross profit margin increased in the nine months ended September 30, 2019 compared to 2018, partially due to the favorable direct cost adjustments and various initiatives undertaken to address the unfavorable impact from transition of the CICE program to a new subsidy program and the improvement of the staffing/interim gross profit margin in Italy. The Southern Europe gross profit margins also increased due to growth in our higher-margin ManpowerGroup Solutions business and a 4.8% and 2.7% increase, respectively (8.8% and 8.9% in constant currency and 3.6% and 5.9% in organic constant currency, respectively) in the permanent recruitment business for the third quarter of 2019 and nine months ended September 30, 2019 compared to 2018. These increases were partially offset by the unfavorable impact of the transition of the CICE program to a new subsidy program.</w:t>
      </w:r>
    </w:p>
    <w:p>
      <w:pPr>
        <w:spacing w:after="0" w:line="126" w:lineRule="exact"/>
        <w:rPr>
          <w:sz w:val="20"/>
          <w:szCs w:val="20"/>
          <w:color w:val="auto"/>
        </w:rPr>
      </w:pPr>
    </w:p>
    <w:p>
      <w:pPr>
        <w:ind w:right="320"/>
        <w:spacing w:after="0" w:line="286" w:lineRule="auto"/>
        <w:rPr>
          <w:sz w:val="20"/>
          <w:szCs w:val="20"/>
          <w:color w:val="auto"/>
        </w:rPr>
      </w:pPr>
      <w:r>
        <w:rPr>
          <w:rFonts w:ascii="Arial" w:cs="Arial" w:eastAsia="Arial" w:hAnsi="Arial"/>
          <w:sz w:val="17"/>
          <w:szCs w:val="17"/>
          <w:color w:val="auto"/>
        </w:rPr>
        <w:t>Selling and administrative expenses increased 2.1% (6.2% in constant currency and 1.1% in organic constant currency) during the third quarter of 2019 compared to 2018, due to the additional recurring costs from our acquisition of the remaining interest in Manpower Switzerland and an increase in salary-related expenses as a result of higher headcount, partially offset by the favorable impact of changes in currency exchange rates.</w:t>
      </w:r>
    </w:p>
    <w:p>
      <w:pPr>
        <w:spacing w:after="0" w:line="125"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Selling and administrative expenses decreased 1.3% (increase of 4.7% in constant currency and 1.2% in organic constant currency) in the nine months ended September 30, 2019 compared to 2018, due to the favorable impact of changes in currency exchange rates, partially offset by the additional recurring costs from our acquisition of the remaining interest in Manpower Switzerland and an increase in salary-related expenses, as a result of higher headcount.</w:t>
      </w:r>
    </w:p>
    <w:p>
      <w:pPr>
        <w:spacing w:after="0" w:line="120"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OUP margin in Southern Europe was 5.0% for the third quarter of 2019 compared to 5.2% for 2018. In France, the OUP margin decreased to 5.1% for the third quarter of 2019 from 5.4% in 2018, primarily due to expense deleveraging, as we were unable to decrease selling and administrative expenses at the same rate as our revenue decline, and the decrease in the gross profit margin. In Italy, the OUP margin decreased to 6.2% for the third quarter of 2019 from 6.3% for 2018, primarily due to expense deleveraging, as we were unable to decrease selling and administrative expenses at the same rate as our revenue decline, partially offset by the improvement in the gross profit margin. Other Southern Europe’s OUP margin increased to 3.8% for the third quarter of 2019 from 3.7% in 2018, as we were able to increase revenues without a similar increase in selling and administrative expenses, partially offset by the decrease in the gross profit margin.</w:t>
      </w:r>
    </w:p>
    <w:p>
      <w:pPr>
        <w:spacing w:after="0" w:line="149"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OUP margin in Southern Europe was 4.8% for both the nine months ended September 30, 2019 and 2018. In France, the OUP margin increased to 4.9% in the nine months ended September 30, 2019 compared to 4.8% in 2018, primarily due improvement in the gross profit margin, partially offset by expense deleveraging, as we were unable to decrease selling and administrative expenses at the same rate as our revenue decline. In Italy, the OUP margin was flat at</w:t>
      </w:r>
    </w:p>
    <w:p>
      <w:pPr>
        <w:spacing w:after="0" w:line="254" w:lineRule="auto"/>
        <w:rPr>
          <w:sz w:val="20"/>
          <w:szCs w:val="20"/>
          <w:color w:val="auto"/>
        </w:rPr>
      </w:pPr>
      <w:r>
        <w:rPr>
          <w:rFonts w:ascii="Arial" w:cs="Arial" w:eastAsia="Arial" w:hAnsi="Arial"/>
          <w:sz w:val="18"/>
          <w:szCs w:val="18"/>
          <w:color w:val="auto"/>
        </w:rPr>
        <w:t>6.5% for the nine months ended September 30, 2019 and 2018, as the improvement in the gross profit margin was offset by expense deleveraging, as we were unable to decrease selling and administrative expenses at the same rate as our revenue decline. Other Southern Europe’s OUP margin decreased to 3.2% in the nine months ended September 30, 2019 compared to 3.4% in 2018, due to a decline in the gross profit margin, partially offset by a decrease in restructuring costs.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Northern Europe</w:t>
      </w:r>
    </w:p>
    <w:p>
      <w:pPr>
        <w:spacing w:after="0" w:line="198"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In Northern Europe, which includes operations in the United Kingdom, Germany, the Nordics, the Netherlands and Belgium (comprising 33%, 18%, 20%, 12%, and 9%, respectively, of Northern Europe’s revenues), revenues from services decreased 10.1% (-5.3% in constant currency and -4.3% in organic constant currency) in the third quarter of 2019 compared to 2018. We experienced revenue declines in the United Kingdom, Germany, the Nordics, the Netherlands and Belgium of 1.5%, 21.1%, 9.5%, 23.7% and 8.4% (revenue trend of +4.2%, -17.5%, -3.0%, -20.2% and -4.2%, respectively, in constant currency; -0.8% and -16.4% in organic constant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4" w:name="page35"/>
    <w:bookmarkEnd w:id="34"/>
    <w:p>
      <w:pPr>
        <w:spacing w:after="0" w:line="271" w:lineRule="auto"/>
        <w:rPr>
          <w:sz w:val="20"/>
          <w:szCs w:val="20"/>
          <w:color w:val="auto"/>
        </w:rPr>
      </w:pPr>
      <w:r>
        <w:rPr>
          <w:rFonts w:ascii="Arial" w:cs="Arial" w:eastAsia="Arial" w:hAnsi="Arial"/>
          <w:sz w:val="17"/>
          <w:szCs w:val="17"/>
          <w:color w:val="auto"/>
        </w:rPr>
        <w:t>currency in the Nordics and the Netherlands, respectively). The Northern Europe revenue decrease is primarily due to reduced demand for our Manpower staffing services, primarily because of the decrease in Germany resulting from lower production activity in the manufacturing sector in that market, decreases in our staffing/interim services in the Netherlands due to a reduction in manufacturing-related demand and the exit from certain client contracts as a result of pricing decisions, and decreased demand in Sweden related to lower activity from our manufacturing clients. This decrease was also due to a decrease in our ManpowerGroup Solutions business from the disposition of our language translation business in the Netherlands at the end of December 2018 and the 6.9% decrease (-1.7% in constant currency) in the permanent recruitment business. These decreases were partially offset by an increased demand for our Manpower staffing services in the United Kingdom despite talent shortage challenges, improving demand for staffing/interim services in Norway and the favorable impact of approximately one additional billing day.</w:t>
      </w:r>
    </w:p>
    <w:p>
      <w:pPr>
        <w:spacing w:after="0" w:line="152"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Revenues from services decreased 13.9% (-8.0% in constant currency and -7.2% in organic constant currency) in the nine months ended September 30, 2019 compared to 2018. We experienced revenue declines in the United Kingdom, Germany, the Nordics, the Netherlands and Belgium of 6.9%, 27.0%, 8.2%,</w:t>
      </w:r>
    </w:p>
    <w:p>
      <w:pPr>
        <w:ind w:right="40"/>
        <w:spacing w:after="0" w:line="268" w:lineRule="auto"/>
        <w:rPr>
          <w:sz w:val="20"/>
          <w:szCs w:val="20"/>
          <w:color w:val="auto"/>
        </w:rPr>
      </w:pPr>
      <w:r>
        <w:rPr>
          <w:rFonts w:ascii="Arial" w:cs="Arial" w:eastAsia="Arial" w:hAnsi="Arial"/>
          <w:sz w:val="17"/>
          <w:szCs w:val="17"/>
          <w:color w:val="auto"/>
        </w:rPr>
        <w:t>25.8% and 10.5% (-1.2%, -22.3%, -0.1%, -21.0% and -4.9%, respectively, in constant currency; increase of 0.8% and -17.3% in organic constant currency in the Nordics and the Netherlands, respectively). The Northern Europe revenue decrease is primarily due to reduced demand for our Manpower staffing services, primarily because of the decrease in Germany resulting from lower production activity in the manufacturing sector in that market, decreases in our staffing/interim services in the Netherlands due to a reduction in manufacturing-related demand and the exit from certain client contracts as a result of pricing decisions, and decreased demand in Sweden related to lower activity from our manufacturing clients. This decrease was also due to a decrease in our ManpowerGroup Solutions business from the disposition of our language translation business in the Netherlands at the end of December 2018 and the 12.2% decrease (-6.1% in constant currency) in the permanent recruitment business. These decreases were partially offset by an increased demand for our staffing/interim services in Norway.</w:t>
      </w:r>
    </w:p>
    <w:p>
      <w:pPr>
        <w:spacing w:after="0" w:line="144"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Gross profit margin decreased in both the three and nine months ended September 30, 2019 compared to 2018 due to the decline in our staffing/interim margin, primarily as a result of business mix changes, lower associate utilization and higher vacation and sickness rates in Germany, and the decrease in our permanent recruitment business.</w:t>
      </w:r>
    </w:p>
    <w:p>
      <w:pPr>
        <w:spacing w:after="0" w:line="141"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Selling and administrative expenses decreased 10.5% (-5.7% in constant currency and -4.3% in organic constant currency) in the third quarter of 2019 compared to 2018. Selling and administrative expenses decreased 15.7% (-9.9% in constant currency and -9.0% in organic constant currency) in the nine months ended September 30, 2019 compared to 2018. The decreases were primarily due to the decreases in salary-related expenses as a result of a reduction in headcount and a decrease in office-related expenses driven by a decrease in the number of offices. The decrease for the nine months ended September 30, 2019 compared to 2018 was also due to a decrease in consulting costs related to certain technology projects, front-office centralization and back-office optimization activities incurred in the third quarter of 2018 and a decrease in restructuring costs to $19.8 million in the nine months ended September 30, 2019 from $33.3 million in the nine months ended September 30, 2018. The 2019 restructuring costs related to delivery model and other front-office centralization activities as well as back-office optimization activities primarily in Germany, the Netherlands, Sweden, and Belgium.</w:t>
      </w:r>
    </w:p>
    <w:p>
      <w:pPr>
        <w:spacing w:after="0" w:line="139"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OUP margin for Northern Europe for the third quarter of 2019 decreased to 1.8% compared to 3.1% in 2018 due to the decrease in gross profit margin. OUP margin decreased to 1.3% in the nine months ended September 30, 2019 from 2.0% in 2018 due to the decrease in the gross profit margin, partially offset by the decrease in restructuring costs.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APME</w:t>
      </w:r>
    </w:p>
    <w:p>
      <w:pPr>
        <w:spacing w:after="0" w:line="185"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Revenues from services decreased 12.8% (-12.6% in constant currency and an increase of 4.6% in organic constant currency) in the third quarter of 2019 compared to 2018. In Japan (which represents 40% of APME’s revenues), revenues from services increased 12.6% (8.4% in constant currency) due to the increased demand for our staffing/interim services, increase in our ManpowerGroup Solutions business, and a 12.1% increase (8.0% in constant currency) in our permanent recruitment business, partially offset by the unfavorable impact of one fewer billing day in the quarter. In Australia (which represents 16% of APME’s revenues), revenues from services decreased 31.1% (-26.5% in constant currency) as we chose to exit certain low-margin business to improve profitability, and due to the 9.9% decrease (-4.0% in constant currency) in our permanent recruitment business. The revenue decrease in the remaining markets in APME is due to the ManpowerGroup Greater China Limited deconsolidation in July 2019 and disposition of a low-margin business in Greater China at the end of December 2018, partially offset by increased demand for Manpower staffing services, mostly in India, Thailand, and Singapore.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35" w:name="page36"/>
    <w:bookmarkEnd w:id="35"/>
    <w:p>
      <w:pPr>
        <w:ind w:right="60"/>
        <w:spacing w:after="0" w:line="290" w:lineRule="auto"/>
        <w:rPr>
          <w:sz w:val="20"/>
          <w:szCs w:val="20"/>
          <w:color w:val="auto"/>
        </w:rPr>
      </w:pPr>
      <w:r>
        <w:rPr>
          <w:rFonts w:ascii="Arial" w:cs="Arial" w:eastAsia="Arial" w:hAnsi="Arial"/>
          <w:sz w:val="16"/>
          <w:szCs w:val="16"/>
          <w:color w:val="auto"/>
        </w:rPr>
        <w:t>Revenues from services decreased 5.9% (-3.1% in constant currency and an increase of 5.2% in organic constant currency) in the nine months ended September 30, 2019 compared to 2018. In Japan, revenues from services increased 5.8% (5.3% in constant currency) due to the increased demand for our staffing/interim services, an increase in our ManpowerGroup Solutions business, and a 7.5% increase (7.2% in constant currency) in our permanent recruitment business, partially offset by the unfavorable impact of five fewer billing days in the first nine months of 2019 compared to 2018. In Australia, revenues from services decreased 22.1% (-15.4% in constant currency) as we chose to exit certain low-margin business to improve profitability, and due to the 9.7% decrease (-2.1% in constant currency) in our permanent recruitment business. The revenue decrease in the remaining markets in APME is due to the ManpowerGroup Greater China Limited deconsolidation in July 2019 and disposition of a low-margin business in Greater China at the end of December 2018, partially offset by increased demand for Manpower staffing services, mostly in India, Thailand, and Singapore.</w:t>
      </w:r>
    </w:p>
    <w:p>
      <w:pPr>
        <w:spacing w:after="0" w:line="139" w:lineRule="exact"/>
        <w:rPr>
          <w:sz w:val="20"/>
          <w:szCs w:val="20"/>
          <w:color w:val="auto"/>
        </w:rPr>
      </w:pPr>
    </w:p>
    <w:p>
      <w:pPr>
        <w:jc w:val="both"/>
        <w:ind w:right="620"/>
        <w:spacing w:after="0" w:line="286" w:lineRule="auto"/>
        <w:rPr>
          <w:sz w:val="20"/>
          <w:szCs w:val="20"/>
          <w:color w:val="auto"/>
        </w:rPr>
      </w:pPr>
      <w:r>
        <w:rPr>
          <w:rFonts w:ascii="Arial" w:cs="Arial" w:eastAsia="Arial" w:hAnsi="Arial"/>
          <w:sz w:val="17"/>
          <w:szCs w:val="17"/>
          <w:color w:val="auto"/>
        </w:rPr>
        <w:t>Gross profit margin decreased in both the three and nine months ended September 30, 2019 compared to 2018 due to the decreases in our permanent recruitment business of 31.8% and 15.6%, respectively (-29.6% and -10.9% in constant currency, respectively), partially offset by the increases in our staffing/interim margins due to the disposition of a low-margin business in Greater China in December 2018.</w:t>
      </w:r>
    </w:p>
    <w:p>
      <w:pPr>
        <w:spacing w:after="0" w:line="125" w:lineRule="exact"/>
        <w:rPr>
          <w:sz w:val="20"/>
          <w:szCs w:val="20"/>
          <w:color w:val="auto"/>
        </w:rPr>
      </w:pPr>
    </w:p>
    <w:p>
      <w:pPr>
        <w:ind w:right="260"/>
        <w:spacing w:after="0" w:line="273" w:lineRule="auto"/>
        <w:rPr>
          <w:sz w:val="20"/>
          <w:szCs w:val="20"/>
          <w:color w:val="auto"/>
        </w:rPr>
      </w:pPr>
      <w:r>
        <w:rPr>
          <w:rFonts w:ascii="Arial" w:cs="Arial" w:eastAsia="Arial" w:hAnsi="Arial"/>
          <w:sz w:val="17"/>
          <w:szCs w:val="17"/>
          <w:color w:val="auto"/>
        </w:rPr>
        <w:t>Selling and administrative expenses decreased 51.7% (-50.8% in constant currency and -37.5% in organic constant currency) in the third quarter of 2019 compared to 2018. Selling and administrative expenses decreased 16.1% (-12.6% in constant currency and -4.9% in organic constant currency) in the nine months ended September 30, 2019 compared to 2018. The decreases were primarily due to the gain from the ManpowerGroup Greater China Limited deconsolidation in July 2019, less expenses as a result of the ManpowerGroup Greater China deconsolidation in July 2019 and disposition of a low-margin business in Greater China in December 2018, and the favorable impact of changes in currency exchange rates. These decreases were partially offset by increases in costs to support the increases in revenues in certain markets.</w:t>
      </w:r>
    </w:p>
    <w:p>
      <w:pPr>
        <w:spacing w:after="0" w:line="138"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OUP margin for APME was 8.6% in the third quarter of 2019 and 4.5% in 2018. OUP margin was 5.0% in the nine months ended September 30, 2019 and 4.1% in 2018. The increases were due to the gain from the ManpowerGroup Greater China Limited deconsolidation in July 2019, partially offset by the declines in the gross profit margins.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Right Management</w:t>
      </w:r>
    </w:p>
    <w:p>
      <w:pPr>
        <w:spacing w:after="0" w:line="185"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Revenues from services increased 2.5% (4.7% in constant currency) in the third quarter of 2019 compared to 2018. The increase is primarily due to the 7.1% increase (9.7% in constant currency) in our outplacement services as we experienced increased demand in our European and Asian markets, partially offset by softer demand in the Americas market and the unfavorable impact of changes in currency exchange rates. Our talent management business decreased 11.2% (-9.8% in constant currency) in the third quarter of 2019 compared to 2018 due primarily to softer demand in our European and Asian markets.</w:t>
      </w:r>
    </w:p>
    <w:p>
      <w:pPr>
        <w:spacing w:after="0" w:line="114"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Revenues from services decreased 3.4% (-0.3% in constant currency) in the nine months ended September 30, 2019 compared to 2018. The decrease is primarily due to the 8.3% decrease (-5.4% in constant currency) in our talent management services due mostly to softening demand in our European and Asian markets and the unfavorable impact of changes in currency exchange rates. Our outplacement business decreased 1.9% (increase of 1.2% in constant currency) in the nine months ended September 30, 2019 compared to 2018 due mostly to the unfavorable impact of changes in currency exchange rates, partially offset by increased demand in our European and Asian markets.</w:t>
      </w:r>
    </w:p>
    <w:p>
      <w:pPr>
        <w:spacing w:after="0" w:line="161"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Gross profit margin decreased in both the three and nine months ended September 30, 2019 compared to 2018 due to the decrease in both our outplacement and talent management businesses’ gross profit margins, partially offset by the change in business mix as the higher-margin outplacement business represented a higher percentage of the revenue mix.</w:t>
      </w:r>
    </w:p>
    <w:p>
      <w:pPr>
        <w:spacing w:after="0" w:line="141"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Selling and administrative expenses decreased 4.5% (-2.6% in constant currency) in the third quarter of 2019 compared to 2018 primarily due to a decrease in the number of offices. Selling and administrative expenses decreased 1.1% (increase of 1.9% in constant currency) in the nine months ended September 30, 2019 compared to 2018 due to a decrease in the number of offices, partially offset by an increase in restructuring costs to $4.7 million in the nine months ended September 30, 2019 from $0.3 million in the nine months ended September 30, 2018.</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6" w:name="page37"/>
    <w:bookmarkEnd w:id="36"/>
    <w:p>
      <w:pPr>
        <w:ind w:right="340"/>
        <w:spacing w:after="0" w:line="286" w:lineRule="auto"/>
        <w:rPr>
          <w:sz w:val="20"/>
          <w:szCs w:val="20"/>
          <w:color w:val="auto"/>
        </w:rPr>
      </w:pPr>
      <w:r>
        <w:rPr>
          <w:rFonts w:ascii="Arial" w:cs="Arial" w:eastAsia="Arial" w:hAnsi="Arial"/>
          <w:sz w:val="17"/>
          <w:szCs w:val="17"/>
          <w:color w:val="auto"/>
        </w:rPr>
        <w:t>OUP margin for Right Management increased to 15.5% in the third quarter of 2019 from 14.0% in 2018 as we were able to increase revenues without a similar increase in selling and administrative expenses. OUP margin decreased to 12.9% in the nine months ended September 30, 2019 from 15.7% in the nine months ended September 30, 2018 due to the increase in restructuring costs and the decline in the gross profit margin.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Financial Measures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Constant Currency and Organic Constant Currency Reconciliation</w:t>
      </w:r>
    </w:p>
    <w:p>
      <w:pPr>
        <w:spacing w:after="0" w:line="185" w:lineRule="exact"/>
        <w:rPr>
          <w:sz w:val="20"/>
          <w:szCs w:val="20"/>
          <w:color w:val="auto"/>
        </w:rPr>
      </w:pPr>
    </w:p>
    <w:p>
      <w:pPr>
        <w:jc w:val="both"/>
        <w:ind w:right="540"/>
        <w:spacing w:after="0" w:line="264" w:lineRule="auto"/>
        <w:rPr>
          <w:sz w:val="20"/>
          <w:szCs w:val="20"/>
          <w:color w:val="auto"/>
        </w:rPr>
      </w:pPr>
      <w:r>
        <w:rPr>
          <w:rFonts w:ascii="Arial" w:cs="Arial" w:eastAsia="Arial" w:hAnsi="Arial"/>
          <w:sz w:val="18"/>
          <w:szCs w:val="18"/>
          <w:color w:val="auto"/>
        </w:rPr>
        <w:t>Changes in our financial results include the impact of changes in foreign currency exchange rates, acquisitions, and dispositions. We provide “constant currency” and “organic constant currency” calculations in this report to remove the impact of these items. We express year-over-year variances that are calculated in constant currency and organic constant currency as a percentage.</w:t>
      </w:r>
    </w:p>
    <w:p>
      <w:pPr>
        <w:spacing w:after="0" w:line="154"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When we use the term “constant currency,” it means that we have translated financial data for a period into United States dollars using the same foreign currency exchange rates that we used to translate financial data for the previous period. We believe that this calculation is a useful measure, indicating the actual growth of our operations. We use constant currency results in our analysis of subsidiary or segment performance. We also use constant currency when analyzing our performance against that of our competitors. Substantially all of our subsidiaries derive revenues and incur expenses within a single country and, consequently, do not generally incur currency risks in connection with the conduct of their normal business operations. Changes in foreign currency exchange rates primarily impact reported earnings and not our actual cash flow unless earnings are repatriated.</w:t>
      </w:r>
    </w:p>
    <w:p>
      <w:pPr>
        <w:spacing w:after="0" w:line="124"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When we use the term “organic constant currency,” it means that we have further removed the impact of acquisitions in the current period and dispositions from the prior period from our constant currency calculation. We believe that this calculation is useful because it allows us to show the actual growth of our ongoing business.</w:t>
      </w:r>
    </w:p>
    <w:p>
      <w:pPr>
        <w:spacing w:after="0" w:line="141"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The constant currency and organic constant currency financial measures are used to supplement those measures that are in accordance with United States Generally Accepted Accounting Principles (“GAAP”). These Non-GAAP financial measures may not provide information that is directly comparable to that provided by other companies in our industry, as other companies may calculate such financial results differently. These Non-GAAP financial measures are not measurements of financial performance under GAAP, and should not be considered as alternatives to measures presented in accordance with GAAP.</w:t>
      </w:r>
    </w:p>
    <w:p>
      <w:pPr>
        <w:spacing w:after="0" w:line="127"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Constant currency and organic constant currency percent variances, along with a reconciliation of these amounts to certain of our reported results, are provided below:</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620" w:type="dxa"/>
            <w:vAlign w:val="bottom"/>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120" w:type="dxa"/>
            <w:vAlign w:val="bottom"/>
            <w:tcBorders>
              <w:bottom w:val="single" w:sz="8" w:color="auto"/>
            </w:tcBorders>
            <w:gridSpan w:val="8"/>
          </w:tcPr>
          <w:p>
            <w:pPr>
              <w:ind w:left="1020"/>
              <w:spacing w:after="0"/>
              <w:rPr>
                <w:sz w:val="20"/>
                <w:szCs w:val="20"/>
                <w:color w:val="auto"/>
              </w:rPr>
            </w:pPr>
            <w:r>
              <w:rPr>
                <w:rFonts w:ascii="Arial" w:cs="Arial" w:eastAsia="Arial" w:hAnsi="Arial"/>
                <w:sz w:val="16"/>
                <w:szCs w:val="16"/>
                <w:b w:val="1"/>
                <w:bCs w:val="1"/>
                <w:color w:val="auto"/>
              </w:rPr>
              <w:t>3 Months Ended September 30, 2019 Compared to 2018</w:t>
            </w:r>
          </w:p>
        </w:tc>
        <w:tc>
          <w:tcPr>
            <w:tcW w:w="1340" w:type="dxa"/>
            <w:vAlign w:val="bottom"/>
            <w:tcBorders>
              <w:bottom w:val="single" w:sz="8" w:color="auto"/>
            </w:tcBorders>
          </w:tcPr>
          <w:p>
            <w:pPr>
              <w:spacing w:after="0"/>
              <w:rPr>
                <w:sz w:val="18"/>
                <w:szCs w:val="18"/>
                <w:color w:val="auto"/>
              </w:rPr>
            </w:pPr>
          </w:p>
        </w:tc>
      </w:tr>
      <w:tr>
        <w:trPr>
          <w:trHeight w:val="203"/>
        </w:trPr>
        <w:tc>
          <w:tcPr>
            <w:tcW w:w="26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gridSpan w:val="2"/>
          </w:tcPr>
          <w:p>
            <w:pPr>
              <w:jc w:val="center"/>
              <w:ind w:right="320"/>
              <w:spacing w:after="0"/>
              <w:rPr>
                <w:sz w:val="20"/>
                <w:szCs w:val="20"/>
                <w:color w:val="auto"/>
              </w:rPr>
            </w:pPr>
            <w:r>
              <w:rPr>
                <w:rFonts w:ascii="Arial" w:cs="Arial" w:eastAsia="Arial" w:hAnsi="Arial"/>
                <w:sz w:val="16"/>
                <w:szCs w:val="16"/>
                <w:color w:val="auto"/>
                <w:w w:val="94"/>
              </w:rPr>
              <w:t>Impact of</w:t>
            </w:r>
          </w:p>
        </w:tc>
        <w:tc>
          <w:tcPr>
            <w:tcW w:w="1340" w:type="dxa"/>
            <w:vAlign w:val="bottom"/>
          </w:tcPr>
          <w:p>
            <w:pPr>
              <w:spacing w:after="0"/>
              <w:rPr>
                <w:sz w:val="17"/>
                <w:szCs w:val="17"/>
                <w:color w:val="auto"/>
              </w:rPr>
            </w:pPr>
          </w:p>
        </w:tc>
      </w:tr>
      <w:tr>
        <w:trPr>
          <w:trHeight w:val="203"/>
        </w:trPr>
        <w:tc>
          <w:tcPr>
            <w:tcW w:w="26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gridSpan w:val="2"/>
          </w:tcPr>
          <w:p>
            <w:pPr>
              <w:jc w:val="center"/>
              <w:ind w:right="320"/>
              <w:spacing w:after="0"/>
              <w:rPr>
                <w:sz w:val="20"/>
                <w:szCs w:val="20"/>
                <w:color w:val="auto"/>
              </w:rPr>
            </w:pPr>
            <w:r>
              <w:rPr>
                <w:rFonts w:ascii="Arial" w:cs="Arial" w:eastAsia="Arial" w:hAnsi="Arial"/>
                <w:sz w:val="16"/>
                <w:szCs w:val="16"/>
                <w:color w:val="auto"/>
                <w:w w:val="96"/>
              </w:rPr>
              <w:t>Acquisitions</w:t>
            </w:r>
          </w:p>
        </w:tc>
        <w:tc>
          <w:tcPr>
            <w:tcW w:w="1340" w:type="dxa"/>
            <w:vAlign w:val="bottom"/>
          </w:tcPr>
          <w:p>
            <w:pPr>
              <w:jc w:val="center"/>
              <w:ind w:right="139"/>
              <w:spacing w:after="0"/>
              <w:rPr>
                <w:sz w:val="20"/>
                <w:szCs w:val="20"/>
                <w:color w:val="auto"/>
              </w:rPr>
            </w:pPr>
            <w:r>
              <w:rPr>
                <w:rFonts w:ascii="Arial" w:cs="Arial" w:eastAsia="Arial" w:hAnsi="Arial"/>
                <w:sz w:val="16"/>
                <w:szCs w:val="16"/>
                <w:color w:val="auto"/>
                <w:w w:val="92"/>
              </w:rPr>
              <w:t>Organic</w:t>
            </w:r>
          </w:p>
        </w:tc>
      </w:tr>
      <w:tr>
        <w:trPr>
          <w:trHeight w:val="203"/>
        </w:trPr>
        <w:tc>
          <w:tcPr>
            <w:tcW w:w="26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gridSpan w:val="2"/>
          </w:tcPr>
          <w:p>
            <w:pPr>
              <w:ind w:left="280"/>
              <w:spacing w:after="0"/>
              <w:rPr>
                <w:sz w:val="20"/>
                <w:szCs w:val="20"/>
                <w:color w:val="auto"/>
              </w:rPr>
            </w:pPr>
            <w:r>
              <w:rPr>
                <w:rFonts w:ascii="Arial" w:cs="Arial" w:eastAsia="Arial" w:hAnsi="Arial"/>
                <w:sz w:val="16"/>
                <w:szCs w:val="16"/>
                <w:color w:val="auto"/>
              </w:rPr>
              <w:t>Constant</w:t>
            </w:r>
          </w:p>
        </w:tc>
        <w:tc>
          <w:tcPr>
            <w:tcW w:w="1820" w:type="dxa"/>
            <w:vAlign w:val="bottom"/>
            <w:gridSpan w:val="2"/>
          </w:tcPr>
          <w:p>
            <w:pPr>
              <w:jc w:val="center"/>
              <w:ind w:right="320"/>
              <w:spacing w:after="0"/>
              <w:rPr>
                <w:sz w:val="20"/>
                <w:szCs w:val="20"/>
                <w:color w:val="auto"/>
              </w:rPr>
            </w:pPr>
            <w:r>
              <w:rPr>
                <w:rFonts w:ascii="Arial" w:cs="Arial" w:eastAsia="Arial" w:hAnsi="Arial"/>
                <w:sz w:val="16"/>
                <w:szCs w:val="16"/>
                <w:color w:val="auto"/>
                <w:w w:val="93"/>
              </w:rPr>
              <w:t>and Dispositions</w:t>
            </w:r>
          </w:p>
        </w:tc>
        <w:tc>
          <w:tcPr>
            <w:tcW w:w="1340" w:type="dxa"/>
            <w:vAlign w:val="bottom"/>
          </w:tcPr>
          <w:p>
            <w:pPr>
              <w:jc w:val="center"/>
              <w:ind w:right="119"/>
              <w:spacing w:after="0"/>
              <w:rPr>
                <w:sz w:val="20"/>
                <w:szCs w:val="20"/>
                <w:color w:val="auto"/>
              </w:rPr>
            </w:pPr>
            <w:r>
              <w:rPr>
                <w:rFonts w:ascii="Arial" w:cs="Arial" w:eastAsia="Arial" w:hAnsi="Arial"/>
                <w:sz w:val="16"/>
                <w:szCs w:val="16"/>
                <w:color w:val="auto"/>
                <w:w w:val="90"/>
              </w:rPr>
              <w:t>Constant</w:t>
            </w:r>
          </w:p>
        </w:tc>
      </w:tr>
      <w:tr>
        <w:trPr>
          <w:trHeight w:val="199"/>
        </w:trPr>
        <w:tc>
          <w:tcPr>
            <w:tcW w:w="2620" w:type="dxa"/>
            <w:vAlign w:val="bottom"/>
          </w:tcPr>
          <w:p>
            <w:pPr>
              <w:spacing w:after="0"/>
              <w:rPr>
                <w:sz w:val="17"/>
                <w:szCs w:val="17"/>
                <w:color w:val="auto"/>
              </w:rPr>
            </w:pPr>
          </w:p>
        </w:tc>
        <w:tc>
          <w:tcPr>
            <w:tcW w:w="1220" w:type="dxa"/>
            <w:vAlign w:val="bottom"/>
          </w:tcPr>
          <w:p>
            <w:pPr>
              <w:jc w:val="right"/>
              <w:ind w:right="299"/>
              <w:spacing w:after="0"/>
              <w:rPr>
                <w:sz w:val="20"/>
                <w:szCs w:val="20"/>
                <w:color w:val="auto"/>
              </w:rPr>
            </w:pPr>
            <w:r>
              <w:rPr>
                <w:rFonts w:ascii="Arial" w:cs="Arial" w:eastAsia="Arial" w:hAnsi="Arial"/>
                <w:sz w:val="16"/>
                <w:szCs w:val="16"/>
                <w:color w:val="auto"/>
              </w:rPr>
              <w:t>Reported</w:t>
            </w:r>
          </w:p>
        </w:tc>
        <w:tc>
          <w:tcPr>
            <w:tcW w:w="120" w:type="dxa"/>
            <w:vAlign w:val="bottom"/>
          </w:tcPr>
          <w:p>
            <w:pPr>
              <w:spacing w:after="0"/>
              <w:rPr>
                <w:sz w:val="17"/>
                <w:szCs w:val="17"/>
                <w:color w:val="auto"/>
              </w:rPr>
            </w:pPr>
          </w:p>
        </w:tc>
        <w:tc>
          <w:tcPr>
            <w:tcW w:w="1420" w:type="dxa"/>
            <w:vAlign w:val="bottom"/>
            <w:gridSpan w:val="2"/>
          </w:tcPr>
          <w:p>
            <w:pPr>
              <w:ind w:left="240"/>
              <w:spacing w:after="0"/>
              <w:rPr>
                <w:sz w:val="20"/>
                <w:szCs w:val="20"/>
                <w:color w:val="auto"/>
              </w:rPr>
            </w:pPr>
            <w:r>
              <w:rPr>
                <w:rFonts w:ascii="Arial" w:cs="Arial" w:eastAsia="Arial" w:hAnsi="Arial"/>
                <w:sz w:val="16"/>
                <w:szCs w:val="16"/>
                <w:color w:val="auto"/>
              </w:rPr>
              <w:t>Reported</w:t>
            </w:r>
          </w:p>
        </w:tc>
        <w:tc>
          <w:tcPr>
            <w:tcW w:w="1440" w:type="dxa"/>
            <w:vAlign w:val="bottom"/>
            <w:gridSpan w:val="2"/>
          </w:tcPr>
          <w:p>
            <w:pPr>
              <w:ind w:left="260"/>
              <w:spacing w:after="0"/>
              <w:rPr>
                <w:sz w:val="20"/>
                <w:szCs w:val="20"/>
                <w:color w:val="auto"/>
              </w:rPr>
            </w:pPr>
            <w:r>
              <w:rPr>
                <w:rFonts w:ascii="Arial" w:cs="Arial" w:eastAsia="Arial" w:hAnsi="Arial"/>
                <w:sz w:val="16"/>
                <w:szCs w:val="16"/>
                <w:color w:val="auto"/>
              </w:rPr>
              <w:t>Impact of</w:t>
            </w:r>
          </w:p>
        </w:tc>
        <w:tc>
          <w:tcPr>
            <w:tcW w:w="1440" w:type="dxa"/>
            <w:vAlign w:val="bottom"/>
            <w:gridSpan w:val="2"/>
          </w:tcPr>
          <w:p>
            <w:pPr>
              <w:ind w:left="260"/>
              <w:spacing w:after="0"/>
              <w:rPr>
                <w:sz w:val="20"/>
                <w:szCs w:val="20"/>
                <w:color w:val="auto"/>
              </w:rPr>
            </w:pPr>
            <w:r>
              <w:rPr>
                <w:rFonts w:ascii="Arial" w:cs="Arial" w:eastAsia="Arial" w:hAnsi="Arial"/>
                <w:sz w:val="16"/>
                <w:szCs w:val="16"/>
                <w:color w:val="auto"/>
              </w:rPr>
              <w:t>Currency</w:t>
            </w:r>
          </w:p>
        </w:tc>
        <w:tc>
          <w:tcPr>
            <w:tcW w:w="1820" w:type="dxa"/>
            <w:vAlign w:val="bottom"/>
            <w:gridSpan w:val="2"/>
          </w:tcPr>
          <w:p>
            <w:pPr>
              <w:jc w:val="center"/>
              <w:ind w:right="320"/>
              <w:spacing w:after="0"/>
              <w:rPr>
                <w:sz w:val="20"/>
                <w:szCs w:val="20"/>
                <w:color w:val="auto"/>
              </w:rPr>
            </w:pPr>
            <w:r>
              <w:rPr>
                <w:rFonts w:ascii="Arial" w:cs="Arial" w:eastAsia="Arial" w:hAnsi="Arial"/>
                <w:sz w:val="16"/>
                <w:szCs w:val="16"/>
                <w:color w:val="auto"/>
                <w:w w:val="94"/>
              </w:rPr>
              <w:t>(In Constant</w:t>
            </w:r>
          </w:p>
        </w:tc>
        <w:tc>
          <w:tcPr>
            <w:tcW w:w="1340" w:type="dxa"/>
            <w:vAlign w:val="bottom"/>
          </w:tcPr>
          <w:p>
            <w:pPr>
              <w:jc w:val="center"/>
              <w:ind w:right="139"/>
              <w:spacing w:after="0"/>
              <w:rPr>
                <w:sz w:val="20"/>
                <w:szCs w:val="20"/>
                <w:color w:val="auto"/>
              </w:rPr>
            </w:pPr>
            <w:r>
              <w:rPr>
                <w:rFonts w:ascii="Arial" w:cs="Arial" w:eastAsia="Arial" w:hAnsi="Arial"/>
                <w:sz w:val="16"/>
                <w:szCs w:val="16"/>
                <w:color w:val="auto"/>
                <w:w w:val="92"/>
              </w:rPr>
              <w:t>Currency</w:t>
            </w:r>
          </w:p>
        </w:tc>
      </w:tr>
      <w:tr>
        <w:trPr>
          <w:trHeight w:val="216"/>
        </w:trPr>
        <w:tc>
          <w:tcPr>
            <w:tcW w:w="2620" w:type="dxa"/>
            <w:vAlign w:val="bottom"/>
          </w:tcPr>
          <w:p>
            <w:pPr>
              <w:spacing w:after="0"/>
              <w:rPr>
                <w:sz w:val="18"/>
                <w:szCs w:val="18"/>
                <w:color w:val="auto"/>
              </w:rPr>
            </w:pPr>
          </w:p>
        </w:tc>
        <w:tc>
          <w:tcPr>
            <w:tcW w:w="1220" w:type="dxa"/>
            <w:vAlign w:val="bottom"/>
          </w:tcPr>
          <w:p>
            <w:pPr>
              <w:jc w:val="right"/>
              <w:ind w:right="239"/>
              <w:spacing w:after="0" w:line="216" w:lineRule="exact"/>
              <w:rPr>
                <w:sz w:val="20"/>
                <w:szCs w:val="20"/>
                <w:color w:val="auto"/>
              </w:rPr>
            </w:pPr>
            <w:r>
              <w:rPr>
                <w:rFonts w:ascii="Arial" w:cs="Arial" w:eastAsia="Arial" w:hAnsi="Arial"/>
                <w:sz w:val="15"/>
                <w:szCs w:val="15"/>
                <w:color w:val="auto"/>
              </w:rPr>
              <w:t>Amount</w:t>
            </w:r>
            <w:r>
              <w:rPr>
                <w:rFonts w:ascii="Arial" w:cs="Arial" w:eastAsia="Arial" w:hAnsi="Arial"/>
                <w:sz w:val="25"/>
                <w:szCs w:val="25"/>
                <w:color w:val="auto"/>
                <w:vertAlign w:val="superscript"/>
              </w:rPr>
              <w:t>(a)</w:t>
            </w:r>
          </w:p>
        </w:tc>
        <w:tc>
          <w:tcPr>
            <w:tcW w:w="120" w:type="dxa"/>
            <w:vAlign w:val="bottom"/>
          </w:tcPr>
          <w:p>
            <w:pPr>
              <w:spacing w:after="0"/>
              <w:rPr>
                <w:sz w:val="18"/>
                <w:szCs w:val="18"/>
                <w:color w:val="auto"/>
              </w:rPr>
            </w:pPr>
          </w:p>
        </w:tc>
        <w:tc>
          <w:tcPr>
            <w:tcW w:w="1420" w:type="dxa"/>
            <w:vAlign w:val="bottom"/>
            <w:gridSpan w:val="2"/>
          </w:tcPr>
          <w:p>
            <w:pPr>
              <w:ind w:left="260"/>
              <w:spacing w:after="0"/>
              <w:rPr>
                <w:sz w:val="20"/>
                <w:szCs w:val="20"/>
                <w:color w:val="auto"/>
              </w:rPr>
            </w:pPr>
            <w:r>
              <w:rPr>
                <w:rFonts w:ascii="Arial" w:cs="Arial" w:eastAsia="Arial" w:hAnsi="Arial"/>
                <w:sz w:val="16"/>
                <w:szCs w:val="16"/>
                <w:color w:val="auto"/>
              </w:rPr>
              <w:t>Variance</w:t>
            </w:r>
          </w:p>
        </w:tc>
        <w:tc>
          <w:tcPr>
            <w:tcW w:w="1440" w:type="dxa"/>
            <w:vAlign w:val="bottom"/>
            <w:gridSpan w:val="2"/>
          </w:tcPr>
          <w:p>
            <w:pPr>
              <w:ind w:left="260"/>
              <w:spacing w:after="0"/>
              <w:rPr>
                <w:sz w:val="20"/>
                <w:szCs w:val="20"/>
                <w:color w:val="auto"/>
              </w:rPr>
            </w:pPr>
            <w:r>
              <w:rPr>
                <w:rFonts w:ascii="Arial" w:cs="Arial" w:eastAsia="Arial" w:hAnsi="Arial"/>
                <w:sz w:val="16"/>
                <w:szCs w:val="16"/>
                <w:color w:val="auto"/>
              </w:rPr>
              <w:t>Currency</w:t>
            </w:r>
          </w:p>
        </w:tc>
        <w:tc>
          <w:tcPr>
            <w:tcW w:w="1440" w:type="dxa"/>
            <w:vAlign w:val="bottom"/>
            <w:gridSpan w:val="2"/>
          </w:tcPr>
          <w:p>
            <w:pPr>
              <w:ind w:left="280"/>
              <w:spacing w:after="0"/>
              <w:rPr>
                <w:sz w:val="20"/>
                <w:szCs w:val="20"/>
                <w:color w:val="auto"/>
              </w:rPr>
            </w:pPr>
            <w:r>
              <w:rPr>
                <w:rFonts w:ascii="Arial" w:cs="Arial" w:eastAsia="Arial" w:hAnsi="Arial"/>
                <w:sz w:val="16"/>
                <w:szCs w:val="16"/>
                <w:color w:val="auto"/>
              </w:rPr>
              <w:t>Variance</w:t>
            </w:r>
          </w:p>
        </w:tc>
        <w:tc>
          <w:tcPr>
            <w:tcW w:w="1820" w:type="dxa"/>
            <w:vAlign w:val="bottom"/>
            <w:gridSpan w:val="2"/>
          </w:tcPr>
          <w:p>
            <w:pPr>
              <w:jc w:val="center"/>
              <w:ind w:right="320"/>
              <w:spacing w:after="0"/>
              <w:rPr>
                <w:sz w:val="20"/>
                <w:szCs w:val="20"/>
                <w:color w:val="auto"/>
              </w:rPr>
            </w:pPr>
            <w:r>
              <w:rPr>
                <w:rFonts w:ascii="Arial" w:cs="Arial" w:eastAsia="Arial" w:hAnsi="Arial"/>
                <w:sz w:val="16"/>
                <w:szCs w:val="16"/>
                <w:color w:val="auto"/>
                <w:w w:val="93"/>
              </w:rPr>
              <w:t>Currency)</w:t>
            </w:r>
          </w:p>
        </w:tc>
        <w:tc>
          <w:tcPr>
            <w:tcW w:w="1340" w:type="dxa"/>
            <w:vAlign w:val="bottom"/>
          </w:tcPr>
          <w:p>
            <w:pPr>
              <w:jc w:val="center"/>
              <w:ind w:right="139"/>
              <w:spacing w:after="0"/>
              <w:rPr>
                <w:sz w:val="20"/>
                <w:szCs w:val="20"/>
                <w:color w:val="auto"/>
              </w:rPr>
            </w:pPr>
            <w:r>
              <w:rPr>
                <w:rFonts w:ascii="Arial" w:cs="Arial" w:eastAsia="Arial" w:hAnsi="Arial"/>
                <w:sz w:val="16"/>
                <w:szCs w:val="16"/>
                <w:color w:val="auto"/>
                <w:w w:val="88"/>
              </w:rPr>
              <w:t>Variance</w:t>
            </w:r>
          </w:p>
        </w:tc>
      </w:tr>
      <w:tr>
        <w:trPr>
          <w:trHeight w:val="210"/>
        </w:trPr>
        <w:tc>
          <w:tcPr>
            <w:tcW w:w="26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Revenues from services:</w:t>
            </w:r>
          </w:p>
        </w:tc>
        <w:tc>
          <w:tcPr>
            <w:tcW w:w="12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3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3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3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7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340" w:type="dxa"/>
            <w:vAlign w:val="bottom"/>
            <w:tcBorders>
              <w:top w:val="single" w:sz="8" w:color="auto"/>
            </w:tcBorders>
            <w:shd w:val="clear" w:color="auto" w:fill="CFF0FC"/>
          </w:tcPr>
          <w:p>
            <w:pPr>
              <w:spacing w:after="0"/>
              <w:rPr>
                <w:sz w:val="18"/>
                <w:szCs w:val="18"/>
                <w:color w:val="auto"/>
              </w:rPr>
            </w:pPr>
          </w:p>
        </w:tc>
      </w:tr>
      <w:tr>
        <w:trPr>
          <w:trHeight w:val="213"/>
        </w:trPr>
        <w:tc>
          <w:tcPr>
            <w:tcW w:w="2620" w:type="dxa"/>
            <w:vAlign w:val="bottom"/>
          </w:tcPr>
          <w:p>
            <w:pPr>
              <w:spacing w:after="0"/>
              <w:rPr>
                <w:sz w:val="20"/>
                <w:szCs w:val="20"/>
                <w:color w:val="auto"/>
              </w:rPr>
            </w:pPr>
            <w:r>
              <w:rPr>
                <w:rFonts w:ascii="Arial" w:cs="Arial" w:eastAsia="Arial" w:hAnsi="Arial"/>
                <w:sz w:val="16"/>
                <w:szCs w:val="16"/>
                <w:color w:val="auto"/>
              </w:rPr>
              <w:t>Americas:</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9"/>
        </w:trPr>
        <w:tc>
          <w:tcPr>
            <w:tcW w:w="26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United States</w:t>
            </w:r>
          </w:p>
        </w:tc>
        <w:tc>
          <w:tcPr>
            <w:tcW w:w="12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645.7</w:t>
            </w:r>
          </w:p>
        </w:tc>
        <w:tc>
          <w:tcPr>
            <w:tcW w:w="14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320"/>
              <w:spacing w:after="0"/>
              <w:rPr>
                <w:sz w:val="20"/>
                <w:szCs w:val="20"/>
                <w:color w:val="auto"/>
              </w:rPr>
            </w:pPr>
            <w:r>
              <w:rPr>
                <w:rFonts w:ascii="Arial" w:cs="Arial" w:eastAsia="Arial" w:hAnsi="Arial"/>
                <w:sz w:val="16"/>
                <w:szCs w:val="16"/>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FF0FC"/>
          </w:tcPr>
          <w:p>
            <w:pPr>
              <w:spacing w:after="0"/>
              <w:rPr>
                <w:sz w:val="19"/>
                <w:szCs w:val="19"/>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0.7%</w:t>
            </w:r>
          </w:p>
        </w:tc>
        <w:tc>
          <w:tcPr>
            <w:tcW w:w="1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w:t>
            </w:r>
          </w:p>
        </w:tc>
      </w:tr>
      <w:tr>
        <w:trPr>
          <w:trHeight w:val="213"/>
        </w:trPr>
        <w:tc>
          <w:tcPr>
            <w:tcW w:w="262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Other Americas</w:t>
            </w:r>
          </w:p>
        </w:tc>
        <w:tc>
          <w:tcPr>
            <w:tcW w:w="1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425.0</w:t>
            </w:r>
          </w:p>
        </w:tc>
        <w:tc>
          <w:tcPr>
            <w:tcW w:w="1440" w:type="dxa"/>
            <w:vAlign w:val="bottom"/>
            <w:tcBorders>
              <w:bottom w:val="single" w:sz="8" w:color="CFF0FC"/>
            </w:tcBorders>
            <w:gridSpan w:val="2"/>
          </w:tcPr>
          <w:p>
            <w:pPr>
              <w:jc w:val="right"/>
              <w:spacing w:after="0"/>
              <w:rPr>
                <w:sz w:val="20"/>
                <w:szCs w:val="20"/>
                <w:color w:val="auto"/>
              </w:rPr>
            </w:pPr>
            <w:r>
              <w:rPr>
                <w:rFonts w:ascii="Arial" w:cs="Arial" w:eastAsia="Arial" w:hAnsi="Arial"/>
                <w:sz w:val="16"/>
                <w:szCs w:val="16"/>
                <w:color w:val="auto"/>
              </w:rPr>
              <w:t>4.5%</w:t>
            </w:r>
          </w:p>
        </w:tc>
        <w:tc>
          <w:tcPr>
            <w:tcW w:w="100" w:type="dxa"/>
            <w:vAlign w:val="bottom"/>
            <w:tcBorders>
              <w:bottom w:val="single" w:sz="8" w:color="CFF0FC"/>
            </w:tcBorders>
          </w:tcPr>
          <w:p>
            <w:pPr>
              <w:spacing w:after="0"/>
              <w:rPr>
                <w:sz w:val="18"/>
                <w:szCs w:val="18"/>
                <w:color w:val="auto"/>
              </w:rPr>
            </w:pPr>
          </w:p>
        </w:tc>
        <w:tc>
          <w:tcPr>
            <w:tcW w:w="134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(6.5)%</w:t>
            </w:r>
          </w:p>
        </w:tc>
        <w:tc>
          <w:tcPr>
            <w:tcW w:w="100" w:type="dxa"/>
            <w:vAlign w:val="bottom"/>
            <w:tcBorders>
              <w:bottom w:val="single" w:sz="8" w:color="CFF0FC"/>
            </w:tcBorders>
          </w:tcPr>
          <w:p>
            <w:pPr>
              <w:spacing w:after="0"/>
              <w:rPr>
                <w:sz w:val="18"/>
                <w:szCs w:val="18"/>
                <w:color w:val="auto"/>
              </w:rPr>
            </w:pPr>
          </w:p>
        </w:tc>
        <w:tc>
          <w:tcPr>
            <w:tcW w:w="134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11.0%</w:t>
            </w:r>
          </w:p>
        </w:tc>
        <w:tc>
          <w:tcPr>
            <w:tcW w:w="100" w:type="dxa"/>
            <w:vAlign w:val="bottom"/>
            <w:tcBorders>
              <w:bottom w:val="single" w:sz="8" w:color="CFF0FC"/>
            </w:tcBorders>
          </w:tcPr>
          <w:p>
            <w:pPr>
              <w:spacing w:after="0"/>
              <w:rPr>
                <w:sz w:val="18"/>
                <w:szCs w:val="18"/>
                <w:color w:val="auto"/>
              </w:rPr>
            </w:pPr>
          </w:p>
        </w:tc>
        <w:tc>
          <w:tcPr>
            <w:tcW w:w="1820" w:type="dxa"/>
            <w:vAlign w:val="bottom"/>
            <w:tcBorders>
              <w:bottom w:val="single" w:sz="8" w:color="CFF0FC"/>
            </w:tcBorders>
            <w:gridSpan w:val="2"/>
          </w:tcPr>
          <w:p>
            <w:pPr>
              <w:jc w:val="right"/>
              <w:ind w:right="320"/>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11.0%</w:t>
            </w:r>
          </w:p>
        </w:tc>
      </w:tr>
      <w:tr>
        <w:trPr>
          <w:trHeight w:val="213"/>
        </w:trPr>
        <w:tc>
          <w:tcPr>
            <w:tcW w:w="2620" w:type="dxa"/>
            <w:vAlign w:val="bottom"/>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1,070.7</w:t>
            </w:r>
          </w:p>
        </w:tc>
        <w:tc>
          <w:tcPr>
            <w:tcW w:w="14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2.9%</w:t>
            </w:r>
          </w:p>
        </w:tc>
        <w:tc>
          <w:tcPr>
            <w:tcW w:w="10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w:t>
            </w:r>
          </w:p>
        </w:tc>
        <w:tc>
          <w:tcPr>
            <w:tcW w:w="10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5.5%</w:t>
            </w:r>
          </w:p>
        </w:tc>
        <w:tc>
          <w:tcPr>
            <w:tcW w:w="100" w:type="dxa"/>
            <w:vAlign w:val="bottom"/>
            <w:shd w:val="clear" w:color="auto" w:fill="CFF0FC"/>
          </w:tcPr>
          <w:p>
            <w:pPr>
              <w:spacing w:after="0"/>
              <w:rPr>
                <w:sz w:val="18"/>
                <w:szCs w:val="18"/>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0.4%</w:t>
            </w:r>
          </w:p>
        </w:tc>
        <w:tc>
          <w:tcPr>
            <w:tcW w:w="10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w:t>
            </w:r>
          </w:p>
        </w:tc>
      </w:tr>
      <w:tr>
        <w:trPr>
          <w:trHeight w:val="207"/>
        </w:trPr>
        <w:tc>
          <w:tcPr>
            <w:tcW w:w="2620" w:type="dxa"/>
            <w:vAlign w:val="bottom"/>
          </w:tcPr>
          <w:p>
            <w:pPr>
              <w:spacing w:after="0"/>
              <w:rPr>
                <w:sz w:val="20"/>
                <w:szCs w:val="20"/>
                <w:color w:val="auto"/>
              </w:rPr>
            </w:pPr>
            <w:r>
              <w:rPr>
                <w:rFonts w:ascii="Arial" w:cs="Arial" w:eastAsia="Arial" w:hAnsi="Arial"/>
                <w:sz w:val="16"/>
                <w:szCs w:val="16"/>
                <w:color w:val="auto"/>
              </w:rPr>
              <w:t>Southern Europe:</w:t>
            </w: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19"/>
        </w:trPr>
        <w:tc>
          <w:tcPr>
            <w:tcW w:w="26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France</w:t>
            </w:r>
          </w:p>
        </w:tc>
        <w:tc>
          <w:tcPr>
            <w:tcW w:w="12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1,382.1</w:t>
            </w:r>
          </w:p>
        </w:tc>
        <w:tc>
          <w:tcPr>
            <w:tcW w:w="14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(5.4)%</w:t>
            </w:r>
          </w:p>
        </w:tc>
        <w:tc>
          <w:tcPr>
            <w:tcW w:w="1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w:t>
            </w:r>
          </w:p>
        </w:tc>
        <w:tc>
          <w:tcPr>
            <w:tcW w:w="1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FF0FC"/>
          </w:tcPr>
          <w:p>
            <w:pPr>
              <w:spacing w:after="0"/>
              <w:rPr>
                <w:sz w:val="19"/>
                <w:szCs w:val="19"/>
                <w:color w:val="auto"/>
              </w:rPr>
            </w:pPr>
          </w:p>
        </w:tc>
        <w:tc>
          <w:tcPr>
            <w:tcW w:w="1820" w:type="dxa"/>
            <w:vAlign w:val="bottom"/>
            <w:gridSpan w:val="2"/>
            <w:shd w:val="clear" w:color="auto" w:fill="CFF0FC"/>
          </w:tcPr>
          <w:p>
            <w:pPr>
              <w:jc w:val="right"/>
              <w:ind w:right="320"/>
              <w:spacing w:after="0"/>
              <w:rPr>
                <w:sz w:val="20"/>
                <w:szCs w:val="20"/>
                <w:color w:val="auto"/>
              </w:rPr>
            </w:pPr>
            <w:r>
              <w:rPr>
                <w:rFonts w:ascii="Arial" w:cs="Arial" w:eastAsia="Arial" w:hAnsi="Arial"/>
                <w:sz w:val="16"/>
                <w:szCs w:val="16"/>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w:t>
            </w:r>
          </w:p>
        </w:tc>
      </w:tr>
      <w:tr>
        <w:trPr>
          <w:trHeight w:val="213"/>
        </w:trPr>
        <w:tc>
          <w:tcPr>
            <w:tcW w:w="2620" w:type="dxa"/>
            <w:vAlign w:val="bottom"/>
          </w:tcPr>
          <w:p>
            <w:pPr>
              <w:ind w:left="260"/>
              <w:spacing w:after="0"/>
              <w:rPr>
                <w:sz w:val="20"/>
                <w:szCs w:val="20"/>
                <w:color w:val="auto"/>
              </w:rPr>
            </w:pPr>
            <w:r>
              <w:rPr>
                <w:rFonts w:ascii="Arial" w:cs="Arial" w:eastAsia="Arial" w:hAnsi="Arial"/>
                <w:sz w:val="16"/>
                <w:szCs w:val="16"/>
                <w:color w:val="auto"/>
              </w:rPr>
              <w:t>Italy</w:t>
            </w: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376.6</w:t>
            </w:r>
          </w:p>
        </w:tc>
        <w:tc>
          <w:tcPr>
            <w:tcW w:w="1440" w:type="dxa"/>
            <w:vAlign w:val="bottom"/>
            <w:gridSpan w:val="2"/>
          </w:tcPr>
          <w:p>
            <w:pPr>
              <w:jc w:val="right"/>
              <w:spacing w:after="0"/>
              <w:rPr>
                <w:sz w:val="20"/>
                <w:szCs w:val="20"/>
                <w:color w:val="auto"/>
              </w:rPr>
            </w:pPr>
            <w:r>
              <w:rPr>
                <w:rFonts w:ascii="Arial" w:cs="Arial" w:eastAsia="Arial" w:hAnsi="Arial"/>
                <w:sz w:val="16"/>
                <w:szCs w:val="16"/>
                <w:color w:val="auto"/>
              </w:rPr>
              <w:t>(8.2)%</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(3.9)%</w:t>
            </w:r>
          </w:p>
        </w:tc>
        <w:tc>
          <w:tcPr>
            <w:tcW w:w="100" w:type="dxa"/>
            <w:vAlign w:val="bottom"/>
          </w:tcPr>
          <w:p>
            <w:pPr>
              <w:spacing w:after="0"/>
              <w:rPr>
                <w:sz w:val="18"/>
                <w:szCs w:val="18"/>
                <w:color w:val="auto"/>
              </w:rPr>
            </w:pPr>
          </w:p>
        </w:tc>
        <w:tc>
          <w:tcPr>
            <w:tcW w:w="18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(3.9)%</w:t>
            </w:r>
          </w:p>
        </w:tc>
      </w:tr>
      <w:tr>
        <w:trPr>
          <w:trHeight w:val="219"/>
        </w:trPr>
        <w:tc>
          <w:tcPr>
            <w:tcW w:w="26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Other Southern Europe</w:t>
            </w:r>
          </w:p>
        </w:tc>
        <w:tc>
          <w:tcPr>
            <w:tcW w:w="12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592.9</w:t>
            </w:r>
          </w:p>
        </w:tc>
        <w:tc>
          <w:tcPr>
            <w:tcW w:w="14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28.7%</w:t>
            </w:r>
          </w:p>
        </w:tc>
        <w:tc>
          <w:tcPr>
            <w:tcW w:w="1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w:t>
            </w:r>
          </w:p>
        </w:tc>
        <w:tc>
          <w:tcPr>
            <w:tcW w:w="1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31.9%</w:t>
            </w:r>
          </w:p>
        </w:tc>
        <w:tc>
          <w:tcPr>
            <w:tcW w:w="100" w:type="dxa"/>
            <w:vAlign w:val="bottom"/>
            <w:shd w:val="clear" w:color="auto" w:fill="CFF0FC"/>
          </w:tcPr>
          <w:p>
            <w:pPr>
              <w:spacing w:after="0"/>
              <w:rPr>
                <w:sz w:val="19"/>
                <w:szCs w:val="19"/>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25.0%</w:t>
            </w:r>
          </w:p>
        </w:tc>
        <w:tc>
          <w:tcPr>
            <w:tcW w:w="1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6.9%</w:t>
            </w:r>
          </w:p>
        </w:tc>
      </w:tr>
      <w:tr>
        <w:trPr>
          <w:trHeight w:val="207"/>
        </w:trPr>
        <w:tc>
          <w:tcPr>
            <w:tcW w:w="2620" w:type="dxa"/>
            <w:vAlign w:val="bottom"/>
            <w:tcBorders>
              <w:bottom w:val="single" w:sz="8" w:color="CFF0FC"/>
            </w:tcBorders>
          </w:tcPr>
          <w:p>
            <w:pPr>
              <w:spacing w:after="0"/>
              <w:rPr>
                <w:sz w:val="17"/>
                <w:szCs w:val="17"/>
                <w:color w:val="auto"/>
              </w:rPr>
            </w:pPr>
          </w:p>
        </w:tc>
        <w:tc>
          <w:tcPr>
            <w:tcW w:w="1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2,351.6</w:t>
            </w:r>
          </w:p>
        </w:tc>
        <w:tc>
          <w:tcPr>
            <w:tcW w:w="1440" w:type="dxa"/>
            <w:vAlign w:val="bottom"/>
            <w:tcBorders>
              <w:bottom w:val="single" w:sz="8" w:color="CFF0FC"/>
            </w:tcBorders>
            <w:gridSpan w:val="2"/>
          </w:tcPr>
          <w:p>
            <w:pPr>
              <w:jc w:val="right"/>
              <w:spacing w:after="0"/>
              <w:rPr>
                <w:sz w:val="20"/>
                <w:szCs w:val="20"/>
                <w:color w:val="auto"/>
              </w:rPr>
            </w:pPr>
            <w:r>
              <w:rPr>
                <w:rFonts w:ascii="Arial" w:cs="Arial" w:eastAsia="Arial" w:hAnsi="Arial"/>
                <w:sz w:val="16"/>
                <w:szCs w:val="16"/>
                <w:color w:val="auto"/>
              </w:rPr>
              <w:t>0.9%</w:t>
            </w:r>
          </w:p>
        </w:tc>
        <w:tc>
          <w:tcPr>
            <w:tcW w:w="100" w:type="dxa"/>
            <w:vAlign w:val="bottom"/>
            <w:tcBorders>
              <w:bottom w:val="single" w:sz="8" w:color="CFF0FC"/>
            </w:tcBorders>
          </w:tcPr>
          <w:p>
            <w:pPr>
              <w:spacing w:after="0"/>
              <w:rPr>
                <w:sz w:val="17"/>
                <w:szCs w:val="17"/>
                <w:color w:val="auto"/>
              </w:rPr>
            </w:pPr>
          </w:p>
        </w:tc>
        <w:tc>
          <w:tcPr>
            <w:tcW w:w="134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(4.1)%</w:t>
            </w:r>
          </w:p>
        </w:tc>
        <w:tc>
          <w:tcPr>
            <w:tcW w:w="100" w:type="dxa"/>
            <w:vAlign w:val="bottom"/>
            <w:tcBorders>
              <w:bottom w:val="single" w:sz="8" w:color="CFF0FC"/>
            </w:tcBorders>
          </w:tcPr>
          <w:p>
            <w:pPr>
              <w:spacing w:after="0"/>
              <w:rPr>
                <w:sz w:val="17"/>
                <w:szCs w:val="17"/>
                <w:color w:val="auto"/>
              </w:rPr>
            </w:pPr>
          </w:p>
        </w:tc>
        <w:tc>
          <w:tcPr>
            <w:tcW w:w="134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5.0%</w:t>
            </w:r>
          </w:p>
        </w:tc>
        <w:tc>
          <w:tcPr>
            <w:tcW w:w="100" w:type="dxa"/>
            <w:vAlign w:val="bottom"/>
            <w:tcBorders>
              <w:bottom w:val="single" w:sz="8" w:color="CFF0FC"/>
            </w:tcBorders>
          </w:tcPr>
          <w:p>
            <w:pPr>
              <w:spacing w:after="0"/>
              <w:rPr>
                <w:sz w:val="17"/>
                <w:szCs w:val="17"/>
                <w:color w:val="auto"/>
              </w:rPr>
            </w:pPr>
          </w:p>
        </w:tc>
        <w:tc>
          <w:tcPr>
            <w:tcW w:w="172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4.9%</w:t>
            </w:r>
          </w:p>
        </w:tc>
        <w:tc>
          <w:tcPr>
            <w:tcW w:w="100" w:type="dxa"/>
            <w:vAlign w:val="bottom"/>
            <w:tcBorders>
              <w:bottom w:val="single" w:sz="8" w:color="CFF0FC"/>
            </w:tcBorders>
          </w:tcPr>
          <w:p>
            <w:pPr>
              <w:spacing w:after="0"/>
              <w:rPr>
                <w:sz w:val="17"/>
                <w:szCs w:val="17"/>
                <w:color w:val="auto"/>
              </w:rPr>
            </w:pPr>
          </w:p>
        </w:tc>
        <w:tc>
          <w:tcPr>
            <w:tcW w:w="134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0.1%</w:t>
            </w:r>
          </w:p>
        </w:tc>
      </w:tr>
      <w:tr>
        <w:trPr>
          <w:trHeight w:val="213"/>
        </w:trPr>
        <w:tc>
          <w:tcPr>
            <w:tcW w:w="2620" w:type="dxa"/>
            <w:vAlign w:val="bottom"/>
            <w:shd w:val="clear" w:color="auto" w:fill="CFF0FC"/>
          </w:tcPr>
          <w:p>
            <w:pPr>
              <w:spacing w:after="0"/>
              <w:rPr>
                <w:sz w:val="20"/>
                <w:szCs w:val="20"/>
                <w:color w:val="auto"/>
              </w:rPr>
            </w:pPr>
            <w:r>
              <w:rPr>
                <w:rFonts w:ascii="Arial" w:cs="Arial" w:eastAsia="Arial" w:hAnsi="Arial"/>
                <w:sz w:val="16"/>
                <w:szCs w:val="16"/>
                <w:color w:val="auto"/>
              </w:rPr>
              <w:t>Northern Europe</w:t>
            </w:r>
          </w:p>
        </w:tc>
        <w:tc>
          <w:tcPr>
            <w:tcW w:w="12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1,156.6</w:t>
            </w:r>
          </w:p>
        </w:tc>
        <w:tc>
          <w:tcPr>
            <w:tcW w:w="14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(10.1)%</w:t>
            </w:r>
          </w:p>
        </w:tc>
        <w:tc>
          <w:tcPr>
            <w:tcW w:w="10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w:t>
            </w:r>
          </w:p>
        </w:tc>
        <w:tc>
          <w:tcPr>
            <w:tcW w:w="10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(5.3)%</w:t>
            </w:r>
          </w:p>
        </w:tc>
        <w:tc>
          <w:tcPr>
            <w:tcW w:w="100" w:type="dxa"/>
            <w:vAlign w:val="bottom"/>
            <w:shd w:val="clear" w:color="auto" w:fill="CFF0FC"/>
          </w:tcPr>
          <w:p>
            <w:pPr>
              <w:spacing w:after="0"/>
              <w:rPr>
                <w:sz w:val="18"/>
                <w:szCs w:val="18"/>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w:t>
            </w:r>
          </w:p>
        </w:tc>
      </w:tr>
      <w:tr>
        <w:trPr>
          <w:trHeight w:val="213"/>
        </w:trPr>
        <w:tc>
          <w:tcPr>
            <w:tcW w:w="2620" w:type="dxa"/>
            <w:vAlign w:val="bottom"/>
          </w:tcPr>
          <w:p>
            <w:pPr>
              <w:spacing w:after="0"/>
              <w:rPr>
                <w:sz w:val="20"/>
                <w:szCs w:val="20"/>
                <w:color w:val="auto"/>
              </w:rPr>
            </w:pPr>
            <w:r>
              <w:rPr>
                <w:rFonts w:ascii="Arial" w:cs="Arial" w:eastAsia="Arial" w:hAnsi="Arial"/>
                <w:sz w:val="16"/>
                <w:szCs w:val="16"/>
                <w:color w:val="auto"/>
              </w:rPr>
              <w:t>APME</w:t>
            </w: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621.9</w:t>
            </w:r>
          </w:p>
        </w:tc>
        <w:tc>
          <w:tcPr>
            <w:tcW w:w="1440" w:type="dxa"/>
            <w:vAlign w:val="bottom"/>
            <w:gridSpan w:val="2"/>
          </w:tcPr>
          <w:p>
            <w:pPr>
              <w:jc w:val="right"/>
              <w:spacing w:after="0"/>
              <w:rPr>
                <w:sz w:val="20"/>
                <w:szCs w:val="20"/>
                <w:color w:val="auto"/>
              </w:rPr>
            </w:pPr>
            <w:r>
              <w:rPr>
                <w:rFonts w:ascii="Arial" w:cs="Arial" w:eastAsia="Arial" w:hAnsi="Arial"/>
                <w:sz w:val="16"/>
                <w:szCs w:val="16"/>
                <w:color w:val="auto"/>
              </w:rPr>
              <w:t>(12.8)%</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(12.6)%</w:t>
            </w:r>
          </w:p>
        </w:tc>
        <w:tc>
          <w:tcPr>
            <w:tcW w:w="10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(17.2)%</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4.6%</w:t>
            </w:r>
          </w:p>
        </w:tc>
      </w:tr>
      <w:tr>
        <w:trPr>
          <w:trHeight w:val="219"/>
        </w:trPr>
        <w:tc>
          <w:tcPr>
            <w:tcW w:w="2620" w:type="dxa"/>
            <w:vAlign w:val="bottom"/>
            <w:shd w:val="clear" w:color="auto" w:fill="CFF0FC"/>
          </w:tcPr>
          <w:p>
            <w:pPr>
              <w:spacing w:after="0"/>
              <w:rPr>
                <w:sz w:val="20"/>
                <w:szCs w:val="20"/>
                <w:color w:val="auto"/>
              </w:rPr>
            </w:pPr>
            <w:r>
              <w:rPr>
                <w:rFonts w:ascii="Arial" w:cs="Arial" w:eastAsia="Arial" w:hAnsi="Arial"/>
                <w:sz w:val="16"/>
                <w:szCs w:val="16"/>
                <w:color w:val="auto"/>
              </w:rPr>
              <w:t>Right Management</w:t>
            </w:r>
          </w:p>
        </w:tc>
        <w:tc>
          <w:tcPr>
            <w:tcW w:w="12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48.1</w:t>
            </w:r>
          </w:p>
        </w:tc>
        <w:tc>
          <w:tcPr>
            <w:tcW w:w="14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2.5%</w:t>
            </w:r>
          </w:p>
        </w:tc>
        <w:tc>
          <w:tcPr>
            <w:tcW w:w="1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w:t>
            </w:r>
          </w:p>
        </w:tc>
        <w:tc>
          <w:tcPr>
            <w:tcW w:w="1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w:t>
            </w:r>
          </w:p>
        </w:tc>
        <w:tc>
          <w:tcPr>
            <w:tcW w:w="100" w:type="dxa"/>
            <w:vAlign w:val="bottom"/>
            <w:shd w:val="clear" w:color="auto" w:fill="CFF0FC"/>
          </w:tcPr>
          <w:p>
            <w:pPr>
              <w:spacing w:after="0"/>
              <w:rPr>
                <w:sz w:val="19"/>
                <w:szCs w:val="19"/>
                <w:color w:val="auto"/>
              </w:rPr>
            </w:pPr>
          </w:p>
        </w:tc>
        <w:tc>
          <w:tcPr>
            <w:tcW w:w="1820" w:type="dxa"/>
            <w:vAlign w:val="bottom"/>
            <w:gridSpan w:val="2"/>
            <w:shd w:val="clear" w:color="auto" w:fill="CFF0FC"/>
          </w:tcPr>
          <w:p>
            <w:pPr>
              <w:jc w:val="right"/>
              <w:ind w:right="320"/>
              <w:spacing w:after="0"/>
              <w:rPr>
                <w:sz w:val="20"/>
                <w:szCs w:val="20"/>
                <w:color w:val="auto"/>
              </w:rPr>
            </w:pPr>
            <w:r>
              <w:rPr>
                <w:rFonts w:ascii="Arial" w:cs="Arial" w:eastAsia="Arial" w:hAnsi="Arial"/>
                <w:sz w:val="16"/>
                <w:szCs w:val="16"/>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w:t>
            </w:r>
          </w:p>
        </w:tc>
      </w:tr>
      <w:tr>
        <w:trPr>
          <w:trHeight w:val="247"/>
        </w:trPr>
        <w:tc>
          <w:tcPr>
            <w:tcW w:w="26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Consolidated</w:t>
            </w:r>
          </w:p>
        </w:tc>
        <w:tc>
          <w:tcPr>
            <w:tcW w:w="1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5,248.9</w:t>
            </w:r>
          </w:p>
        </w:tc>
        <w:tc>
          <w:tcPr>
            <w:tcW w:w="1440" w:type="dxa"/>
            <w:vAlign w:val="bottom"/>
            <w:tcBorders>
              <w:bottom w:val="single" w:sz="8" w:color="CFF0FC"/>
            </w:tcBorders>
            <w:gridSpan w:val="2"/>
          </w:tcPr>
          <w:p>
            <w:pPr>
              <w:jc w:val="right"/>
              <w:spacing w:after="0"/>
              <w:rPr>
                <w:sz w:val="20"/>
                <w:szCs w:val="20"/>
                <w:color w:val="auto"/>
              </w:rPr>
            </w:pPr>
            <w:r>
              <w:rPr>
                <w:rFonts w:ascii="Arial" w:cs="Arial" w:eastAsia="Arial" w:hAnsi="Arial"/>
                <w:sz w:val="16"/>
                <w:szCs w:val="16"/>
                <w:color w:val="auto"/>
              </w:rPr>
              <w:t>(3.1)%</w:t>
            </w:r>
          </w:p>
        </w:tc>
        <w:tc>
          <w:tcPr>
            <w:tcW w:w="100" w:type="dxa"/>
            <w:vAlign w:val="bottom"/>
            <w:tcBorders>
              <w:bottom w:val="single" w:sz="8" w:color="CFF0FC"/>
            </w:tcBorders>
          </w:tcPr>
          <w:p>
            <w:pPr>
              <w:spacing w:after="0"/>
              <w:rPr>
                <w:sz w:val="21"/>
                <w:szCs w:val="21"/>
                <w:color w:val="auto"/>
              </w:rPr>
            </w:pPr>
          </w:p>
        </w:tc>
        <w:tc>
          <w:tcPr>
            <w:tcW w:w="134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(3.4)%</w:t>
            </w:r>
          </w:p>
        </w:tc>
        <w:tc>
          <w:tcPr>
            <w:tcW w:w="100" w:type="dxa"/>
            <w:vAlign w:val="bottom"/>
            <w:tcBorders>
              <w:bottom w:val="single" w:sz="8" w:color="CFF0FC"/>
            </w:tcBorders>
          </w:tcPr>
          <w:p>
            <w:pPr>
              <w:spacing w:after="0"/>
              <w:rPr>
                <w:sz w:val="21"/>
                <w:szCs w:val="21"/>
                <w:color w:val="auto"/>
              </w:rPr>
            </w:pPr>
          </w:p>
        </w:tc>
        <w:tc>
          <w:tcPr>
            <w:tcW w:w="134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0.3%</w:t>
            </w:r>
          </w:p>
        </w:tc>
        <w:tc>
          <w:tcPr>
            <w:tcW w:w="100" w:type="dxa"/>
            <w:vAlign w:val="bottom"/>
            <w:tcBorders>
              <w:bottom w:val="single" w:sz="8" w:color="CFF0FC"/>
            </w:tcBorders>
          </w:tcPr>
          <w:p>
            <w:pPr>
              <w:spacing w:after="0"/>
              <w:rPr>
                <w:sz w:val="21"/>
                <w:szCs w:val="21"/>
                <w:color w:val="auto"/>
              </w:rPr>
            </w:pPr>
          </w:p>
        </w:tc>
        <w:tc>
          <w:tcPr>
            <w:tcW w:w="172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(0.3)%</w:t>
            </w:r>
          </w:p>
        </w:tc>
        <w:tc>
          <w:tcPr>
            <w:tcW w:w="100" w:type="dxa"/>
            <w:vAlign w:val="bottom"/>
            <w:tcBorders>
              <w:bottom w:val="single" w:sz="8" w:color="CFF0FC"/>
            </w:tcBorders>
          </w:tcPr>
          <w:p>
            <w:pPr>
              <w:spacing w:after="0"/>
              <w:rPr>
                <w:sz w:val="21"/>
                <w:szCs w:val="21"/>
                <w:color w:val="auto"/>
              </w:rPr>
            </w:pPr>
          </w:p>
        </w:tc>
        <w:tc>
          <w:tcPr>
            <w:tcW w:w="134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0.6%</w:t>
            </w:r>
          </w:p>
        </w:tc>
      </w:tr>
      <w:tr>
        <w:trPr>
          <w:trHeight w:val="200"/>
        </w:trPr>
        <w:tc>
          <w:tcPr>
            <w:tcW w:w="2620" w:type="dxa"/>
            <w:vAlign w:val="bottom"/>
            <w:shd w:val="clear" w:color="auto" w:fill="CFF0FC"/>
          </w:tcPr>
          <w:p>
            <w:pPr>
              <w:spacing w:after="0"/>
              <w:rPr>
                <w:sz w:val="20"/>
                <w:szCs w:val="20"/>
                <w:color w:val="auto"/>
              </w:rPr>
            </w:pPr>
            <w:r>
              <w:rPr>
                <w:rFonts w:ascii="Arial" w:cs="Arial" w:eastAsia="Arial" w:hAnsi="Arial"/>
                <w:sz w:val="16"/>
                <w:szCs w:val="16"/>
                <w:color w:val="auto"/>
              </w:rPr>
              <w:t>Gross Profit</w:t>
            </w:r>
          </w:p>
        </w:tc>
        <w:tc>
          <w:tcPr>
            <w:tcW w:w="12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840.3</w:t>
            </w:r>
          </w:p>
        </w:tc>
        <w:tc>
          <w:tcPr>
            <w:tcW w:w="14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(5.7)%</w:t>
            </w:r>
          </w:p>
        </w:tc>
        <w:tc>
          <w:tcPr>
            <w:tcW w:w="10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w:t>
            </w:r>
          </w:p>
        </w:tc>
        <w:tc>
          <w:tcPr>
            <w:tcW w:w="10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w:t>
            </w:r>
          </w:p>
        </w:tc>
        <w:tc>
          <w:tcPr>
            <w:tcW w:w="100" w:type="dxa"/>
            <w:vAlign w:val="bottom"/>
            <w:shd w:val="clear" w:color="auto" w:fill="CFF0FC"/>
          </w:tcPr>
          <w:p>
            <w:pPr>
              <w:spacing w:after="0"/>
              <w:rPr>
                <w:sz w:val="17"/>
                <w:szCs w:val="17"/>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w:t>
            </w:r>
          </w:p>
        </w:tc>
      </w:tr>
      <w:tr>
        <w:trPr>
          <w:trHeight w:val="213"/>
        </w:trPr>
        <w:tc>
          <w:tcPr>
            <w:tcW w:w="2620" w:type="dxa"/>
            <w:vAlign w:val="bottom"/>
          </w:tcPr>
          <w:p>
            <w:pPr>
              <w:spacing w:after="0"/>
              <w:rPr>
                <w:sz w:val="20"/>
                <w:szCs w:val="20"/>
                <w:color w:val="auto"/>
              </w:rPr>
            </w:pPr>
            <w:r>
              <w:rPr>
                <w:rFonts w:ascii="Arial" w:cs="Arial" w:eastAsia="Arial" w:hAnsi="Arial"/>
                <w:sz w:val="16"/>
                <w:szCs w:val="16"/>
                <w:color w:val="auto"/>
              </w:rPr>
              <w:t>Selling and Administrative Expenses</w:t>
            </w: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623.3</w:t>
            </w:r>
          </w:p>
        </w:tc>
        <w:tc>
          <w:tcPr>
            <w:tcW w:w="1440" w:type="dxa"/>
            <w:vAlign w:val="bottom"/>
            <w:gridSpan w:val="2"/>
          </w:tcPr>
          <w:p>
            <w:pPr>
              <w:jc w:val="right"/>
              <w:spacing w:after="0"/>
              <w:rPr>
                <w:sz w:val="20"/>
                <w:szCs w:val="20"/>
                <w:color w:val="auto"/>
              </w:rPr>
            </w:pPr>
            <w:r>
              <w:rPr>
                <w:rFonts w:ascii="Arial" w:cs="Arial" w:eastAsia="Arial" w:hAnsi="Arial"/>
                <w:sz w:val="16"/>
                <w:szCs w:val="16"/>
                <w:color w:val="auto"/>
              </w:rPr>
              <w:t>(7.5)%</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(4.4)%</w:t>
            </w:r>
          </w:p>
        </w:tc>
        <w:tc>
          <w:tcPr>
            <w:tcW w:w="10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(3.2)%</w:t>
            </w:r>
          </w:p>
        </w:tc>
      </w:tr>
      <w:tr>
        <w:trPr>
          <w:trHeight w:val="219"/>
        </w:trPr>
        <w:tc>
          <w:tcPr>
            <w:tcW w:w="2620" w:type="dxa"/>
            <w:vAlign w:val="bottom"/>
            <w:shd w:val="clear" w:color="auto" w:fill="CFF0FC"/>
          </w:tcPr>
          <w:p>
            <w:pPr>
              <w:spacing w:after="0"/>
              <w:rPr>
                <w:sz w:val="20"/>
                <w:szCs w:val="20"/>
                <w:color w:val="auto"/>
              </w:rPr>
            </w:pPr>
            <w:r>
              <w:rPr>
                <w:rFonts w:ascii="Arial" w:cs="Arial" w:eastAsia="Arial" w:hAnsi="Arial"/>
                <w:sz w:val="16"/>
                <w:szCs w:val="16"/>
                <w:color w:val="auto"/>
              </w:rPr>
              <w:t>Operating Profit</w:t>
            </w:r>
          </w:p>
        </w:tc>
        <w:tc>
          <w:tcPr>
            <w:tcW w:w="12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217.0</w:t>
            </w:r>
          </w:p>
        </w:tc>
        <w:tc>
          <w:tcPr>
            <w:tcW w:w="14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0.2%</w:t>
            </w:r>
          </w:p>
        </w:tc>
        <w:tc>
          <w:tcPr>
            <w:tcW w:w="1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w:t>
            </w:r>
          </w:p>
        </w:tc>
        <w:tc>
          <w:tcPr>
            <w:tcW w:w="1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w:t>
            </w:r>
          </w:p>
        </w:tc>
        <w:tc>
          <w:tcPr>
            <w:tcW w:w="100" w:type="dxa"/>
            <w:vAlign w:val="bottom"/>
            <w:shd w:val="clear" w:color="auto" w:fill="CFF0FC"/>
          </w:tcPr>
          <w:p>
            <w:pPr>
              <w:spacing w:after="0"/>
              <w:rPr>
                <w:sz w:val="19"/>
                <w:szCs w:val="19"/>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w:t>
            </w:r>
          </w:p>
        </w:tc>
        <w:tc>
          <w:tcPr>
            <w:tcW w:w="1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5.6%</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7" w:name="page38"/>
    <w:bookmarkEnd w:id="37"/>
    <w:p>
      <w:pPr>
        <w:ind w:left="460" w:hanging="452"/>
        <w:spacing w:after="0"/>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 millions for the three months ended September 30, 2019.</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6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120" w:type="dxa"/>
            <w:vAlign w:val="bottom"/>
            <w:tcBorders>
              <w:bottom w:val="single" w:sz="8" w:color="auto"/>
            </w:tcBorders>
            <w:gridSpan w:val="8"/>
          </w:tcPr>
          <w:p>
            <w:pPr>
              <w:ind w:left="1020"/>
              <w:spacing w:after="0"/>
              <w:rPr>
                <w:sz w:val="20"/>
                <w:szCs w:val="20"/>
                <w:color w:val="auto"/>
              </w:rPr>
            </w:pPr>
            <w:r>
              <w:rPr>
                <w:rFonts w:ascii="Arial" w:cs="Arial" w:eastAsia="Arial" w:hAnsi="Arial"/>
                <w:sz w:val="16"/>
                <w:szCs w:val="16"/>
                <w:b w:val="1"/>
                <w:bCs w:val="1"/>
                <w:color w:val="auto"/>
              </w:rPr>
              <w:t>9 Months Ended September 30, 2019 Compared to 2018</w:t>
            </w:r>
          </w:p>
        </w:tc>
        <w:tc>
          <w:tcPr>
            <w:tcW w:w="13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gridSpan w:val="2"/>
          </w:tcPr>
          <w:p>
            <w:pPr>
              <w:jc w:val="center"/>
              <w:ind w:right="320"/>
              <w:spacing w:after="0"/>
              <w:rPr>
                <w:sz w:val="20"/>
                <w:szCs w:val="20"/>
                <w:color w:val="auto"/>
              </w:rPr>
            </w:pPr>
            <w:r>
              <w:rPr>
                <w:rFonts w:ascii="Arial" w:cs="Arial" w:eastAsia="Arial" w:hAnsi="Arial"/>
                <w:sz w:val="16"/>
                <w:szCs w:val="16"/>
                <w:color w:val="auto"/>
                <w:w w:val="94"/>
              </w:rPr>
              <w:t>Impact of</w:t>
            </w: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gridSpan w:val="2"/>
          </w:tcPr>
          <w:p>
            <w:pPr>
              <w:jc w:val="center"/>
              <w:ind w:right="320"/>
              <w:spacing w:after="0"/>
              <w:rPr>
                <w:sz w:val="20"/>
                <w:szCs w:val="20"/>
                <w:color w:val="auto"/>
              </w:rPr>
            </w:pPr>
            <w:r>
              <w:rPr>
                <w:rFonts w:ascii="Arial" w:cs="Arial" w:eastAsia="Arial" w:hAnsi="Arial"/>
                <w:sz w:val="16"/>
                <w:szCs w:val="16"/>
                <w:color w:val="auto"/>
                <w:w w:val="96"/>
              </w:rPr>
              <w:t>Acquisitions</w:t>
            </w:r>
          </w:p>
        </w:tc>
        <w:tc>
          <w:tcPr>
            <w:tcW w:w="1340" w:type="dxa"/>
            <w:vAlign w:val="bottom"/>
          </w:tcPr>
          <w:p>
            <w:pPr>
              <w:jc w:val="center"/>
              <w:ind w:right="139"/>
              <w:spacing w:after="0"/>
              <w:rPr>
                <w:sz w:val="20"/>
                <w:szCs w:val="20"/>
                <w:color w:val="auto"/>
              </w:rPr>
            </w:pPr>
            <w:r>
              <w:rPr>
                <w:rFonts w:ascii="Arial" w:cs="Arial" w:eastAsia="Arial" w:hAnsi="Arial"/>
                <w:sz w:val="16"/>
                <w:szCs w:val="16"/>
                <w:color w:val="auto"/>
                <w:w w:val="92"/>
              </w:rPr>
              <w:t>Organic</w:t>
            </w:r>
          </w:p>
        </w:tc>
        <w:tc>
          <w:tcPr>
            <w:tcW w:w="0" w:type="dxa"/>
            <w:vAlign w:val="bottom"/>
          </w:tcPr>
          <w:p>
            <w:pPr>
              <w:spacing w:after="0"/>
              <w:rPr>
                <w:sz w:val="1"/>
                <w:szCs w:val="1"/>
                <w:color w:val="auto"/>
              </w:rPr>
            </w:pPr>
          </w:p>
        </w:tc>
      </w:tr>
      <w:tr>
        <w:trPr>
          <w:trHeight w:val="203"/>
        </w:trPr>
        <w:tc>
          <w:tcPr>
            <w:tcW w:w="2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gridSpan w:val="2"/>
          </w:tcPr>
          <w:p>
            <w:pPr>
              <w:ind w:left="280"/>
              <w:spacing w:after="0"/>
              <w:rPr>
                <w:sz w:val="20"/>
                <w:szCs w:val="20"/>
                <w:color w:val="auto"/>
              </w:rPr>
            </w:pPr>
            <w:r>
              <w:rPr>
                <w:rFonts w:ascii="Arial" w:cs="Arial" w:eastAsia="Arial" w:hAnsi="Arial"/>
                <w:sz w:val="16"/>
                <w:szCs w:val="16"/>
                <w:color w:val="auto"/>
              </w:rPr>
              <w:t>Constant</w:t>
            </w:r>
          </w:p>
        </w:tc>
        <w:tc>
          <w:tcPr>
            <w:tcW w:w="1820" w:type="dxa"/>
            <w:vAlign w:val="bottom"/>
            <w:gridSpan w:val="2"/>
          </w:tcPr>
          <w:p>
            <w:pPr>
              <w:jc w:val="center"/>
              <w:ind w:right="320"/>
              <w:spacing w:after="0"/>
              <w:rPr>
                <w:sz w:val="20"/>
                <w:szCs w:val="20"/>
                <w:color w:val="auto"/>
              </w:rPr>
            </w:pPr>
            <w:r>
              <w:rPr>
                <w:rFonts w:ascii="Arial" w:cs="Arial" w:eastAsia="Arial" w:hAnsi="Arial"/>
                <w:sz w:val="16"/>
                <w:szCs w:val="16"/>
                <w:color w:val="auto"/>
                <w:w w:val="93"/>
              </w:rPr>
              <w:t>and Dispositions</w:t>
            </w:r>
          </w:p>
        </w:tc>
        <w:tc>
          <w:tcPr>
            <w:tcW w:w="1340" w:type="dxa"/>
            <w:vAlign w:val="bottom"/>
          </w:tcPr>
          <w:p>
            <w:pPr>
              <w:jc w:val="center"/>
              <w:ind w:right="119"/>
              <w:spacing w:after="0"/>
              <w:rPr>
                <w:sz w:val="20"/>
                <w:szCs w:val="20"/>
                <w:color w:val="auto"/>
              </w:rPr>
            </w:pPr>
            <w:r>
              <w:rPr>
                <w:rFonts w:ascii="Arial" w:cs="Arial" w:eastAsia="Arial" w:hAnsi="Arial"/>
                <w:sz w:val="16"/>
                <w:szCs w:val="16"/>
                <w:color w:val="auto"/>
                <w:w w:val="90"/>
              </w:rPr>
              <w:t>Constant</w:t>
            </w:r>
          </w:p>
        </w:tc>
        <w:tc>
          <w:tcPr>
            <w:tcW w:w="0" w:type="dxa"/>
            <w:vAlign w:val="bottom"/>
          </w:tcPr>
          <w:p>
            <w:pPr>
              <w:spacing w:after="0"/>
              <w:rPr>
                <w:sz w:val="1"/>
                <w:szCs w:val="1"/>
                <w:color w:val="auto"/>
              </w:rPr>
            </w:pPr>
          </w:p>
        </w:tc>
      </w:tr>
      <w:tr>
        <w:trPr>
          <w:trHeight w:val="199"/>
        </w:trPr>
        <w:tc>
          <w:tcPr>
            <w:tcW w:w="2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ind w:right="299"/>
              <w:spacing w:after="0"/>
              <w:rPr>
                <w:sz w:val="20"/>
                <w:szCs w:val="20"/>
                <w:color w:val="auto"/>
              </w:rPr>
            </w:pPr>
            <w:r>
              <w:rPr>
                <w:rFonts w:ascii="Arial" w:cs="Arial" w:eastAsia="Arial" w:hAnsi="Arial"/>
                <w:sz w:val="16"/>
                <w:szCs w:val="16"/>
                <w:color w:val="auto"/>
              </w:rPr>
              <w:t>Reported</w:t>
            </w:r>
          </w:p>
        </w:tc>
        <w:tc>
          <w:tcPr>
            <w:tcW w:w="120" w:type="dxa"/>
            <w:vAlign w:val="bottom"/>
          </w:tcPr>
          <w:p>
            <w:pPr>
              <w:spacing w:after="0"/>
              <w:rPr>
                <w:sz w:val="17"/>
                <w:szCs w:val="17"/>
                <w:color w:val="auto"/>
              </w:rPr>
            </w:pPr>
          </w:p>
        </w:tc>
        <w:tc>
          <w:tcPr>
            <w:tcW w:w="1420" w:type="dxa"/>
            <w:vAlign w:val="bottom"/>
            <w:gridSpan w:val="2"/>
          </w:tcPr>
          <w:p>
            <w:pPr>
              <w:ind w:left="240"/>
              <w:spacing w:after="0"/>
              <w:rPr>
                <w:sz w:val="20"/>
                <w:szCs w:val="20"/>
                <w:color w:val="auto"/>
              </w:rPr>
            </w:pPr>
            <w:r>
              <w:rPr>
                <w:rFonts w:ascii="Arial" w:cs="Arial" w:eastAsia="Arial" w:hAnsi="Arial"/>
                <w:sz w:val="16"/>
                <w:szCs w:val="16"/>
                <w:color w:val="auto"/>
              </w:rPr>
              <w:t>Reported</w:t>
            </w:r>
          </w:p>
        </w:tc>
        <w:tc>
          <w:tcPr>
            <w:tcW w:w="1440" w:type="dxa"/>
            <w:vAlign w:val="bottom"/>
            <w:gridSpan w:val="2"/>
          </w:tcPr>
          <w:p>
            <w:pPr>
              <w:ind w:left="260"/>
              <w:spacing w:after="0"/>
              <w:rPr>
                <w:sz w:val="20"/>
                <w:szCs w:val="20"/>
                <w:color w:val="auto"/>
              </w:rPr>
            </w:pPr>
            <w:r>
              <w:rPr>
                <w:rFonts w:ascii="Arial" w:cs="Arial" w:eastAsia="Arial" w:hAnsi="Arial"/>
                <w:sz w:val="16"/>
                <w:szCs w:val="16"/>
                <w:color w:val="auto"/>
              </w:rPr>
              <w:t>Impact of</w:t>
            </w:r>
          </w:p>
        </w:tc>
        <w:tc>
          <w:tcPr>
            <w:tcW w:w="1440" w:type="dxa"/>
            <w:vAlign w:val="bottom"/>
            <w:gridSpan w:val="2"/>
          </w:tcPr>
          <w:p>
            <w:pPr>
              <w:ind w:left="260"/>
              <w:spacing w:after="0"/>
              <w:rPr>
                <w:sz w:val="20"/>
                <w:szCs w:val="20"/>
                <w:color w:val="auto"/>
              </w:rPr>
            </w:pPr>
            <w:r>
              <w:rPr>
                <w:rFonts w:ascii="Arial" w:cs="Arial" w:eastAsia="Arial" w:hAnsi="Arial"/>
                <w:sz w:val="16"/>
                <w:szCs w:val="16"/>
                <w:color w:val="auto"/>
              </w:rPr>
              <w:t>Currency</w:t>
            </w:r>
          </w:p>
        </w:tc>
        <w:tc>
          <w:tcPr>
            <w:tcW w:w="1820" w:type="dxa"/>
            <w:vAlign w:val="bottom"/>
            <w:gridSpan w:val="2"/>
          </w:tcPr>
          <w:p>
            <w:pPr>
              <w:jc w:val="center"/>
              <w:ind w:right="320"/>
              <w:spacing w:after="0"/>
              <w:rPr>
                <w:sz w:val="20"/>
                <w:szCs w:val="20"/>
                <w:color w:val="auto"/>
              </w:rPr>
            </w:pPr>
            <w:r>
              <w:rPr>
                <w:rFonts w:ascii="Arial" w:cs="Arial" w:eastAsia="Arial" w:hAnsi="Arial"/>
                <w:sz w:val="16"/>
                <w:szCs w:val="16"/>
                <w:color w:val="auto"/>
                <w:w w:val="94"/>
              </w:rPr>
              <w:t>(In Constant</w:t>
            </w:r>
          </w:p>
        </w:tc>
        <w:tc>
          <w:tcPr>
            <w:tcW w:w="1340" w:type="dxa"/>
            <w:vAlign w:val="bottom"/>
          </w:tcPr>
          <w:p>
            <w:pPr>
              <w:jc w:val="center"/>
              <w:ind w:right="139"/>
              <w:spacing w:after="0"/>
              <w:rPr>
                <w:sz w:val="20"/>
                <w:szCs w:val="20"/>
                <w:color w:val="auto"/>
              </w:rPr>
            </w:pPr>
            <w:r>
              <w:rPr>
                <w:rFonts w:ascii="Arial" w:cs="Arial" w:eastAsia="Arial" w:hAnsi="Arial"/>
                <w:sz w:val="16"/>
                <w:szCs w:val="16"/>
                <w:color w:val="auto"/>
                <w:w w:val="92"/>
              </w:rPr>
              <w:t>Currency</w:t>
            </w:r>
          </w:p>
        </w:tc>
        <w:tc>
          <w:tcPr>
            <w:tcW w:w="0" w:type="dxa"/>
            <w:vAlign w:val="bottom"/>
          </w:tcPr>
          <w:p>
            <w:pPr>
              <w:spacing w:after="0"/>
              <w:rPr>
                <w:sz w:val="1"/>
                <w:szCs w:val="1"/>
                <w:color w:val="auto"/>
              </w:rPr>
            </w:pPr>
          </w:p>
        </w:tc>
      </w:tr>
      <w:tr>
        <w:trPr>
          <w:trHeight w:val="216"/>
        </w:trPr>
        <w:tc>
          <w:tcPr>
            <w:tcW w:w="2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239"/>
              <w:spacing w:after="0" w:line="216" w:lineRule="exact"/>
              <w:rPr>
                <w:sz w:val="20"/>
                <w:szCs w:val="20"/>
                <w:color w:val="auto"/>
              </w:rPr>
            </w:pPr>
            <w:r>
              <w:rPr>
                <w:rFonts w:ascii="Arial" w:cs="Arial" w:eastAsia="Arial" w:hAnsi="Arial"/>
                <w:sz w:val="15"/>
                <w:szCs w:val="15"/>
                <w:color w:val="auto"/>
              </w:rPr>
              <w:t>Amount</w:t>
            </w:r>
            <w:r>
              <w:rPr>
                <w:rFonts w:ascii="Arial" w:cs="Arial" w:eastAsia="Arial" w:hAnsi="Arial"/>
                <w:sz w:val="25"/>
                <w:szCs w:val="25"/>
                <w:color w:val="auto"/>
                <w:vertAlign w:val="superscript"/>
              </w:rPr>
              <w:t>(a)</w:t>
            </w:r>
          </w:p>
        </w:tc>
        <w:tc>
          <w:tcPr>
            <w:tcW w:w="120" w:type="dxa"/>
            <w:vAlign w:val="bottom"/>
          </w:tcPr>
          <w:p>
            <w:pPr>
              <w:spacing w:after="0"/>
              <w:rPr>
                <w:sz w:val="18"/>
                <w:szCs w:val="18"/>
                <w:color w:val="auto"/>
              </w:rPr>
            </w:pPr>
          </w:p>
        </w:tc>
        <w:tc>
          <w:tcPr>
            <w:tcW w:w="1420" w:type="dxa"/>
            <w:vAlign w:val="bottom"/>
            <w:gridSpan w:val="2"/>
          </w:tcPr>
          <w:p>
            <w:pPr>
              <w:ind w:left="260"/>
              <w:spacing w:after="0"/>
              <w:rPr>
                <w:sz w:val="20"/>
                <w:szCs w:val="20"/>
                <w:color w:val="auto"/>
              </w:rPr>
            </w:pPr>
            <w:r>
              <w:rPr>
                <w:rFonts w:ascii="Arial" w:cs="Arial" w:eastAsia="Arial" w:hAnsi="Arial"/>
                <w:sz w:val="16"/>
                <w:szCs w:val="16"/>
                <w:color w:val="auto"/>
              </w:rPr>
              <w:t>Variance</w:t>
            </w:r>
          </w:p>
        </w:tc>
        <w:tc>
          <w:tcPr>
            <w:tcW w:w="1440" w:type="dxa"/>
            <w:vAlign w:val="bottom"/>
            <w:gridSpan w:val="2"/>
          </w:tcPr>
          <w:p>
            <w:pPr>
              <w:ind w:left="260"/>
              <w:spacing w:after="0"/>
              <w:rPr>
                <w:sz w:val="20"/>
                <w:szCs w:val="20"/>
                <w:color w:val="auto"/>
              </w:rPr>
            </w:pPr>
            <w:r>
              <w:rPr>
                <w:rFonts w:ascii="Arial" w:cs="Arial" w:eastAsia="Arial" w:hAnsi="Arial"/>
                <w:sz w:val="16"/>
                <w:szCs w:val="16"/>
                <w:color w:val="auto"/>
              </w:rPr>
              <w:t>Currency</w:t>
            </w:r>
          </w:p>
        </w:tc>
        <w:tc>
          <w:tcPr>
            <w:tcW w:w="1440" w:type="dxa"/>
            <w:vAlign w:val="bottom"/>
            <w:gridSpan w:val="2"/>
          </w:tcPr>
          <w:p>
            <w:pPr>
              <w:ind w:left="280"/>
              <w:spacing w:after="0"/>
              <w:rPr>
                <w:sz w:val="20"/>
                <w:szCs w:val="20"/>
                <w:color w:val="auto"/>
              </w:rPr>
            </w:pPr>
            <w:r>
              <w:rPr>
                <w:rFonts w:ascii="Arial" w:cs="Arial" w:eastAsia="Arial" w:hAnsi="Arial"/>
                <w:sz w:val="16"/>
                <w:szCs w:val="16"/>
                <w:color w:val="auto"/>
              </w:rPr>
              <w:t>Variance</w:t>
            </w:r>
          </w:p>
        </w:tc>
        <w:tc>
          <w:tcPr>
            <w:tcW w:w="1820" w:type="dxa"/>
            <w:vAlign w:val="bottom"/>
            <w:gridSpan w:val="2"/>
          </w:tcPr>
          <w:p>
            <w:pPr>
              <w:jc w:val="center"/>
              <w:ind w:right="320"/>
              <w:spacing w:after="0"/>
              <w:rPr>
                <w:sz w:val="20"/>
                <w:szCs w:val="20"/>
                <w:color w:val="auto"/>
              </w:rPr>
            </w:pPr>
            <w:r>
              <w:rPr>
                <w:rFonts w:ascii="Arial" w:cs="Arial" w:eastAsia="Arial" w:hAnsi="Arial"/>
                <w:sz w:val="16"/>
                <w:szCs w:val="16"/>
                <w:color w:val="auto"/>
                <w:w w:val="93"/>
              </w:rPr>
              <w:t>Currency)</w:t>
            </w:r>
          </w:p>
        </w:tc>
        <w:tc>
          <w:tcPr>
            <w:tcW w:w="1340" w:type="dxa"/>
            <w:vAlign w:val="bottom"/>
          </w:tcPr>
          <w:p>
            <w:pPr>
              <w:jc w:val="center"/>
              <w:ind w:right="139"/>
              <w:spacing w:after="0"/>
              <w:rPr>
                <w:sz w:val="20"/>
                <w:szCs w:val="20"/>
                <w:color w:val="auto"/>
              </w:rPr>
            </w:pPr>
            <w:r>
              <w:rPr>
                <w:rFonts w:ascii="Arial" w:cs="Arial" w:eastAsia="Arial" w:hAnsi="Arial"/>
                <w:sz w:val="16"/>
                <w:szCs w:val="16"/>
                <w:color w:val="auto"/>
                <w:w w:val="88"/>
              </w:rPr>
              <w:t>Variance</w:t>
            </w:r>
          </w:p>
        </w:tc>
        <w:tc>
          <w:tcPr>
            <w:tcW w:w="0" w:type="dxa"/>
            <w:vAlign w:val="bottom"/>
          </w:tcPr>
          <w:p>
            <w:pPr>
              <w:spacing w:after="0"/>
              <w:rPr>
                <w:sz w:val="1"/>
                <w:szCs w:val="1"/>
                <w:color w:val="auto"/>
              </w:rPr>
            </w:pPr>
          </w:p>
        </w:tc>
      </w:tr>
      <w:tr>
        <w:trPr>
          <w:trHeight w:val="207"/>
        </w:trPr>
        <w:tc>
          <w:tcPr>
            <w:tcW w:w="2620" w:type="dxa"/>
            <w:vAlign w:val="bottom"/>
          </w:tcPr>
          <w:p>
            <w:pPr>
              <w:spacing w:after="0"/>
              <w:rPr>
                <w:sz w:val="20"/>
                <w:szCs w:val="20"/>
                <w:color w:val="auto"/>
              </w:rPr>
            </w:pPr>
            <w:r>
              <w:rPr>
                <w:rFonts w:ascii="Arial" w:cs="Arial" w:eastAsia="Arial" w:hAnsi="Arial"/>
                <w:sz w:val="16"/>
                <w:szCs w:val="16"/>
                <w:color w:val="auto"/>
              </w:rPr>
              <w:t>Revenues from services:</w:t>
            </w:r>
          </w:p>
        </w:tc>
        <w:tc>
          <w:tcPr>
            <w:tcW w:w="1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620" w:type="dxa"/>
            <w:vAlign w:val="bottom"/>
            <w:shd w:val="clear" w:color="auto" w:fill="CFF0FC"/>
          </w:tcPr>
          <w:p>
            <w:pPr>
              <w:spacing w:after="0"/>
              <w:rPr>
                <w:sz w:val="20"/>
                <w:szCs w:val="20"/>
                <w:color w:val="auto"/>
              </w:rPr>
            </w:pPr>
            <w:r>
              <w:rPr>
                <w:rFonts w:ascii="Arial" w:cs="Arial" w:eastAsia="Arial" w:hAnsi="Arial"/>
                <w:sz w:val="16"/>
                <w:szCs w:val="16"/>
                <w:color w:val="auto"/>
              </w:rPr>
              <w:t>Americas:</w:t>
            </w:r>
          </w:p>
        </w:tc>
        <w:tc>
          <w:tcPr>
            <w:tcW w:w="1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7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620" w:type="dxa"/>
            <w:vAlign w:val="bottom"/>
          </w:tcPr>
          <w:p>
            <w:pPr>
              <w:ind w:left="260"/>
              <w:spacing w:after="0"/>
              <w:rPr>
                <w:sz w:val="20"/>
                <w:szCs w:val="20"/>
                <w:color w:val="auto"/>
              </w:rPr>
            </w:pPr>
            <w:r>
              <w:rPr>
                <w:rFonts w:ascii="Arial" w:cs="Arial" w:eastAsia="Arial" w:hAnsi="Arial"/>
                <w:sz w:val="16"/>
                <w:szCs w:val="16"/>
                <w:color w:val="auto"/>
              </w:rPr>
              <w:t>United States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1,880.2</w:t>
            </w:r>
          </w:p>
        </w:tc>
        <w:tc>
          <w:tcPr>
            <w:tcW w:w="1440" w:type="dxa"/>
            <w:vAlign w:val="bottom"/>
            <w:gridSpan w:val="2"/>
          </w:tcPr>
          <w:p>
            <w:pPr>
              <w:jc w:val="right"/>
              <w:spacing w:after="0"/>
              <w:rPr>
                <w:sz w:val="20"/>
                <w:szCs w:val="20"/>
                <w:color w:val="auto"/>
              </w:rPr>
            </w:pPr>
            <w:r>
              <w:rPr>
                <w:rFonts w:ascii="Arial" w:cs="Arial" w:eastAsia="Arial" w:hAnsi="Arial"/>
                <w:sz w:val="16"/>
                <w:szCs w:val="16"/>
                <w:color w:val="auto"/>
              </w:rPr>
              <w:t>(0.5)%</w:t>
            </w:r>
          </w:p>
        </w:tc>
        <w:tc>
          <w:tcPr>
            <w:tcW w:w="100" w:type="dxa"/>
            <w:vAlign w:val="bottom"/>
          </w:tcPr>
          <w:p>
            <w:pPr>
              <w:spacing w:after="0"/>
              <w:rPr>
                <w:sz w:val="18"/>
                <w:szCs w:val="18"/>
                <w:color w:val="auto"/>
              </w:rPr>
            </w:pPr>
          </w:p>
        </w:tc>
        <w:tc>
          <w:tcPr>
            <w:tcW w:w="1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(0.5)%</w:t>
            </w:r>
          </w:p>
        </w:tc>
        <w:tc>
          <w:tcPr>
            <w:tcW w:w="10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(0.7)%</w:t>
            </w:r>
          </w:p>
        </w:tc>
        <w:tc>
          <w:tcPr>
            <w:tcW w:w="0" w:type="dxa"/>
            <w:vAlign w:val="bottom"/>
          </w:tcPr>
          <w:p>
            <w:pPr>
              <w:spacing w:after="0"/>
              <w:rPr>
                <w:sz w:val="1"/>
                <w:szCs w:val="1"/>
                <w:color w:val="auto"/>
              </w:rPr>
            </w:pPr>
          </w:p>
        </w:tc>
      </w:tr>
      <w:tr>
        <w:trPr>
          <w:trHeight w:val="219"/>
        </w:trPr>
        <w:tc>
          <w:tcPr>
            <w:tcW w:w="26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Other Americas</w:t>
            </w:r>
          </w:p>
        </w:tc>
        <w:tc>
          <w:tcPr>
            <w:tcW w:w="14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1,241.2</w:t>
            </w:r>
          </w:p>
        </w:tc>
        <w:tc>
          <w:tcPr>
            <w:tcW w:w="14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(8.9)%</w:t>
            </w:r>
          </w:p>
        </w:tc>
        <w:tc>
          <w:tcPr>
            <w:tcW w:w="1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10.2%</w:t>
            </w:r>
          </w:p>
        </w:tc>
        <w:tc>
          <w:tcPr>
            <w:tcW w:w="100" w:type="dxa"/>
            <w:vAlign w:val="bottom"/>
            <w:shd w:val="clear" w:color="auto" w:fill="CFF0FC"/>
          </w:tcPr>
          <w:p>
            <w:pPr>
              <w:spacing w:after="0"/>
              <w:rPr>
                <w:sz w:val="19"/>
                <w:szCs w:val="19"/>
                <w:color w:val="auto"/>
              </w:rPr>
            </w:pPr>
          </w:p>
        </w:tc>
        <w:tc>
          <w:tcPr>
            <w:tcW w:w="1820" w:type="dxa"/>
            <w:vAlign w:val="bottom"/>
            <w:gridSpan w:val="2"/>
            <w:shd w:val="clear" w:color="auto" w:fill="CFF0FC"/>
          </w:tcPr>
          <w:p>
            <w:pPr>
              <w:jc w:val="right"/>
              <w:ind w:right="320"/>
              <w:spacing w:after="0"/>
              <w:rPr>
                <w:sz w:val="20"/>
                <w:szCs w:val="20"/>
                <w:color w:val="auto"/>
              </w:rPr>
            </w:pPr>
            <w:r>
              <w:rPr>
                <w:rFonts w:ascii="Arial" w:cs="Arial" w:eastAsia="Arial" w:hAnsi="Arial"/>
                <w:sz w:val="16"/>
                <w:szCs w:val="16"/>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10.2%</w:t>
            </w:r>
          </w:p>
        </w:tc>
        <w:tc>
          <w:tcPr>
            <w:tcW w:w="0" w:type="dxa"/>
            <w:vAlign w:val="bottom"/>
          </w:tcPr>
          <w:p>
            <w:pPr>
              <w:spacing w:after="0"/>
              <w:rPr>
                <w:sz w:val="1"/>
                <w:szCs w:val="1"/>
                <w:color w:val="auto"/>
              </w:rPr>
            </w:pPr>
          </w:p>
        </w:tc>
      </w:tr>
      <w:tr>
        <w:trPr>
          <w:trHeight w:val="207"/>
        </w:trPr>
        <w:tc>
          <w:tcPr>
            <w:tcW w:w="2620" w:type="dxa"/>
            <w:vAlign w:val="bottom"/>
            <w:tcBorders>
              <w:bottom w:val="single" w:sz="8" w:color="CFF0FC"/>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3,121.4</w:t>
            </w:r>
          </w:p>
        </w:tc>
        <w:tc>
          <w:tcPr>
            <w:tcW w:w="1440" w:type="dxa"/>
            <w:vAlign w:val="bottom"/>
            <w:tcBorders>
              <w:bottom w:val="single" w:sz="8" w:color="CFF0FC"/>
            </w:tcBorders>
            <w:gridSpan w:val="2"/>
          </w:tcPr>
          <w:p>
            <w:pPr>
              <w:jc w:val="right"/>
              <w:spacing w:after="0"/>
              <w:rPr>
                <w:sz w:val="20"/>
                <w:szCs w:val="20"/>
                <w:color w:val="auto"/>
              </w:rPr>
            </w:pPr>
            <w:r>
              <w:rPr>
                <w:rFonts w:ascii="Arial" w:cs="Arial" w:eastAsia="Arial" w:hAnsi="Arial"/>
                <w:sz w:val="16"/>
                <w:szCs w:val="16"/>
                <w:color w:val="auto"/>
              </w:rPr>
              <w:t>0.2%</w:t>
            </w:r>
          </w:p>
        </w:tc>
        <w:tc>
          <w:tcPr>
            <w:tcW w:w="100" w:type="dxa"/>
            <w:vAlign w:val="bottom"/>
            <w:tcBorders>
              <w:bottom w:val="single" w:sz="8" w:color="CFF0FC"/>
            </w:tcBorders>
          </w:tcPr>
          <w:p>
            <w:pPr>
              <w:spacing w:after="0"/>
              <w:rPr>
                <w:sz w:val="17"/>
                <w:szCs w:val="17"/>
                <w:color w:val="auto"/>
              </w:rPr>
            </w:pPr>
          </w:p>
        </w:tc>
        <w:tc>
          <w:tcPr>
            <w:tcW w:w="134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(3.5)%</w:t>
            </w:r>
          </w:p>
        </w:tc>
        <w:tc>
          <w:tcPr>
            <w:tcW w:w="100" w:type="dxa"/>
            <w:vAlign w:val="bottom"/>
            <w:tcBorders>
              <w:bottom w:val="single" w:sz="8" w:color="CFF0FC"/>
            </w:tcBorders>
          </w:tcPr>
          <w:p>
            <w:pPr>
              <w:spacing w:after="0"/>
              <w:rPr>
                <w:sz w:val="17"/>
                <w:szCs w:val="17"/>
                <w:color w:val="auto"/>
              </w:rPr>
            </w:pPr>
          </w:p>
        </w:tc>
        <w:tc>
          <w:tcPr>
            <w:tcW w:w="134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3.7%</w:t>
            </w:r>
          </w:p>
        </w:tc>
        <w:tc>
          <w:tcPr>
            <w:tcW w:w="100" w:type="dxa"/>
            <w:vAlign w:val="bottom"/>
            <w:tcBorders>
              <w:bottom w:val="single" w:sz="8" w:color="CFF0FC"/>
            </w:tcBorders>
          </w:tcPr>
          <w:p>
            <w:pPr>
              <w:spacing w:after="0"/>
              <w:rPr>
                <w:sz w:val="17"/>
                <w:szCs w:val="17"/>
                <w:color w:val="auto"/>
              </w:rPr>
            </w:pPr>
          </w:p>
        </w:tc>
        <w:tc>
          <w:tcPr>
            <w:tcW w:w="172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0.2%</w:t>
            </w:r>
          </w:p>
        </w:tc>
        <w:tc>
          <w:tcPr>
            <w:tcW w:w="100" w:type="dxa"/>
            <w:vAlign w:val="bottom"/>
            <w:tcBorders>
              <w:bottom w:val="single" w:sz="8" w:color="CFF0FC"/>
            </w:tcBorders>
          </w:tcPr>
          <w:p>
            <w:pPr>
              <w:spacing w:after="0"/>
              <w:rPr>
                <w:sz w:val="17"/>
                <w:szCs w:val="17"/>
                <w:color w:val="auto"/>
              </w:rPr>
            </w:pPr>
          </w:p>
        </w:tc>
        <w:tc>
          <w:tcPr>
            <w:tcW w:w="134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213"/>
        </w:trPr>
        <w:tc>
          <w:tcPr>
            <w:tcW w:w="2620" w:type="dxa"/>
            <w:vAlign w:val="bottom"/>
            <w:shd w:val="clear" w:color="auto" w:fill="CFF0FC"/>
          </w:tcPr>
          <w:p>
            <w:pPr>
              <w:spacing w:after="0"/>
              <w:rPr>
                <w:sz w:val="20"/>
                <w:szCs w:val="20"/>
                <w:color w:val="auto"/>
              </w:rPr>
            </w:pPr>
            <w:r>
              <w:rPr>
                <w:rFonts w:ascii="Arial" w:cs="Arial" w:eastAsia="Arial" w:hAnsi="Arial"/>
                <w:sz w:val="16"/>
                <w:szCs w:val="16"/>
                <w:color w:val="auto"/>
              </w:rPr>
              <w:t>Southern Europe:</w:t>
            </w:r>
          </w:p>
        </w:tc>
        <w:tc>
          <w:tcPr>
            <w:tcW w:w="1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7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620" w:type="dxa"/>
            <w:vAlign w:val="bottom"/>
          </w:tcPr>
          <w:p>
            <w:pPr>
              <w:ind w:left="260"/>
              <w:spacing w:after="0"/>
              <w:rPr>
                <w:sz w:val="20"/>
                <w:szCs w:val="20"/>
                <w:color w:val="auto"/>
              </w:rPr>
            </w:pPr>
            <w:r>
              <w:rPr>
                <w:rFonts w:ascii="Arial" w:cs="Arial" w:eastAsia="Arial" w:hAnsi="Arial"/>
                <w:sz w:val="16"/>
                <w:szCs w:val="16"/>
                <w:color w:val="auto"/>
              </w:rPr>
              <w:t>France</w:t>
            </w:r>
          </w:p>
        </w:tc>
        <w:tc>
          <w:tcPr>
            <w:tcW w:w="140" w:type="dxa"/>
            <w:vAlign w:val="bottom"/>
          </w:tcPr>
          <w:p>
            <w:pPr>
              <w:spacing w:after="0"/>
              <w:rPr>
                <w:sz w:val="18"/>
                <w:szCs w:val="18"/>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4,103.7</w:t>
            </w:r>
          </w:p>
        </w:tc>
        <w:tc>
          <w:tcPr>
            <w:tcW w:w="1440" w:type="dxa"/>
            <w:vAlign w:val="bottom"/>
            <w:gridSpan w:val="2"/>
          </w:tcPr>
          <w:p>
            <w:pPr>
              <w:jc w:val="right"/>
              <w:spacing w:after="0"/>
              <w:rPr>
                <w:sz w:val="20"/>
                <w:szCs w:val="20"/>
                <w:color w:val="auto"/>
              </w:rPr>
            </w:pPr>
            <w:r>
              <w:rPr>
                <w:rFonts w:ascii="Arial" w:cs="Arial" w:eastAsia="Arial" w:hAnsi="Arial"/>
                <w:sz w:val="16"/>
                <w:szCs w:val="16"/>
                <w:color w:val="auto"/>
              </w:rPr>
              <w:t>(6.7)%</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(5.9)%</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(0.8)%</w:t>
            </w:r>
          </w:p>
        </w:tc>
        <w:tc>
          <w:tcPr>
            <w:tcW w:w="100" w:type="dxa"/>
            <w:vAlign w:val="bottom"/>
          </w:tcPr>
          <w:p>
            <w:pPr>
              <w:spacing w:after="0"/>
              <w:rPr>
                <w:sz w:val="18"/>
                <w:szCs w:val="18"/>
                <w:color w:val="auto"/>
              </w:rPr>
            </w:pPr>
          </w:p>
        </w:tc>
        <w:tc>
          <w:tcPr>
            <w:tcW w:w="18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(0.8)%</w:t>
            </w:r>
          </w:p>
        </w:tc>
        <w:tc>
          <w:tcPr>
            <w:tcW w:w="0" w:type="dxa"/>
            <w:vAlign w:val="bottom"/>
          </w:tcPr>
          <w:p>
            <w:pPr>
              <w:spacing w:after="0"/>
              <w:rPr>
                <w:sz w:val="1"/>
                <w:szCs w:val="1"/>
                <w:color w:val="auto"/>
              </w:rPr>
            </w:pPr>
          </w:p>
        </w:tc>
      </w:tr>
      <w:tr>
        <w:trPr>
          <w:trHeight w:val="219"/>
        </w:trPr>
        <w:tc>
          <w:tcPr>
            <w:tcW w:w="26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Italy</w:t>
            </w:r>
          </w:p>
        </w:tc>
        <w:tc>
          <w:tcPr>
            <w:tcW w:w="14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1,126.5</w:t>
            </w:r>
          </w:p>
        </w:tc>
        <w:tc>
          <w:tcPr>
            <w:tcW w:w="14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(11.1)%</w:t>
            </w:r>
          </w:p>
        </w:tc>
        <w:tc>
          <w:tcPr>
            <w:tcW w:w="1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(5.6)%</w:t>
            </w:r>
          </w:p>
        </w:tc>
        <w:tc>
          <w:tcPr>
            <w:tcW w:w="1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(5.5)%</w:t>
            </w:r>
          </w:p>
        </w:tc>
        <w:tc>
          <w:tcPr>
            <w:tcW w:w="100" w:type="dxa"/>
            <w:vAlign w:val="bottom"/>
            <w:shd w:val="clear" w:color="auto" w:fill="CFF0FC"/>
          </w:tcPr>
          <w:p>
            <w:pPr>
              <w:spacing w:after="0"/>
              <w:rPr>
                <w:sz w:val="19"/>
                <w:szCs w:val="19"/>
                <w:color w:val="auto"/>
              </w:rPr>
            </w:pPr>
          </w:p>
        </w:tc>
        <w:tc>
          <w:tcPr>
            <w:tcW w:w="1820" w:type="dxa"/>
            <w:vAlign w:val="bottom"/>
            <w:gridSpan w:val="2"/>
            <w:shd w:val="clear" w:color="auto" w:fill="CFF0FC"/>
          </w:tcPr>
          <w:p>
            <w:pPr>
              <w:jc w:val="right"/>
              <w:ind w:right="320"/>
              <w:spacing w:after="0"/>
              <w:rPr>
                <w:sz w:val="20"/>
                <w:szCs w:val="20"/>
                <w:color w:val="auto"/>
              </w:rPr>
            </w:pPr>
            <w:r>
              <w:rPr>
                <w:rFonts w:ascii="Arial" w:cs="Arial" w:eastAsia="Arial" w:hAnsi="Arial"/>
                <w:sz w:val="16"/>
                <w:szCs w:val="16"/>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213"/>
        </w:trPr>
        <w:tc>
          <w:tcPr>
            <w:tcW w:w="262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Other Southern Europe</w:t>
            </w: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1,610.8</w:t>
            </w:r>
          </w:p>
        </w:tc>
        <w:tc>
          <w:tcPr>
            <w:tcW w:w="1440" w:type="dxa"/>
            <w:vAlign w:val="bottom"/>
            <w:tcBorders>
              <w:bottom w:val="single" w:sz="8" w:color="CFF0FC"/>
            </w:tcBorders>
            <w:gridSpan w:val="2"/>
          </w:tcPr>
          <w:p>
            <w:pPr>
              <w:jc w:val="right"/>
              <w:spacing w:after="0"/>
              <w:rPr>
                <w:sz w:val="20"/>
                <w:szCs w:val="20"/>
                <w:color w:val="auto"/>
              </w:rPr>
            </w:pPr>
            <w:r>
              <w:rPr>
                <w:rFonts w:ascii="Arial" w:cs="Arial" w:eastAsia="Arial" w:hAnsi="Arial"/>
                <w:sz w:val="16"/>
                <w:szCs w:val="16"/>
                <w:color w:val="auto"/>
              </w:rPr>
              <w:t>13.9%</w:t>
            </w:r>
          </w:p>
        </w:tc>
        <w:tc>
          <w:tcPr>
            <w:tcW w:w="100" w:type="dxa"/>
            <w:vAlign w:val="bottom"/>
            <w:tcBorders>
              <w:bottom w:val="single" w:sz="8" w:color="CFF0FC"/>
            </w:tcBorders>
          </w:tcPr>
          <w:p>
            <w:pPr>
              <w:spacing w:after="0"/>
              <w:rPr>
                <w:sz w:val="18"/>
                <w:szCs w:val="18"/>
                <w:color w:val="auto"/>
              </w:rPr>
            </w:pPr>
          </w:p>
        </w:tc>
        <w:tc>
          <w:tcPr>
            <w:tcW w:w="134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(5.5)%</w:t>
            </w:r>
          </w:p>
        </w:tc>
        <w:tc>
          <w:tcPr>
            <w:tcW w:w="100" w:type="dxa"/>
            <w:vAlign w:val="bottom"/>
            <w:tcBorders>
              <w:bottom w:val="single" w:sz="8" w:color="CFF0FC"/>
            </w:tcBorders>
          </w:tcPr>
          <w:p>
            <w:pPr>
              <w:spacing w:after="0"/>
              <w:rPr>
                <w:sz w:val="18"/>
                <w:szCs w:val="18"/>
                <w:color w:val="auto"/>
              </w:rPr>
            </w:pPr>
          </w:p>
        </w:tc>
        <w:tc>
          <w:tcPr>
            <w:tcW w:w="134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19.4%</w:t>
            </w:r>
          </w:p>
        </w:tc>
        <w:tc>
          <w:tcPr>
            <w:tcW w:w="100" w:type="dxa"/>
            <w:vAlign w:val="bottom"/>
            <w:tcBorders>
              <w:bottom w:val="single" w:sz="8" w:color="CFF0FC"/>
            </w:tcBorders>
          </w:tcPr>
          <w:p>
            <w:pPr>
              <w:spacing w:after="0"/>
              <w:rPr>
                <w:sz w:val="18"/>
                <w:szCs w:val="18"/>
                <w:color w:val="auto"/>
              </w:rPr>
            </w:pPr>
          </w:p>
        </w:tc>
        <w:tc>
          <w:tcPr>
            <w:tcW w:w="172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15.9%</w:t>
            </w:r>
          </w:p>
        </w:tc>
        <w:tc>
          <w:tcPr>
            <w:tcW w:w="100" w:type="dxa"/>
            <w:vAlign w:val="bottom"/>
            <w:tcBorders>
              <w:bottom w:val="single" w:sz="8" w:color="CFF0FC"/>
            </w:tcBorders>
          </w:tcPr>
          <w:p>
            <w:pPr>
              <w:spacing w:after="0"/>
              <w:rPr>
                <w:sz w:val="18"/>
                <w:szCs w:val="18"/>
                <w:color w:val="auto"/>
              </w:rPr>
            </w:pPr>
          </w:p>
        </w:tc>
        <w:tc>
          <w:tcPr>
            <w:tcW w:w="134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213"/>
        </w:trPr>
        <w:tc>
          <w:tcPr>
            <w:tcW w:w="262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6,841.0</w:t>
            </w:r>
          </w:p>
        </w:tc>
        <w:tc>
          <w:tcPr>
            <w:tcW w:w="14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(3.3)%</w:t>
            </w:r>
          </w:p>
        </w:tc>
        <w:tc>
          <w:tcPr>
            <w:tcW w:w="10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(5.7)%</w:t>
            </w:r>
          </w:p>
        </w:tc>
        <w:tc>
          <w:tcPr>
            <w:tcW w:w="10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w:t>
            </w:r>
          </w:p>
        </w:tc>
        <w:tc>
          <w:tcPr>
            <w:tcW w:w="100" w:type="dxa"/>
            <w:vAlign w:val="bottom"/>
            <w:shd w:val="clear" w:color="auto" w:fill="CFF0FC"/>
          </w:tcPr>
          <w:p>
            <w:pPr>
              <w:spacing w:after="0"/>
              <w:rPr>
                <w:sz w:val="18"/>
                <w:szCs w:val="18"/>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w:t>
            </w:r>
          </w:p>
        </w:tc>
        <w:tc>
          <w:tcPr>
            <w:tcW w:w="10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(0.8)%</w:t>
            </w:r>
          </w:p>
        </w:tc>
        <w:tc>
          <w:tcPr>
            <w:tcW w:w="0" w:type="dxa"/>
            <w:vAlign w:val="bottom"/>
          </w:tcPr>
          <w:p>
            <w:pPr>
              <w:spacing w:after="0"/>
              <w:rPr>
                <w:sz w:val="1"/>
                <w:szCs w:val="1"/>
                <w:color w:val="auto"/>
              </w:rPr>
            </w:pPr>
          </w:p>
        </w:tc>
      </w:tr>
      <w:tr>
        <w:trPr>
          <w:trHeight w:val="207"/>
        </w:trPr>
        <w:tc>
          <w:tcPr>
            <w:tcW w:w="2620" w:type="dxa"/>
            <w:vAlign w:val="bottom"/>
          </w:tcPr>
          <w:p>
            <w:pPr>
              <w:spacing w:after="0"/>
              <w:rPr>
                <w:sz w:val="20"/>
                <w:szCs w:val="20"/>
                <w:color w:val="auto"/>
              </w:rPr>
            </w:pPr>
            <w:r>
              <w:rPr>
                <w:rFonts w:ascii="Arial" w:cs="Arial" w:eastAsia="Arial" w:hAnsi="Arial"/>
                <w:sz w:val="16"/>
                <w:szCs w:val="16"/>
                <w:color w:val="auto"/>
              </w:rPr>
              <w:t>Northern Europe</w:t>
            </w:r>
          </w:p>
        </w:tc>
        <w:tc>
          <w:tcPr>
            <w:tcW w:w="140" w:type="dxa"/>
            <w:vAlign w:val="bottom"/>
          </w:tcPr>
          <w:p>
            <w:pPr>
              <w:spacing w:after="0"/>
              <w:rPr>
                <w:sz w:val="17"/>
                <w:szCs w:val="17"/>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3,529.5</w:t>
            </w:r>
          </w:p>
        </w:tc>
        <w:tc>
          <w:tcPr>
            <w:tcW w:w="1440" w:type="dxa"/>
            <w:vAlign w:val="bottom"/>
            <w:gridSpan w:val="2"/>
          </w:tcPr>
          <w:p>
            <w:pPr>
              <w:jc w:val="right"/>
              <w:spacing w:after="0"/>
              <w:rPr>
                <w:sz w:val="20"/>
                <w:szCs w:val="20"/>
                <w:color w:val="auto"/>
              </w:rPr>
            </w:pPr>
            <w:r>
              <w:rPr>
                <w:rFonts w:ascii="Arial" w:cs="Arial" w:eastAsia="Arial" w:hAnsi="Arial"/>
                <w:sz w:val="16"/>
                <w:szCs w:val="16"/>
                <w:color w:val="auto"/>
              </w:rPr>
              <w:t>(13.9)%</w:t>
            </w:r>
          </w:p>
        </w:tc>
        <w:tc>
          <w:tcPr>
            <w:tcW w:w="1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(5.9)%</w:t>
            </w:r>
          </w:p>
        </w:tc>
        <w:tc>
          <w:tcPr>
            <w:tcW w:w="1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(8.0)%</w:t>
            </w:r>
          </w:p>
        </w:tc>
        <w:tc>
          <w:tcPr>
            <w:tcW w:w="10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(0.8)%</w:t>
            </w:r>
          </w:p>
        </w:tc>
        <w:tc>
          <w:tcPr>
            <w:tcW w:w="1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(7.2)%</w:t>
            </w:r>
          </w:p>
        </w:tc>
        <w:tc>
          <w:tcPr>
            <w:tcW w:w="0" w:type="dxa"/>
            <w:vAlign w:val="bottom"/>
          </w:tcPr>
          <w:p>
            <w:pPr>
              <w:spacing w:after="0"/>
              <w:rPr>
                <w:sz w:val="1"/>
                <w:szCs w:val="1"/>
                <w:color w:val="auto"/>
              </w:rPr>
            </w:pPr>
          </w:p>
        </w:tc>
      </w:tr>
      <w:tr>
        <w:trPr>
          <w:trHeight w:val="219"/>
        </w:trPr>
        <w:tc>
          <w:tcPr>
            <w:tcW w:w="2620" w:type="dxa"/>
            <w:vAlign w:val="bottom"/>
            <w:shd w:val="clear" w:color="auto" w:fill="CFF0FC"/>
          </w:tcPr>
          <w:p>
            <w:pPr>
              <w:spacing w:after="0"/>
              <w:rPr>
                <w:sz w:val="20"/>
                <w:szCs w:val="20"/>
                <w:color w:val="auto"/>
              </w:rPr>
            </w:pPr>
            <w:r>
              <w:rPr>
                <w:rFonts w:ascii="Arial" w:cs="Arial" w:eastAsia="Arial" w:hAnsi="Arial"/>
                <w:sz w:val="16"/>
                <w:szCs w:val="16"/>
                <w:color w:val="auto"/>
              </w:rPr>
              <w:t>APME</w:t>
            </w:r>
          </w:p>
        </w:tc>
        <w:tc>
          <w:tcPr>
            <w:tcW w:w="14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2,030.7</w:t>
            </w:r>
          </w:p>
        </w:tc>
        <w:tc>
          <w:tcPr>
            <w:tcW w:w="14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(5.9)%</w:t>
            </w:r>
          </w:p>
        </w:tc>
        <w:tc>
          <w:tcPr>
            <w:tcW w:w="1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w:t>
            </w:r>
          </w:p>
        </w:tc>
        <w:tc>
          <w:tcPr>
            <w:tcW w:w="1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w:t>
            </w:r>
          </w:p>
        </w:tc>
        <w:tc>
          <w:tcPr>
            <w:tcW w:w="100" w:type="dxa"/>
            <w:vAlign w:val="bottom"/>
            <w:shd w:val="clear" w:color="auto" w:fill="CFF0FC"/>
          </w:tcPr>
          <w:p>
            <w:pPr>
              <w:spacing w:after="0"/>
              <w:rPr>
                <w:sz w:val="19"/>
                <w:szCs w:val="19"/>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(8.3)%</w:t>
            </w:r>
          </w:p>
        </w:tc>
        <w:tc>
          <w:tcPr>
            <w:tcW w:w="1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213"/>
        </w:trPr>
        <w:tc>
          <w:tcPr>
            <w:tcW w:w="26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Right Management</w:t>
            </w: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144.3</w:t>
            </w:r>
          </w:p>
        </w:tc>
        <w:tc>
          <w:tcPr>
            <w:tcW w:w="1440" w:type="dxa"/>
            <w:vAlign w:val="bottom"/>
            <w:tcBorders>
              <w:bottom w:val="single" w:sz="8" w:color="CFF0FC"/>
            </w:tcBorders>
            <w:gridSpan w:val="2"/>
          </w:tcPr>
          <w:p>
            <w:pPr>
              <w:jc w:val="right"/>
              <w:spacing w:after="0"/>
              <w:rPr>
                <w:sz w:val="20"/>
                <w:szCs w:val="20"/>
                <w:color w:val="auto"/>
              </w:rPr>
            </w:pPr>
            <w:r>
              <w:rPr>
                <w:rFonts w:ascii="Arial" w:cs="Arial" w:eastAsia="Arial" w:hAnsi="Arial"/>
                <w:sz w:val="16"/>
                <w:szCs w:val="16"/>
                <w:color w:val="auto"/>
              </w:rPr>
              <w:t>(3.4)%</w:t>
            </w:r>
          </w:p>
        </w:tc>
        <w:tc>
          <w:tcPr>
            <w:tcW w:w="100" w:type="dxa"/>
            <w:vAlign w:val="bottom"/>
            <w:tcBorders>
              <w:bottom w:val="single" w:sz="8" w:color="CFF0FC"/>
            </w:tcBorders>
          </w:tcPr>
          <w:p>
            <w:pPr>
              <w:spacing w:after="0"/>
              <w:rPr>
                <w:sz w:val="18"/>
                <w:szCs w:val="18"/>
                <w:color w:val="auto"/>
              </w:rPr>
            </w:pPr>
          </w:p>
        </w:tc>
        <w:tc>
          <w:tcPr>
            <w:tcW w:w="134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(3.1)%</w:t>
            </w:r>
          </w:p>
        </w:tc>
        <w:tc>
          <w:tcPr>
            <w:tcW w:w="100" w:type="dxa"/>
            <w:vAlign w:val="bottom"/>
            <w:tcBorders>
              <w:bottom w:val="single" w:sz="8" w:color="CFF0FC"/>
            </w:tcBorders>
          </w:tcPr>
          <w:p>
            <w:pPr>
              <w:spacing w:after="0"/>
              <w:rPr>
                <w:sz w:val="18"/>
                <w:szCs w:val="18"/>
                <w:color w:val="auto"/>
              </w:rPr>
            </w:pPr>
          </w:p>
        </w:tc>
        <w:tc>
          <w:tcPr>
            <w:tcW w:w="134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(0.3)%</w:t>
            </w:r>
          </w:p>
        </w:tc>
        <w:tc>
          <w:tcPr>
            <w:tcW w:w="100" w:type="dxa"/>
            <w:vAlign w:val="bottom"/>
            <w:tcBorders>
              <w:bottom w:val="single" w:sz="8" w:color="CFF0FC"/>
            </w:tcBorders>
          </w:tcPr>
          <w:p>
            <w:pPr>
              <w:spacing w:after="0"/>
              <w:rPr>
                <w:sz w:val="18"/>
                <w:szCs w:val="18"/>
                <w:color w:val="auto"/>
              </w:rPr>
            </w:pPr>
          </w:p>
        </w:tc>
        <w:tc>
          <w:tcPr>
            <w:tcW w:w="1820" w:type="dxa"/>
            <w:vAlign w:val="bottom"/>
            <w:tcBorders>
              <w:bottom w:val="single" w:sz="8" w:color="CFF0FC"/>
            </w:tcBorders>
            <w:gridSpan w:val="2"/>
          </w:tcPr>
          <w:p>
            <w:pPr>
              <w:jc w:val="right"/>
              <w:ind w:right="320"/>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10"/>
        </w:trPr>
        <w:tc>
          <w:tcPr>
            <w:tcW w:w="26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Consolidated</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15,666.9</w:t>
            </w:r>
          </w:p>
        </w:tc>
        <w:tc>
          <w:tcPr>
            <w:tcW w:w="144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6"/>
                <w:szCs w:val="16"/>
                <w:color w:val="auto"/>
              </w:rPr>
              <w:t>(5.6)%</w:t>
            </w:r>
          </w:p>
        </w:tc>
        <w:tc>
          <w:tcPr>
            <w:tcW w:w="100" w:type="dxa"/>
            <w:vAlign w:val="bottom"/>
            <w:tcBorders>
              <w:bottom w:val="single" w:sz="8" w:color="CFF0FC"/>
            </w:tcBorders>
            <w:shd w:val="clear" w:color="auto" w:fill="CFF0FC"/>
          </w:tcPr>
          <w:p>
            <w:pPr>
              <w:spacing w:after="0"/>
              <w:rPr>
                <w:sz w:val="18"/>
                <w:szCs w:val="18"/>
                <w:color w:val="auto"/>
              </w:rPr>
            </w:pPr>
          </w:p>
        </w:tc>
        <w:tc>
          <w:tcPr>
            <w:tcW w:w="13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(4.9)%</w:t>
            </w:r>
          </w:p>
        </w:tc>
        <w:tc>
          <w:tcPr>
            <w:tcW w:w="100" w:type="dxa"/>
            <w:vAlign w:val="bottom"/>
            <w:tcBorders>
              <w:bottom w:val="single" w:sz="8" w:color="CFF0FC"/>
            </w:tcBorders>
            <w:shd w:val="clear" w:color="auto" w:fill="CFF0FC"/>
          </w:tcPr>
          <w:p>
            <w:pPr>
              <w:spacing w:after="0"/>
              <w:rPr>
                <w:sz w:val="18"/>
                <w:szCs w:val="18"/>
                <w:color w:val="auto"/>
              </w:rPr>
            </w:pPr>
          </w:p>
        </w:tc>
        <w:tc>
          <w:tcPr>
            <w:tcW w:w="13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(0.7)%</w:t>
            </w:r>
          </w:p>
        </w:tc>
        <w:tc>
          <w:tcPr>
            <w:tcW w:w="100" w:type="dxa"/>
            <w:vAlign w:val="bottom"/>
            <w:tcBorders>
              <w:bottom w:val="single" w:sz="8" w:color="CFF0FC"/>
            </w:tcBorders>
            <w:shd w:val="clear" w:color="auto" w:fill="CFF0FC"/>
          </w:tcPr>
          <w:p>
            <w:pPr>
              <w:spacing w:after="0"/>
              <w:rPr>
                <w:sz w:val="18"/>
                <w:szCs w:val="18"/>
                <w:color w:val="auto"/>
              </w:rPr>
            </w:pPr>
          </w:p>
        </w:tc>
        <w:tc>
          <w:tcPr>
            <w:tcW w:w="17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CFF0FC"/>
            </w:tcBorders>
            <w:shd w:val="clear" w:color="auto" w:fill="CFF0FC"/>
          </w:tcPr>
          <w:p>
            <w:pPr>
              <w:spacing w:after="0"/>
              <w:rPr>
                <w:sz w:val="18"/>
                <w:szCs w:val="18"/>
                <w:color w:val="auto"/>
              </w:rPr>
            </w:pPr>
          </w:p>
        </w:tc>
        <w:tc>
          <w:tcPr>
            <w:tcW w:w="13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(0.8)%</w:t>
            </w:r>
          </w:p>
        </w:tc>
        <w:tc>
          <w:tcPr>
            <w:tcW w:w="0" w:type="dxa"/>
            <w:vAlign w:val="bottom"/>
          </w:tcPr>
          <w:p>
            <w:pPr>
              <w:spacing w:after="0"/>
              <w:rPr>
                <w:sz w:val="1"/>
                <w:szCs w:val="1"/>
                <w:color w:val="auto"/>
              </w:rPr>
            </w:pPr>
          </w:p>
        </w:tc>
      </w:tr>
      <w:tr>
        <w:trPr>
          <w:trHeight w:val="20"/>
        </w:trPr>
        <w:tc>
          <w:tcPr>
            <w:tcW w:w="2620" w:type="dxa"/>
            <w:vAlign w:val="bottom"/>
            <w:vMerge w:val="restart"/>
          </w:tcPr>
          <w:p>
            <w:pPr>
              <w:spacing w:after="0"/>
              <w:rPr>
                <w:sz w:val="20"/>
                <w:szCs w:val="20"/>
                <w:color w:val="auto"/>
              </w:rPr>
            </w:pPr>
            <w:r>
              <w:rPr>
                <w:rFonts w:ascii="Arial" w:cs="Arial" w:eastAsia="Arial" w:hAnsi="Arial"/>
                <w:sz w:val="16"/>
                <w:szCs w:val="16"/>
                <w:color w:val="auto"/>
              </w:rPr>
              <w:t>Gross Profit</w:t>
            </w: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40" w:type="dxa"/>
            <w:vAlign w:val="bottom"/>
            <w:gridSpan w:val="2"/>
            <w:vMerge w:val="restart"/>
          </w:tcPr>
          <w:p>
            <w:pPr>
              <w:jc w:val="right"/>
              <w:spacing w:after="0"/>
              <w:rPr>
                <w:sz w:val="20"/>
                <w:szCs w:val="20"/>
                <w:color w:val="auto"/>
              </w:rPr>
            </w:pPr>
            <w:r>
              <w:rPr>
                <w:rFonts w:ascii="Arial" w:cs="Arial" w:eastAsia="Arial" w:hAnsi="Arial"/>
                <w:sz w:val="16"/>
                <w:szCs w:val="16"/>
                <w:color w:val="auto"/>
              </w:rPr>
              <w:t>(6.8)%</w:t>
            </w:r>
          </w:p>
        </w:tc>
        <w:tc>
          <w:tcPr>
            <w:tcW w:w="100" w:type="dxa"/>
            <w:vAlign w:val="bottom"/>
          </w:tcPr>
          <w:p>
            <w:pPr>
              <w:spacing w:after="0" w:line="20" w:lineRule="exact"/>
              <w:rPr>
                <w:sz w:val="1"/>
                <w:szCs w:val="1"/>
                <w:color w:val="auto"/>
              </w:rPr>
            </w:pPr>
          </w:p>
        </w:tc>
        <w:tc>
          <w:tcPr>
            <w:tcW w:w="1340" w:type="dxa"/>
            <w:vAlign w:val="bottom"/>
            <w:vMerge w:val="restart"/>
          </w:tcPr>
          <w:p>
            <w:pPr>
              <w:jc w:val="right"/>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line="20" w:lineRule="exact"/>
              <w:rPr>
                <w:sz w:val="1"/>
                <w:szCs w:val="1"/>
                <w:color w:val="auto"/>
              </w:rPr>
            </w:pPr>
          </w:p>
        </w:tc>
        <w:tc>
          <w:tcPr>
            <w:tcW w:w="1340" w:type="dxa"/>
            <w:vAlign w:val="bottom"/>
            <w:vMerge w:val="restart"/>
          </w:tcPr>
          <w:p>
            <w:pPr>
              <w:jc w:val="right"/>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line="20" w:lineRule="exact"/>
              <w:rPr>
                <w:sz w:val="1"/>
                <w:szCs w:val="1"/>
                <w:color w:val="auto"/>
              </w:rPr>
            </w:pPr>
          </w:p>
        </w:tc>
        <w:tc>
          <w:tcPr>
            <w:tcW w:w="1720" w:type="dxa"/>
            <w:vAlign w:val="bottom"/>
            <w:vMerge w:val="restart"/>
          </w:tcPr>
          <w:p>
            <w:pPr>
              <w:jc w:val="right"/>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line="20" w:lineRule="exact"/>
              <w:rPr>
                <w:sz w:val="1"/>
                <w:szCs w:val="1"/>
                <w:color w:val="auto"/>
              </w:rPr>
            </w:pPr>
          </w:p>
        </w:tc>
        <w:tc>
          <w:tcPr>
            <w:tcW w:w="1340" w:type="dxa"/>
            <w:vAlign w:val="bottom"/>
            <w:vMerge w:val="restart"/>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line="20" w:lineRule="exact"/>
              <w:rPr>
                <w:sz w:val="1"/>
                <w:szCs w:val="1"/>
                <w:color w:val="auto"/>
              </w:rPr>
            </w:pPr>
          </w:p>
        </w:tc>
      </w:tr>
      <w:tr>
        <w:trPr>
          <w:trHeight w:val="197"/>
        </w:trPr>
        <w:tc>
          <w:tcPr>
            <w:tcW w:w="2620" w:type="dxa"/>
            <w:vAlign w:val="bottom"/>
            <w:vMerge w:val="continue"/>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2,515.5</w:t>
            </w:r>
          </w:p>
        </w:tc>
        <w:tc>
          <w:tcPr>
            <w:tcW w:w="144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620" w:type="dxa"/>
            <w:vAlign w:val="bottom"/>
            <w:shd w:val="clear" w:color="auto" w:fill="CFF0FC"/>
          </w:tcPr>
          <w:p>
            <w:pPr>
              <w:spacing w:after="0"/>
              <w:rPr>
                <w:sz w:val="20"/>
                <w:szCs w:val="20"/>
                <w:color w:val="auto"/>
              </w:rPr>
            </w:pPr>
            <w:r>
              <w:rPr>
                <w:rFonts w:ascii="Arial" w:cs="Arial" w:eastAsia="Arial" w:hAnsi="Arial"/>
                <w:sz w:val="16"/>
                <w:szCs w:val="16"/>
                <w:color w:val="auto"/>
              </w:rPr>
              <w:t>Selling and Administrative Expenses</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2,062.2</w:t>
            </w:r>
          </w:p>
        </w:tc>
        <w:tc>
          <w:tcPr>
            <w:tcW w:w="14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(2.7)%</w:t>
            </w:r>
          </w:p>
        </w:tc>
        <w:tc>
          <w:tcPr>
            <w:tcW w:w="1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w:t>
            </w:r>
          </w:p>
        </w:tc>
        <w:tc>
          <w:tcPr>
            <w:tcW w:w="1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FF0FC"/>
          </w:tcPr>
          <w:p>
            <w:pPr>
              <w:spacing w:after="0"/>
              <w:rPr>
                <w:sz w:val="19"/>
                <w:szCs w:val="19"/>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(0.2)%</w:t>
            </w:r>
          </w:p>
        </w:tc>
        <w:tc>
          <w:tcPr>
            <w:tcW w:w="1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10"/>
        </w:trPr>
        <w:tc>
          <w:tcPr>
            <w:tcW w:w="2620" w:type="dxa"/>
            <w:vAlign w:val="bottom"/>
          </w:tcPr>
          <w:p>
            <w:pPr>
              <w:spacing w:after="0"/>
              <w:rPr>
                <w:sz w:val="20"/>
                <w:szCs w:val="20"/>
                <w:color w:val="auto"/>
              </w:rPr>
            </w:pPr>
            <w:r>
              <w:rPr>
                <w:rFonts w:ascii="Arial" w:cs="Arial" w:eastAsia="Arial" w:hAnsi="Arial"/>
                <w:sz w:val="16"/>
                <w:szCs w:val="16"/>
                <w:color w:val="auto"/>
              </w:rPr>
              <w:t>Operating Profit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453.3</w:t>
            </w:r>
          </w:p>
        </w:tc>
        <w:tc>
          <w:tcPr>
            <w:tcW w:w="1440" w:type="dxa"/>
            <w:vAlign w:val="bottom"/>
            <w:gridSpan w:val="2"/>
          </w:tcPr>
          <w:p>
            <w:pPr>
              <w:jc w:val="right"/>
              <w:spacing w:after="0"/>
              <w:rPr>
                <w:sz w:val="20"/>
                <w:szCs w:val="20"/>
                <w:color w:val="auto"/>
              </w:rPr>
            </w:pPr>
            <w:r>
              <w:rPr>
                <w:rFonts w:ascii="Arial" w:cs="Arial" w:eastAsia="Arial" w:hAnsi="Arial"/>
                <w:sz w:val="16"/>
                <w:szCs w:val="16"/>
                <w:color w:val="auto"/>
              </w:rPr>
              <w:t>(21.7)%</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(17.7)%</w:t>
            </w:r>
          </w:p>
        </w:tc>
        <w:tc>
          <w:tcPr>
            <w:tcW w:w="10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(17.4)%</w:t>
            </w:r>
          </w:p>
        </w:tc>
        <w:tc>
          <w:tcPr>
            <w:tcW w:w="0" w:type="dxa"/>
            <w:vAlign w:val="bottom"/>
          </w:tcPr>
          <w:p>
            <w:pPr>
              <w:spacing w:after="0"/>
              <w:rPr>
                <w:sz w:val="1"/>
                <w:szCs w:val="1"/>
                <w:color w:val="auto"/>
              </w:rPr>
            </w:pPr>
          </w:p>
        </w:tc>
      </w:tr>
    </w:tbl>
    <w:p>
      <w:pPr>
        <w:spacing w:after="0" w:line="208" w:lineRule="exact"/>
        <w:rPr>
          <w:sz w:val="20"/>
          <w:szCs w:val="20"/>
          <w:color w:val="auto"/>
        </w:rPr>
      </w:pPr>
    </w:p>
    <w:p>
      <w:pPr>
        <w:ind w:right="6700" w:firstLine="103"/>
        <w:spacing w:after="0" w:line="461" w:lineRule="auto"/>
        <w:tabs>
          <w:tab w:leader="none" w:pos="473" w:val="left"/>
        </w:tabs>
        <w:numPr>
          <w:ilvl w:val="0"/>
          <w:numId w:val="34"/>
        </w:numPr>
        <w:rPr>
          <w:rFonts w:ascii="Arial" w:cs="Arial" w:eastAsia="Arial" w:hAnsi="Arial"/>
          <w:sz w:val="18"/>
          <w:szCs w:val="18"/>
          <w:color w:val="auto"/>
        </w:rPr>
      </w:pPr>
      <w:r>
        <w:rPr>
          <w:rFonts w:ascii="Arial" w:cs="Arial" w:eastAsia="Arial" w:hAnsi="Arial"/>
          <w:sz w:val="18"/>
          <w:szCs w:val="18"/>
          <w:color w:val="auto"/>
        </w:rPr>
        <w:t xml:space="preserve">In millions for the nine months ended September 30, 2019. </w:t>
      </w:r>
      <w:r>
        <w:rPr>
          <w:rFonts w:ascii="Arial" w:cs="Arial" w:eastAsia="Arial" w:hAnsi="Arial"/>
          <w:sz w:val="18"/>
          <w:szCs w:val="18"/>
          <w:u w:val="single" w:color="auto"/>
          <w:color w:val="auto"/>
        </w:rPr>
        <w:t>Liquidity and Capital Resources</w:t>
      </w:r>
    </w:p>
    <w:p>
      <w:pPr>
        <w:spacing w:after="0" w:line="2"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Cash used to fund our operations is primarily generated through operating activities and provided by our existing credit facilities. We believe our available cash and existing credit facilities are sufficient to cover our cash needs for the foreseeable future. We assess and monitor our liquidity and capital resources globally. We use a global cash pooling arrangement, intercompany lending, and some local credit lines to meet funding needs and allocate our capital resources among our various entities. As of September 30, 2019, we had $681.1 million of cash held by foreign subsidiaries. We have historically made and anticipate future cash repatriations to the United States from certain foreign subsidiaries to fund domestic operations. With the enactment of the United States Tax Cuts and Jobs Act in December 2017, we no longer recorded United States federal income taxes on unremitted earnings of non-United States subsidiaries. However, we do record deferred tax liabilities related to non-United States withholding and other taxes on unremitted earnings that are not considered permanently invested.</w:t>
      </w:r>
    </w:p>
    <w:p>
      <w:pPr>
        <w:spacing w:after="0" w:line="152"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Cash provided by operating activities was $495.4 million and $302.0 million during the nine months ended September 30, 2019 and 2018, respectively. Changes in operating assets and liabilities generated $2.7 million of cash during the nine months ended September 30, 2019 compared to $186.7 million utilized during the nine months ended September 30, 2018. These changes were primarily attributable to the timing of collections and payments, and the contingent consideration of $24.1 million paid in 2018 in excess of the original liability recorded at acquisition date for the acquisitions in the Netherlands. The increase was partially offset by the lower net proceeds from the sale of our CICE payroll tax credits, which were $103.5 million (€92.0 million) in April 2019 compared to $234.5 million (€190.9 million) in April 2018.</w:t>
      </w:r>
    </w:p>
    <w:p>
      <w:pPr>
        <w:spacing w:after="0" w:line="153"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Accounts receivable decreased to $5,122.1 million as of September 30, 2019 from $5,276.1 million as of December 31, 2018. This decrease is due to changes in currency exchange rates. Days Sales Outstanding ("DSO") increased by approximately 2.0 days from December 31, 2018 due to unfavorable mix changes, with higher growth in countries with a higher average DSO.</w:t>
      </w:r>
    </w:p>
    <w:p>
      <w:pPr>
        <w:spacing w:after="0" w:line="154"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Capital expenditures were $36.2 million for the nine months ended September 30, 2019 compared to $39.8 million for the nine months ended September 30, 2018. These expenditures were primarily comprised of purchases of computer equipment, office furniture and other costs related to office openings and refurbishments, as well as capitalized software costs. The higher expenditures in 2018 compared to 2019 was primarily due to additional technology investment and the timing of capital expenditures.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38" w:name="page39"/>
    <w:bookmarkEnd w:id="38"/>
    <w:p>
      <w:pPr>
        <w:spacing w:after="0" w:line="291" w:lineRule="auto"/>
        <w:rPr>
          <w:sz w:val="20"/>
          <w:szCs w:val="20"/>
          <w:color w:val="auto"/>
        </w:rPr>
      </w:pPr>
      <w:r>
        <w:rPr>
          <w:rFonts w:ascii="Arial" w:cs="Arial" w:eastAsia="Arial" w:hAnsi="Arial"/>
          <w:sz w:val="16"/>
          <w:szCs w:val="16"/>
          <w:color w:val="auto"/>
        </w:rPr>
        <w:t>On April 3, 2019, we acquired the remaining 51% controlling interest in our Swiss franchise (“Manpower Switzerland”) to obtain full ownership of the entity. Additionally, as part of the purchase agreement we acquired the remaining 20% interest in Experis AG. Manpower Switzerland provides contingent staffing services under our Manpower brand in the four main language regions in Switzerland. Both Manpower Switzerland and Experis AG are reported in our Southern Europe segment. The aggregate cash consideration paid was $219.5 million and was funded through cash on hand. Of the total consideration paid, $58.3 million was for the acquired interests and the remaining $161.2 million was for cash and cash equivalents. The aggregate cash consideration paid reflects a post-closing settlement of net debt and net working capital adjustments of $6.8 million, which we paid out during the third quarter of 2019. The acquisition of the remaining interest of Experis AG was accounted for as an equity transaction as we previously consolidated the entity.</w:t>
      </w:r>
    </w:p>
    <w:p>
      <w:pPr>
        <w:spacing w:after="0" w:line="14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Our investment in Manpower Switzerland prior to the acquisition was accounted for under the equity method of accounting and we recorded our share of equity income or loss in interest and other expenses (income), net on the Consolidated Statements of Operations. The acquisition of the remaining controlling interest in Manpower Switzerland was accounted for as a business combination, and the assets and liabilities of Manpower Switzerland were included in the Consolidated Balance Sheets as of the acquisition date and the results of its operations have been included in the Consolidated Statements of Operations subsequent to the acquisition date.</w:t>
      </w:r>
    </w:p>
    <w:p>
      <w:pPr>
        <w:spacing w:after="0" w:line="148"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aggregate of the consideration paid and the fair value of previously held equity interest totaled $415.1 million, or $97.6 million net of cash acquired. In connection with the business combination, we recognized a one-time, non-cash gain on the disposition of our previously held equity interest in Manpower Switzerland of $80.4 million, which is included within interest and other expenses (income), net on the Consolidated Statements of Operations. Of the $80.4 million, $32.5 million represented the reclassification of foreign currency translation adjustments related to the previously held equity interest, from accumulated other comprehensive income.</w:t>
      </w:r>
    </w:p>
    <w:p>
      <w:pPr>
        <w:spacing w:after="0" w:line="148"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From time to time, we acquire and invest in companies throughout the world, including franchises. The total cash consideration paid for acquisitions excluding Manpower Switzerland and Experis AG, net of cash acquired, was $39.5 million for the nine months ended September 30, 2019. The balance includes consideration payments for franchises in the United States and contingent consideration payments related to previous acquisitions, of which $13.0 million had been recognized as a liability at the acquisition date. For the nine months ended September 30, 2018, the total cash consideration for acquisitions, net of cash acquired, was $50.9 million, the majority of which took place in the Netherlands. This balance includes initial acquisition payments of $8.2 million and contingent consideration payments of $42.7 million, of which $18.6 million had been recognized as a liability at the acquisition date.</w:t>
      </w:r>
    </w:p>
    <w:p>
      <w:pPr>
        <w:spacing w:after="0" w:line="138"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On July 10, 2019, our joint venture in Greater China, ManpowerGroup Greater China Limited, became listed on the Main Board of the Stock Exchange of Hong Kong Limited through an initial public offering. Prior to the initial public offering, we owned a 51% controlling interest in the joint venture and consolidated the financial position and results of its operations into our Consolidated Financial Statements as part of our APME segment. As a result of the offering, in which ManpowerGroup Greater China Limited issued new shares representing 25% of the equity of the company, our ownership interest was diluted to 38.25%, and then further diluted to 36.87% as the underwriters exercised their overallotment option in full on August 7, 2019. As a result, we deconsolidated the joint venture as of the listing date and account for our remaining interest under the equity method of accounting and record our share of equity income or loss in interest and other expenses (income), net in the Consolidated Statement of Operations. In connection with the deconsolidation of the joint venture, we recognized a one-time non-cash gain of $30.4 million, which was included in selling and administrative expenses in the Consolidated Statement of Operations for the three and nine months ended September 30, 2019. Included in the $30.4 million was the reclassification of foreign currency translation adjustment losses of $6.2 million related to the joint venture from accumulated other comprehensive income.</w:t>
      </w:r>
    </w:p>
    <w:p>
      <w:pPr>
        <w:spacing w:after="0" w:line="1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Cash provided by net debt borrowings was $6.3 million in the nine months ended September 30, 2019 compared to $170.0 million in the nine months ended September 30, 2018.</w:t>
      </w:r>
    </w:p>
    <w:p>
      <w:pPr>
        <w:spacing w:after="0" w:line="130"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Our €500.0 million notes and €400.0 million notes are due June 2026 and September 2022, respectively. When the notes mature, we plan to repay the amounts with available cash, borrowings under our $600.0 million revolving credit facility or a new borrowing. The credit terms, including interest rate and facility fees, of any replacement borrowings will be dependent upon the condition of the credit markets at that time. We currently do not anticipate any problems accessing the credit markets should we decide to replace either the €500.0 million or €400.0 million notes.</w:t>
      </w:r>
    </w:p>
    <w:p>
      <w:pPr>
        <w:spacing w:after="0" w:line="14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As of September 30, 2019, we had letters of credit totaling $0.5 million issued under our $600.0 million revolving credit facility. Additional borrowings of $599.5 million were available to us under the facility as of September 30, 2019.</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39" w:name="page40"/>
    <w:bookmarkEnd w:id="39"/>
    <w:p>
      <w:pPr>
        <w:ind w:right="20"/>
        <w:spacing w:after="0" w:line="257" w:lineRule="auto"/>
        <w:rPr>
          <w:sz w:val="20"/>
          <w:szCs w:val="20"/>
          <w:color w:val="auto"/>
        </w:rPr>
      </w:pPr>
      <w:r>
        <w:rPr>
          <w:rFonts w:ascii="Arial" w:cs="Arial" w:eastAsia="Arial" w:hAnsi="Arial"/>
          <w:sz w:val="18"/>
          <w:szCs w:val="18"/>
          <w:color w:val="auto"/>
        </w:rPr>
        <w:t>The $600.0 million revolving credit agreement requires that we comply with a leverage ratio (Net Debt-to-Net Earnings before interest and other expenses (income), net, provision for income taxes, intangible asset amortization expense, depreciation and amortization expense ("EBITDA")) of not greater than 3.5 to 1 and a fixed charge coverage ratio of not less than 1.5 to 1. As defined in the agreement, we had a Net Debt-to-EBITDA ratio of 0.76 to 1 and a fixed charge coverage ratio of 5.16 to 1 as of September 30, 2019. Based on our current forecast, we expect to be in compliance with our financial covenants for the next 12 months.</w:t>
      </w:r>
    </w:p>
    <w:p>
      <w:pPr>
        <w:spacing w:after="0" w:line="16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addition to the previously mentioned facilities, we maintain separate bank credit lines with financial institutions to meet working capital needs of our subsidiary operations. As of September 30, 2019, such uncommitted credit lines totaled $313.0 million, of which $257.1 million was unused. Under the Credit Agreement, total subsidiary borrowings cannot exceed $300.0 million in the first, second and fourth quarters, and $600.0 million in the third quarter of each year.</w:t>
      </w:r>
    </w:p>
    <w:p>
      <w:pPr>
        <w:spacing w:after="0" w:line="146" w:lineRule="exact"/>
        <w:rPr>
          <w:sz w:val="20"/>
          <w:szCs w:val="20"/>
          <w:color w:val="auto"/>
        </w:rPr>
      </w:pPr>
    </w:p>
    <w:p>
      <w:pPr>
        <w:jc w:val="both"/>
        <w:ind w:right="200"/>
        <w:spacing w:after="0" w:line="312" w:lineRule="auto"/>
        <w:rPr>
          <w:sz w:val="20"/>
          <w:szCs w:val="20"/>
          <w:color w:val="auto"/>
        </w:rPr>
      </w:pPr>
      <w:r>
        <w:rPr>
          <w:rFonts w:ascii="Arial" w:cs="Arial" w:eastAsia="Arial" w:hAnsi="Arial"/>
          <w:sz w:val="16"/>
          <w:szCs w:val="16"/>
          <w:color w:val="auto"/>
        </w:rPr>
        <w:t>In 2018, the Board of Directors made the following dividend declarations: On May 4, 2018, the Board of Directors declared a semi-annual cash dividend of $1.01 per share which was paid on June 15, 2018 to shareholders of record on June 1, 2018. On November 9, 2018, the Board of Directors declared a semi-annual cash dividend of $1.01 per share which was paid on December 14, 2018 to shareholders of record on December 3, 2018.</w:t>
      </w:r>
    </w:p>
    <w:p>
      <w:pPr>
        <w:spacing w:after="0" w:line="106" w:lineRule="exact"/>
        <w:rPr>
          <w:sz w:val="20"/>
          <w:szCs w:val="20"/>
          <w:color w:val="auto"/>
        </w:rPr>
      </w:pPr>
    </w:p>
    <w:p>
      <w:pPr>
        <w:jc w:val="both"/>
        <w:ind w:right="200"/>
        <w:spacing w:after="0" w:line="277" w:lineRule="auto"/>
        <w:rPr>
          <w:sz w:val="20"/>
          <w:szCs w:val="20"/>
          <w:color w:val="auto"/>
        </w:rPr>
      </w:pPr>
      <w:r>
        <w:rPr>
          <w:rFonts w:ascii="Arial" w:cs="Arial" w:eastAsia="Arial" w:hAnsi="Arial"/>
          <w:sz w:val="18"/>
          <w:szCs w:val="18"/>
          <w:color w:val="auto"/>
        </w:rPr>
        <w:t>To date in 2019, the Board of Directors has made the following dividend declaration: On May 10, 2019, the Board of Directors declared a semi-annual cash dividend of $1.09 per share which was paid on June 14, 2019 to shareholders of record on June 3, 2019.</w:t>
      </w:r>
    </w:p>
    <w:p>
      <w:pPr>
        <w:spacing w:after="0" w:line="14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August 2019, the Board of Directors authorized the repurchase of 6.0 million shares of our common stock, with terms consistent with the previous authorizations. This authorization is in addition to the August 2018 and July 2016 Board authorizations to purchase 6.0 million shares of our common stock each. Share repurchases may be made from time to time through a variety of methods, including open market purchases, block transactions, privately negotiated transactions or similar facilities. During the first nine months of 2019, we repurchased a total of 1.8 million shares at a cost of $152.0 million under the 2018 authorization. During the first nine months of 2018, we repurchased a total of 3.1 million shares comprised of 2.8 million shares under the 2016 authorization and 0.3 million shares under the 2018 authorization, at a total cost of $299.2 million. As of September 30, 2019, there were 6.0 million and 1.3 million shares remaining authorized for repurchase under the 2019 authorization and 2018 authorization, respectively, and no shares remaining authorized for repurchase under the 2016 authorization.</w:t>
      </w:r>
    </w:p>
    <w:p>
      <w:pPr>
        <w:spacing w:after="0" w:line="15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We had aggregate commitments of $2,058.6 million as of September 30, 2019 related to debt, operating leases, severances and office closure costs, transition tax resulting from the Tax Act and certain other commitments compared to $2,236.4 million as of December 31, 2018.</w:t>
      </w:r>
    </w:p>
    <w:p>
      <w:pPr>
        <w:spacing w:after="0" w:line="130"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We also have entered into guarantee contracts and stand-by letters of credit totaling approximately $205.7 million and $190.3 million as of September 30, 2019 and December 31, 2018, respectively ($154.1 million and $139.0 million for guarantees, respectively, and $51.6 million and $51.3 million for stand-by letters of credit, respectively). Guarantees primarily relate to bank accounts, operating leases and indebtedness. The letters of credit relate to workers’ compensation, operating leases and indebtedness. If certain conditions were met under these arrangements, we would be required to satisfy our obligations in cash. Due to the nature of these arrangements and our historical experience, we do not expect any significant payments under these arrangements. Therefore, they have been excluded from our aggregate commitments. The cost of these guarantees and letters of credit was $1.3 million and $1.4 million for the nine months ended September 30, 2019 and 2018, respectively.</w:t>
      </w:r>
    </w:p>
    <w:p>
      <w:pPr>
        <w:spacing w:after="0" w:line="151"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We recorded net restructuring costs of $42.5 million and $39.3 million during the nine months ended September 30, 2019 and 2018, respectively, in selling and administrative expenses, primarily related to severances and office closures and consolidations in multiple countries and territories. During the nine months ended September 30, 2019, the costs paid, utilized or transferred out of our restructuring reserve was $42.5 million ($4.6 million of this amount was transferred to current operating lease liabilities). We expect a majority of the remaining $15.5 million reserve will be paid, utilized or transferred out by the end of 2019.</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Application of Critical Accounting Policies</w:t>
      </w:r>
    </w:p>
    <w:p>
      <w:pPr>
        <w:spacing w:after="0" w:line="158"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In accordance with the accounting guidance for goodwill, we perform an annual impairment test of goodwill at our reporting unit level during the third quarter, or more frequently if events or circumstances change that would more likely than not reduce the fair value of our reporting units below their carrying value.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40" w:name="page41"/>
    <w:bookmarkEnd w:id="40"/>
    <w:p>
      <w:pPr>
        <w:ind w:right="40"/>
        <w:spacing w:after="0" w:line="277" w:lineRule="auto"/>
        <w:rPr>
          <w:sz w:val="20"/>
          <w:szCs w:val="20"/>
          <w:color w:val="auto"/>
        </w:rPr>
      </w:pPr>
      <w:r>
        <w:rPr>
          <w:rFonts w:ascii="Arial" w:cs="Arial" w:eastAsia="Arial" w:hAnsi="Arial"/>
          <w:sz w:val="18"/>
          <w:szCs w:val="18"/>
          <w:color w:val="auto"/>
        </w:rPr>
        <w:t>Estimated cash flows and goodwill are grouped at the reporting unit level, which the company has determined to be the operating segments for which discrete financial information is available and for which segment management regularly reviews the reporting results.</w:t>
      </w:r>
    </w:p>
    <w:p>
      <w:pPr>
        <w:spacing w:after="0" w:line="8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evaluate the recoverability of goodwill by utilizing an income approach that estimates the fair value of the future discounted cash flows to which the goodwill relates. This approach reflects management’s internal outlook of the reporting units, which is believed to be the best determination of value due to management’s insight and experience with the reporting units. Significant assumptions used in our annual goodwill impairment test during the third quarter of 2019 included: expected future revenue growth rates, operating unit profit margins, working capital levels, discount rates, and a terminal value multiple. The expected future revenue growth rates and operating unit profit margins were determined after taking into consideration our historical revenue growth rates and operating unit profit margins, our assessment of future market potential, and our expectations of future business performance.</w:t>
      </w:r>
    </w:p>
    <w:p>
      <w:pPr>
        <w:spacing w:after="0" w:line="111"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We believe that the future discounted cash flow valuation model provides the most reasonable and meaningful fair value estimate based upon the reporting units’ projections of future operating results and cash flows and is consistent with our view of how market participants would value the company’s reporting units in an orderly transaction.</w:t>
      </w:r>
    </w:p>
    <w:p>
      <w:pPr>
        <w:spacing w:after="0" w:line="11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 the event the fair value of a reporting unit is less than the carrying value, including goodwill, we would record an impairment charge based on the excess of a reporting units’ carrying amount over its fair value.</w:t>
      </w:r>
    </w:p>
    <w:p>
      <w:pPr>
        <w:spacing w:after="0" w:line="89" w:lineRule="exact"/>
        <w:rPr>
          <w:sz w:val="20"/>
          <w:szCs w:val="20"/>
          <w:color w:val="auto"/>
        </w:rPr>
      </w:pPr>
    </w:p>
    <w:p>
      <w:pPr>
        <w:spacing w:after="0"/>
        <w:rPr>
          <w:sz w:val="20"/>
          <w:szCs w:val="20"/>
          <w:color w:val="auto"/>
        </w:rPr>
      </w:pPr>
      <w:r>
        <w:rPr>
          <w:rFonts w:ascii="Arial" w:cs="Arial" w:eastAsia="Arial" w:hAnsi="Arial"/>
          <w:sz w:val="17"/>
          <w:szCs w:val="17"/>
          <w:color w:val="auto"/>
        </w:rPr>
        <w:t>We performed our annual impairment test of our goodwill during the third quarter of 2019 and determined that there was no impairment of our goodwill.</w:t>
      </w:r>
    </w:p>
    <w:p>
      <w:pPr>
        <w:spacing w:after="0" w:line="169"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The table below provides a sample of our reporting units estimated fair values and carrying values, which were determined as part of our annual goodwill impairment test performed in the third quarter ended September 30, 2019. The reporting units included below represent approximately 80% of our consolidated goodwill balance as of September 30, 2019.</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ind w:right="350"/>
              <w:spacing w:after="0"/>
              <w:rPr>
                <w:sz w:val="20"/>
                <w:szCs w:val="20"/>
                <w:color w:val="auto"/>
              </w:rPr>
            </w:pPr>
            <w:r>
              <w:rPr>
                <w:rFonts w:ascii="Arial" w:cs="Arial" w:eastAsia="Arial" w:hAnsi="Arial"/>
                <w:sz w:val="18"/>
                <w:szCs w:val="18"/>
                <w:b w:val="1"/>
                <w:bCs w:val="1"/>
                <w:color w:val="auto"/>
              </w:rPr>
              <w:t>United</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ind w:right="390"/>
              <w:spacing w:after="0"/>
              <w:rPr>
                <w:sz w:val="20"/>
                <w:szCs w:val="20"/>
                <w:color w:val="auto"/>
              </w:rPr>
            </w:pPr>
            <w:r>
              <w:rPr>
                <w:rFonts w:ascii="Arial" w:cs="Arial" w:eastAsia="Arial" w:hAnsi="Arial"/>
                <w:sz w:val="18"/>
                <w:szCs w:val="18"/>
                <w:b w:val="1"/>
                <w:bCs w:val="1"/>
                <w:color w:val="auto"/>
              </w:rPr>
              <w:t>Right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34"/>
        </w:trPr>
        <w:tc>
          <w:tcPr>
            <w:tcW w:w="2080" w:type="dxa"/>
            <w:vAlign w:val="bottom"/>
          </w:tcPr>
          <w:p>
            <w:pPr>
              <w:spacing w:after="0"/>
              <w:rPr>
                <w:sz w:val="20"/>
                <w:szCs w:val="20"/>
                <w:color w:val="auto"/>
              </w:rPr>
            </w:pPr>
            <w:r>
              <w:rPr>
                <w:rFonts w:ascii="Arial" w:cs="Arial" w:eastAsia="Arial" w:hAnsi="Arial"/>
                <w:sz w:val="18"/>
                <w:szCs w:val="18"/>
                <w:b w:val="1"/>
                <w:bCs w:val="1"/>
                <w:color w:val="auto"/>
              </w:rPr>
              <w:t>(in millions)</w:t>
            </w:r>
          </w:p>
        </w:tc>
        <w:tc>
          <w:tcPr>
            <w:tcW w:w="180" w:type="dxa"/>
            <w:vAlign w:val="bottom"/>
          </w:tcPr>
          <w:p>
            <w:pPr>
              <w:spacing w:after="0"/>
              <w:rPr>
                <w:sz w:val="20"/>
                <w:szCs w:val="20"/>
                <w:color w:val="auto"/>
              </w:rPr>
            </w:pPr>
          </w:p>
        </w:tc>
        <w:tc>
          <w:tcPr>
            <w:tcW w:w="1200" w:type="dxa"/>
            <w:vAlign w:val="bottom"/>
            <w:gridSpan w:val="2"/>
          </w:tcPr>
          <w:p>
            <w:pPr>
              <w:ind w:left="120"/>
              <w:spacing w:after="0"/>
              <w:rPr>
                <w:sz w:val="20"/>
                <w:szCs w:val="20"/>
                <w:color w:val="auto"/>
              </w:rPr>
            </w:pPr>
            <w:r>
              <w:rPr>
                <w:rFonts w:ascii="Arial" w:cs="Arial" w:eastAsia="Arial" w:hAnsi="Arial"/>
                <w:sz w:val="18"/>
                <w:szCs w:val="18"/>
                <w:b w:val="1"/>
                <w:bCs w:val="1"/>
                <w:color w:val="auto"/>
              </w:rPr>
              <w:t>France</w:t>
            </w:r>
          </w:p>
        </w:tc>
        <w:tc>
          <w:tcPr>
            <w:tcW w:w="126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w w:val="92"/>
              </w:rPr>
              <w:t>United States</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250"/>
              <w:spacing w:after="0"/>
              <w:rPr>
                <w:sz w:val="20"/>
                <w:szCs w:val="20"/>
                <w:color w:val="auto"/>
              </w:rPr>
            </w:pPr>
            <w:r>
              <w:rPr>
                <w:rFonts w:ascii="Arial" w:cs="Arial" w:eastAsia="Arial" w:hAnsi="Arial"/>
                <w:sz w:val="18"/>
                <w:szCs w:val="18"/>
                <w:b w:val="1"/>
                <w:bCs w:val="1"/>
                <w:color w:val="auto"/>
                <w:w w:val="97"/>
              </w:rPr>
              <w:t>Kingdom</w:t>
            </w:r>
          </w:p>
        </w:tc>
        <w:tc>
          <w:tcPr>
            <w:tcW w:w="120" w:type="dxa"/>
            <w:vAlign w:val="bottom"/>
          </w:tcPr>
          <w:p>
            <w:pPr>
              <w:spacing w:after="0"/>
              <w:rPr>
                <w:sz w:val="20"/>
                <w:szCs w:val="20"/>
                <w:color w:val="auto"/>
              </w:rPr>
            </w:pPr>
          </w:p>
        </w:tc>
        <w:tc>
          <w:tcPr>
            <w:tcW w:w="126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w w:val="96"/>
              </w:rPr>
              <w:t>Management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ind w:left="60"/>
              <w:spacing w:after="0"/>
              <w:rPr>
                <w:sz w:val="20"/>
                <w:szCs w:val="20"/>
                <w:color w:val="auto"/>
              </w:rPr>
            </w:pPr>
            <w:r>
              <w:rPr>
                <w:rFonts w:ascii="Arial" w:cs="Arial" w:eastAsia="Arial" w:hAnsi="Arial"/>
                <w:sz w:val="18"/>
                <w:szCs w:val="18"/>
                <w:b w:val="1"/>
                <w:bCs w:val="1"/>
                <w:color w:val="auto"/>
              </w:rPr>
              <w:t>Germany</w:t>
            </w:r>
          </w:p>
        </w:tc>
        <w:tc>
          <w:tcPr>
            <w:tcW w:w="180" w:type="dxa"/>
            <w:vAlign w:val="bottom"/>
          </w:tcPr>
          <w:p>
            <w:pPr>
              <w:spacing w:after="0"/>
              <w:rPr>
                <w:sz w:val="20"/>
                <w:szCs w:val="20"/>
                <w:color w:val="auto"/>
              </w:rPr>
            </w:pPr>
          </w:p>
        </w:tc>
        <w:tc>
          <w:tcPr>
            <w:tcW w:w="1060" w:type="dxa"/>
            <w:vAlign w:val="bottom"/>
          </w:tcPr>
          <w:p>
            <w:pPr>
              <w:jc w:val="right"/>
              <w:ind w:right="270"/>
              <w:spacing w:after="0"/>
              <w:rPr>
                <w:sz w:val="20"/>
                <w:szCs w:val="20"/>
                <w:color w:val="auto"/>
              </w:rPr>
            </w:pPr>
            <w:r>
              <w:rPr>
                <w:rFonts w:ascii="Arial" w:cs="Arial" w:eastAsia="Arial" w:hAnsi="Arial"/>
                <w:sz w:val="18"/>
                <w:szCs w:val="18"/>
                <w:b w:val="1"/>
                <w:bCs w:val="1"/>
                <w:color w:val="auto"/>
              </w:rPr>
              <w:t>Canada</w:t>
            </w:r>
          </w:p>
        </w:tc>
        <w:tc>
          <w:tcPr>
            <w:tcW w:w="1160" w:type="dxa"/>
            <w:vAlign w:val="bottom"/>
            <w:gridSpan w:val="2"/>
          </w:tcPr>
          <w:p>
            <w:pPr>
              <w:ind w:left="100"/>
              <w:spacing w:after="0"/>
              <w:rPr>
                <w:sz w:val="20"/>
                <w:szCs w:val="20"/>
                <w:color w:val="auto"/>
              </w:rPr>
            </w:pPr>
            <w:r>
              <w:rPr>
                <w:rFonts w:ascii="Arial" w:cs="Arial" w:eastAsia="Arial" w:hAnsi="Arial"/>
                <w:sz w:val="18"/>
                <w:szCs w:val="18"/>
                <w:b w:val="1"/>
                <w:bCs w:val="1"/>
                <w:color w:val="auto"/>
                <w:w w:val="99"/>
              </w:rPr>
              <w:t>Netherlands</w:t>
            </w:r>
          </w:p>
        </w:tc>
      </w:tr>
      <w:tr>
        <w:trPr>
          <w:trHeight w:val="223"/>
        </w:trPr>
        <w:tc>
          <w:tcPr>
            <w:tcW w:w="20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Estimated fair values</w:t>
            </w: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2,723.2</w:t>
            </w:r>
          </w:p>
        </w:tc>
        <w:tc>
          <w:tcPr>
            <w:tcW w:w="12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1,386.4</w:t>
            </w:r>
          </w:p>
        </w:tc>
        <w:tc>
          <w:tcPr>
            <w:tcW w:w="1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407.6</w:t>
            </w:r>
          </w:p>
        </w:tc>
        <w:tc>
          <w:tcPr>
            <w:tcW w:w="1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308.9</w:t>
            </w:r>
          </w:p>
        </w:tc>
        <w:tc>
          <w:tcPr>
            <w:tcW w:w="1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265.8</w:t>
            </w:r>
          </w:p>
        </w:tc>
        <w:tc>
          <w:tcPr>
            <w:tcW w:w="1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184.2</w:t>
            </w:r>
          </w:p>
        </w:tc>
        <w:tc>
          <w:tcPr>
            <w:tcW w:w="420" w:type="dxa"/>
            <w:vAlign w:val="bottom"/>
            <w:tcBorders>
              <w:top w:val="single" w:sz="8" w:color="auto"/>
            </w:tcBorders>
            <w:shd w:val="clear" w:color="auto" w:fill="CFF0FC"/>
          </w:tcPr>
          <w:p>
            <w:pPr>
              <w:ind w:left="100"/>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158.7</w:t>
            </w:r>
          </w:p>
        </w:tc>
      </w:tr>
      <w:tr>
        <w:trPr>
          <w:trHeight w:val="230"/>
        </w:trPr>
        <w:tc>
          <w:tcPr>
            <w:tcW w:w="2080" w:type="dxa"/>
            <w:vAlign w:val="bottom"/>
          </w:tcPr>
          <w:p>
            <w:pPr>
              <w:spacing w:after="0"/>
              <w:rPr>
                <w:sz w:val="20"/>
                <w:szCs w:val="20"/>
                <w:color w:val="auto"/>
              </w:rPr>
            </w:pPr>
            <w:r>
              <w:rPr>
                <w:rFonts w:ascii="Arial" w:cs="Arial" w:eastAsia="Arial" w:hAnsi="Arial"/>
                <w:sz w:val="18"/>
                <w:szCs w:val="18"/>
                <w:color w:val="auto"/>
              </w:rPr>
              <w:t>Carrying values</w:t>
            </w:r>
          </w:p>
        </w:tc>
        <w:tc>
          <w:tcPr>
            <w:tcW w:w="180" w:type="dxa"/>
            <w:vAlign w:val="bottom"/>
          </w:tcPr>
          <w:p>
            <w:pPr>
              <w:spacing w:after="0"/>
              <w:rPr>
                <w:sz w:val="20"/>
                <w:szCs w:val="20"/>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1,302.9</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801.5</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337.2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126.6</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262.8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92.0</w:t>
            </w:r>
          </w:p>
        </w:tc>
        <w:tc>
          <w:tcPr>
            <w:tcW w:w="420" w:type="dxa"/>
            <w:vAlign w:val="bottom"/>
          </w:tcPr>
          <w:p>
            <w:pPr>
              <w:spacing w:after="0"/>
              <w:rPr>
                <w:sz w:val="20"/>
                <w:szCs w:val="20"/>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129.1</w:t>
            </w:r>
          </w:p>
        </w:tc>
      </w:tr>
    </w:tbl>
    <w:p>
      <w:pPr>
        <w:spacing w:after="0" w:line="201"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The fair value of each reporting unit was at least 20 percent in excess of the respective reporting unit’s carrying value with the exception of the Germany reporting unit. During the second quarter of 2019, we determined that it was more likely than not that the fair value of the Germany reporting unit was below its carrying amount and performed an interim goodwill impairment test. As a result of the interim test, we wrote the fair value of the Germany reporting unit down to its carrying value and recognized a non-cash impairment charge loss of $60.2 million during the second quarter of 2019. Key assumptions included in the Germany discounted cash flow valuation performed during the third quarter of 2019 included a discount rate of 10.8% and a terminal value revenue growth rate of 2.0%. Should the operations of the business incur significant declines in profitability and cash flow due to significant and long-term deterioration in macroeconomic, industry and market conditions, some or all of the recorded goodwill, which was $64.8 million as of September 30, 2019, could be subject to impairment.</w:t>
      </w:r>
    </w:p>
    <w:p>
      <w:pPr>
        <w:spacing w:after="0" w:line="12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In addition, during the second quarter of 2019, we recorded an impairment charge of $3.8 million related to our New Zealand operations as a result of not meeting profitability expectations.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Recently Issued Accounting Standards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See Note 2 to the Consolidated Financial Statements.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Forward-Looking Statements</w:t>
      </w:r>
    </w:p>
    <w:p>
      <w:pPr>
        <w:spacing w:after="0" w:line="158"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Statements made in this quarterly report that are not statements of historical fact are forward-looking statements. In addition, from time to time, we and our representatives may make statements that are forward-looking. All forward-looking statements involve risks and uncertainties. The information in Item 1A. Risk Factors in our annual report on Form 10-K for the year ended December 31, 2018, which information is incorporated herein by reference, provides cautionary statements identifying, for purposes of the safe harbor provisions of the Private Securities Litigation Reform Act of 1995, important factors that could cause our actual results to differ materially from those contained in the forward-looking statements. Forward-looking statements can be identified by words such as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41" w:name="page42"/>
    <w:bookmarkEnd w:id="41"/>
    <w:p>
      <w:pPr>
        <w:spacing w:after="0" w:line="297" w:lineRule="auto"/>
        <w:rPr>
          <w:sz w:val="20"/>
          <w:szCs w:val="20"/>
          <w:color w:val="auto"/>
        </w:rPr>
      </w:pPr>
      <w:r>
        <w:rPr>
          <w:rFonts w:ascii="Arial" w:cs="Arial" w:eastAsia="Arial" w:hAnsi="Arial"/>
          <w:sz w:val="16"/>
          <w:szCs w:val="16"/>
          <w:color w:val="auto"/>
        </w:rPr>
        <w:t>“expect,” “anticipate,” “intend,” “plan,” “may,” “believe,” “seek,” “estimate,” and similar expressions. Some or all of the factors identified in our annual report on Form 10-K may be beyond our control. Other risks and uncertainties include, but are not limited to, the following: changes in tax legislation in places we do business; challenges in operating our business in certain European markets; failure to implement strategic technology investments; and other factors that may be disclosed from time to time in our SEC filings or otherwise. We caution that any forward-looking statement reflects only our belief at the time the statement is made. We undertake no obligation to update any forward-looking statements to reflect subsequent events or circumstances.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3 – Quantitative and Qualitative Disclosures About Market Risk</w:t>
      </w:r>
    </w:p>
    <w:p>
      <w:pPr>
        <w:spacing w:after="0" w:line="18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Our 2018 Annual Report on Form 10-K contains certain disclosures about market risks affecting us. There have been no material changes to the information provided which would require additional disclosures as of the date of this filing.</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4 – Controls and Procedures</w:t>
      </w:r>
    </w:p>
    <w:p>
      <w:pPr>
        <w:spacing w:after="0" w:line="185"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We maintain a set of disclosure controls and procedures that are designed to ensure that information required to be disclosed by us in the reports filed by us under the Securities Exchange Act of 1934, as amended (the “Exchange Act”), is recorded, processed, summarized and reported within the time periods specified in the SEC’s rules and forms and that such information is accumulated and communicated to management of the company, including its Chief Executive Officer and Chief Financial Officer, as appropriate, to allow timely decisions regarding timely disclosure. We carried out an evaluation, under the supervision and with the participation of our management, including our Chief Executive Officer and our Executive Vice President and Chief Financial Officer, of the effectiveness of the design and operation of our disclosure controls and procedures at a reasonable assurance level pursuant to Rule 13a-15 of the Exchange Act. Based on that evaluation, our Chief Executive Officer and our Executive Vice President and Chief Financial Officer concluded that, as of the end of the period covered by this report, our disclosure controls and procedures were effective at the reasonable assurance level.</w:t>
      </w:r>
    </w:p>
    <w:p>
      <w:pPr>
        <w:spacing w:after="0" w:line="126"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There have been no changes in our internal control over financial reporting identified in connection with the evaluation discussed above that occurred during our last fiscal quarter that have materially affected, or are reasonably likely to materially affect, our internal control over financial reporting.</w:t>
      </w:r>
    </w:p>
    <w:p>
      <w:pPr>
        <w:spacing w:after="0" w:line="14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00"/>
          </w:cols>
          <w:pgMar w:left="240" w:top="490" w:right="359" w:bottom="1440" w:gutter="0" w:footer="0" w:header="0"/>
        </w:sectPr>
      </w:pPr>
    </w:p>
    <w:bookmarkStart w:id="42" w:name="page43"/>
    <w:bookmarkEnd w:id="42"/>
    <w:p>
      <w:pPr>
        <w:ind w:left="4300"/>
        <w:spacing w:after="0"/>
        <w:rPr>
          <w:sz w:val="20"/>
          <w:szCs w:val="20"/>
          <w:color w:val="auto"/>
        </w:rPr>
      </w:pPr>
      <w:r>
        <w:rPr>
          <w:rFonts w:ascii="Arial" w:cs="Arial" w:eastAsia="Arial" w:hAnsi="Arial"/>
          <w:sz w:val="18"/>
          <w:szCs w:val="18"/>
          <w:b w:val="1"/>
          <w:bCs w:val="1"/>
          <w:color w:val="auto"/>
        </w:rPr>
        <w:t>PART II - OTHER INFORMATION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 – Unregistered Sales of Equity Securities and Use of Proceeds</w:t>
      </w:r>
    </w:p>
    <w:p>
      <w:pPr>
        <w:spacing w:after="0" w:line="200" w:lineRule="exact"/>
        <w:rPr>
          <w:sz w:val="20"/>
          <w:szCs w:val="20"/>
          <w:color w:val="auto"/>
        </w:rPr>
      </w:pPr>
    </w:p>
    <w:p>
      <w:pPr>
        <w:spacing w:after="0" w:line="214"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In August 2018, the Board of Directors authorized the repurchase of 6.0 million shares of our common stock. In August 2019, the Board of Directors authorized the repurchase of an additional 6.0 million shares of our common stock. We conduct share repurchases from time to time through a variety of methods, including open market purchases, block transactions, privately negotiated transactions or similar facilities. The following table shows the total number of shares repurchased during the third quarter of 2019 under the 2018 authorization. As of September 30, 2019, there were 6.0 million and 1.3 million shares remaining authorized for repurchase under the 2019 authorization and 2018 authorization, respectively.</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80" w:type="dxa"/>
            <w:vAlign w:val="bottom"/>
          </w:tcPr>
          <w:p>
            <w:pPr>
              <w:spacing w:after="0"/>
              <w:rPr>
                <w:sz w:val="20"/>
                <w:szCs w:val="20"/>
                <w:color w:val="auto"/>
              </w:rPr>
            </w:pPr>
          </w:p>
        </w:tc>
        <w:tc>
          <w:tcPr>
            <w:tcW w:w="5020" w:type="dxa"/>
            <w:vAlign w:val="bottom"/>
            <w:gridSpan w:val="6"/>
          </w:tcPr>
          <w:p>
            <w:pPr>
              <w:ind w:left="980"/>
              <w:spacing w:after="0"/>
              <w:rPr>
                <w:sz w:val="20"/>
                <w:szCs w:val="20"/>
                <w:color w:val="auto"/>
              </w:rPr>
            </w:pPr>
            <w:r>
              <w:rPr>
                <w:rFonts w:ascii="Arial" w:cs="Arial" w:eastAsia="Arial" w:hAnsi="Arial"/>
                <w:sz w:val="18"/>
                <w:szCs w:val="18"/>
                <w:b w:val="1"/>
                <w:bCs w:val="1"/>
                <w:color w:val="auto"/>
              </w:rPr>
              <w:t>ISSUER PURCHASES OF EQUITY SECURITIES</w:t>
            </w:r>
          </w:p>
        </w:tc>
        <w:tc>
          <w:tcPr>
            <w:tcW w:w="1780" w:type="dxa"/>
            <w:vAlign w:val="bottom"/>
            <w:vMerge w:val="restart"/>
          </w:tcPr>
          <w:p>
            <w:pPr>
              <w:jc w:val="center"/>
              <w:ind w:right="50"/>
              <w:spacing w:after="0"/>
              <w:rPr>
                <w:sz w:val="20"/>
                <w:szCs w:val="20"/>
                <w:color w:val="auto"/>
              </w:rPr>
            </w:pPr>
            <w:r>
              <w:rPr>
                <w:rFonts w:ascii="Arial" w:cs="Arial" w:eastAsia="Arial" w:hAnsi="Arial"/>
                <w:sz w:val="18"/>
                <w:szCs w:val="18"/>
                <w:b w:val="1"/>
                <w:bCs w:val="1"/>
                <w:color w:val="auto"/>
                <w:w w:val="91"/>
              </w:rPr>
              <w:t>Total number</w:t>
            </w:r>
          </w:p>
        </w:tc>
        <w:tc>
          <w:tcPr>
            <w:tcW w:w="1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6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tcPr>
          <w:p>
            <w:pPr>
              <w:jc w:val="center"/>
              <w:ind w:right="50"/>
              <w:spacing w:after="0"/>
              <w:rPr>
                <w:sz w:val="20"/>
                <w:szCs w:val="20"/>
                <w:color w:val="auto"/>
              </w:rPr>
            </w:pPr>
            <w:r>
              <w:rPr>
                <w:rFonts w:ascii="Arial" w:cs="Arial" w:eastAsia="Arial" w:hAnsi="Arial"/>
                <w:sz w:val="18"/>
                <w:szCs w:val="18"/>
                <w:b w:val="1"/>
                <w:bCs w:val="1"/>
                <w:color w:val="auto"/>
                <w:w w:val="84"/>
              </w:rPr>
              <w:t>of shares</w:t>
            </w:r>
          </w:p>
        </w:tc>
        <w:tc>
          <w:tcPr>
            <w:tcW w:w="1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tcPr>
          <w:p>
            <w:pPr>
              <w:jc w:val="center"/>
              <w:ind w:right="50"/>
              <w:spacing w:after="0"/>
              <w:rPr>
                <w:sz w:val="20"/>
                <w:szCs w:val="20"/>
                <w:color w:val="auto"/>
              </w:rPr>
            </w:pPr>
            <w:r>
              <w:rPr>
                <w:rFonts w:ascii="Arial" w:cs="Arial" w:eastAsia="Arial" w:hAnsi="Arial"/>
                <w:sz w:val="18"/>
                <w:szCs w:val="18"/>
                <w:b w:val="1"/>
                <w:bCs w:val="1"/>
                <w:color w:val="auto"/>
                <w:w w:val="86"/>
              </w:rPr>
              <w:t>purchased as</w:t>
            </w:r>
          </w:p>
        </w:tc>
        <w:tc>
          <w:tcPr>
            <w:tcW w:w="140" w:type="dxa"/>
            <w:vAlign w:val="bottom"/>
          </w:tcPr>
          <w:p>
            <w:pPr>
              <w:spacing w:after="0"/>
              <w:rPr>
                <w:sz w:val="18"/>
                <w:szCs w:val="18"/>
                <w:color w:val="auto"/>
              </w:rPr>
            </w:pPr>
          </w:p>
        </w:tc>
        <w:tc>
          <w:tcPr>
            <w:tcW w:w="1800" w:type="dxa"/>
            <w:vAlign w:val="bottom"/>
          </w:tcPr>
          <w:p>
            <w:pPr>
              <w:ind w:left="440"/>
              <w:spacing w:after="0"/>
              <w:rPr>
                <w:sz w:val="20"/>
                <w:szCs w:val="20"/>
                <w:color w:val="auto"/>
              </w:rPr>
            </w:pPr>
            <w:r>
              <w:rPr>
                <w:rFonts w:ascii="Arial" w:cs="Arial" w:eastAsia="Arial" w:hAnsi="Arial"/>
                <w:sz w:val="18"/>
                <w:szCs w:val="18"/>
                <w:b w:val="1"/>
                <w:bCs w:val="1"/>
                <w:color w:val="auto"/>
              </w:rPr>
              <w:t>Maximum</w:t>
            </w:r>
          </w:p>
        </w:tc>
        <w:tc>
          <w:tcPr>
            <w:tcW w:w="0" w:type="dxa"/>
            <w:vAlign w:val="bottom"/>
          </w:tcPr>
          <w:p>
            <w:pPr>
              <w:spacing w:after="0"/>
              <w:rPr>
                <w:sz w:val="1"/>
                <w:szCs w:val="1"/>
                <w:color w:val="auto"/>
              </w:rPr>
            </w:pPr>
          </w:p>
        </w:tc>
      </w:tr>
      <w:tr>
        <w:trPr>
          <w:trHeight w:val="216"/>
        </w:trPr>
        <w:tc>
          <w:tcPr>
            <w:tcW w:w="26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780" w:type="dxa"/>
            <w:vAlign w:val="bottom"/>
          </w:tcPr>
          <w:p>
            <w:pPr>
              <w:jc w:val="center"/>
              <w:ind w:right="30"/>
              <w:spacing w:after="0"/>
              <w:rPr>
                <w:sz w:val="20"/>
                <w:szCs w:val="20"/>
                <w:color w:val="auto"/>
              </w:rPr>
            </w:pPr>
            <w:r>
              <w:rPr>
                <w:rFonts w:ascii="Arial" w:cs="Arial" w:eastAsia="Arial" w:hAnsi="Arial"/>
                <w:sz w:val="18"/>
                <w:szCs w:val="18"/>
                <w:b w:val="1"/>
                <w:bCs w:val="1"/>
                <w:color w:val="auto"/>
                <w:w w:val="88"/>
              </w:rPr>
              <w:t>Total</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part of</w:t>
            </w:r>
          </w:p>
        </w:tc>
        <w:tc>
          <w:tcPr>
            <w:tcW w:w="140" w:type="dxa"/>
            <w:vAlign w:val="bottom"/>
          </w:tcPr>
          <w:p>
            <w:pPr>
              <w:spacing w:after="0"/>
              <w:rPr>
                <w:sz w:val="18"/>
                <w:szCs w:val="18"/>
                <w:color w:val="auto"/>
              </w:rPr>
            </w:pPr>
          </w:p>
        </w:tc>
        <w:tc>
          <w:tcPr>
            <w:tcW w:w="1800" w:type="dxa"/>
            <w:vAlign w:val="bottom"/>
          </w:tcPr>
          <w:p>
            <w:pPr>
              <w:ind w:left="440"/>
              <w:spacing w:after="0"/>
              <w:rPr>
                <w:sz w:val="20"/>
                <w:szCs w:val="20"/>
                <w:color w:val="auto"/>
              </w:rPr>
            </w:pPr>
            <w:r>
              <w:rPr>
                <w:rFonts w:ascii="Arial" w:cs="Arial" w:eastAsia="Arial" w:hAnsi="Arial"/>
                <w:sz w:val="18"/>
                <w:szCs w:val="18"/>
                <w:b w:val="1"/>
                <w:bCs w:val="1"/>
                <w:color w:val="auto"/>
              </w:rPr>
              <w:t>number of</w:t>
            </w:r>
          </w:p>
        </w:tc>
        <w:tc>
          <w:tcPr>
            <w:tcW w:w="0" w:type="dxa"/>
            <w:vAlign w:val="bottom"/>
          </w:tcPr>
          <w:p>
            <w:pPr>
              <w:spacing w:after="0"/>
              <w:rPr>
                <w:sz w:val="1"/>
                <w:szCs w:val="1"/>
                <w:color w:val="auto"/>
              </w:rPr>
            </w:pPr>
          </w:p>
        </w:tc>
      </w:tr>
      <w:tr>
        <w:trPr>
          <w:trHeight w:val="216"/>
        </w:trPr>
        <w:tc>
          <w:tcPr>
            <w:tcW w:w="26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780" w:type="dxa"/>
            <w:vAlign w:val="bottom"/>
          </w:tcPr>
          <w:p>
            <w:pPr>
              <w:jc w:val="center"/>
              <w:ind w:right="30"/>
              <w:spacing w:after="0"/>
              <w:rPr>
                <w:sz w:val="20"/>
                <w:szCs w:val="20"/>
                <w:color w:val="auto"/>
              </w:rPr>
            </w:pPr>
            <w:r>
              <w:rPr>
                <w:rFonts w:ascii="Arial" w:cs="Arial" w:eastAsia="Arial" w:hAnsi="Arial"/>
                <w:sz w:val="18"/>
                <w:szCs w:val="18"/>
                <w:b w:val="1"/>
                <w:bCs w:val="1"/>
                <w:color w:val="auto"/>
                <w:w w:val="93"/>
              </w:rPr>
              <w:t>number</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publicly</w:t>
            </w:r>
          </w:p>
        </w:tc>
        <w:tc>
          <w:tcPr>
            <w:tcW w:w="140" w:type="dxa"/>
            <w:vAlign w:val="bottom"/>
          </w:tcPr>
          <w:p>
            <w:pPr>
              <w:spacing w:after="0"/>
              <w:rPr>
                <w:sz w:val="18"/>
                <w:szCs w:val="18"/>
                <w:color w:val="auto"/>
              </w:rPr>
            </w:pPr>
          </w:p>
        </w:tc>
        <w:tc>
          <w:tcPr>
            <w:tcW w:w="1800" w:type="dxa"/>
            <w:vAlign w:val="bottom"/>
          </w:tcPr>
          <w:p>
            <w:pPr>
              <w:ind w:left="420"/>
              <w:spacing w:after="0"/>
              <w:rPr>
                <w:sz w:val="20"/>
                <w:szCs w:val="20"/>
                <w:color w:val="auto"/>
              </w:rPr>
            </w:pPr>
            <w:r>
              <w:rPr>
                <w:rFonts w:ascii="Arial" w:cs="Arial" w:eastAsia="Arial" w:hAnsi="Arial"/>
                <w:sz w:val="18"/>
                <w:szCs w:val="18"/>
                <w:b w:val="1"/>
                <w:bCs w:val="1"/>
                <w:color w:val="auto"/>
              </w:rPr>
              <w:t>shares that</w:t>
            </w:r>
          </w:p>
        </w:tc>
        <w:tc>
          <w:tcPr>
            <w:tcW w:w="0" w:type="dxa"/>
            <w:vAlign w:val="bottom"/>
          </w:tcPr>
          <w:p>
            <w:pPr>
              <w:spacing w:after="0"/>
              <w:rPr>
                <w:sz w:val="1"/>
                <w:szCs w:val="1"/>
                <w:color w:val="auto"/>
              </w:rPr>
            </w:pPr>
          </w:p>
        </w:tc>
      </w:tr>
      <w:tr>
        <w:trPr>
          <w:trHeight w:val="216"/>
        </w:trPr>
        <w:tc>
          <w:tcPr>
            <w:tcW w:w="26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780" w:type="dxa"/>
            <w:vAlign w:val="bottom"/>
          </w:tcPr>
          <w:p>
            <w:pPr>
              <w:jc w:val="center"/>
              <w:ind w:right="10"/>
              <w:spacing w:after="0"/>
              <w:rPr>
                <w:sz w:val="20"/>
                <w:szCs w:val="20"/>
                <w:color w:val="auto"/>
              </w:rPr>
            </w:pPr>
            <w:r>
              <w:rPr>
                <w:rFonts w:ascii="Arial" w:cs="Arial" w:eastAsia="Arial" w:hAnsi="Arial"/>
                <w:sz w:val="18"/>
                <w:szCs w:val="18"/>
                <w:b w:val="1"/>
                <w:bCs w:val="1"/>
                <w:color w:val="auto"/>
                <w:w w:val="84"/>
              </w:rPr>
              <w:t>of shares</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gridSpan w:val="2"/>
          </w:tcPr>
          <w:p>
            <w:pPr>
              <w:ind w:left="120"/>
              <w:spacing w:after="0"/>
              <w:rPr>
                <w:sz w:val="20"/>
                <w:szCs w:val="20"/>
                <w:color w:val="auto"/>
              </w:rPr>
            </w:pPr>
            <w:r>
              <w:rPr>
                <w:rFonts w:ascii="Arial" w:cs="Arial" w:eastAsia="Arial" w:hAnsi="Arial"/>
                <w:sz w:val="18"/>
                <w:szCs w:val="18"/>
                <w:b w:val="1"/>
                <w:bCs w:val="1"/>
                <w:color w:val="auto"/>
              </w:rPr>
              <w:t>Average price</w:t>
            </w:r>
          </w:p>
        </w:tc>
        <w:tc>
          <w:tcPr>
            <w:tcW w:w="1780" w:type="dxa"/>
            <w:vAlign w:val="bottom"/>
          </w:tcPr>
          <w:p>
            <w:pPr>
              <w:jc w:val="center"/>
              <w:ind w:right="50"/>
              <w:spacing w:after="0"/>
              <w:rPr>
                <w:sz w:val="20"/>
                <w:szCs w:val="20"/>
                <w:color w:val="auto"/>
              </w:rPr>
            </w:pPr>
            <w:r>
              <w:rPr>
                <w:rFonts w:ascii="Arial" w:cs="Arial" w:eastAsia="Arial" w:hAnsi="Arial"/>
                <w:sz w:val="18"/>
                <w:szCs w:val="18"/>
                <w:b w:val="1"/>
                <w:bCs w:val="1"/>
                <w:color w:val="auto"/>
                <w:w w:val="87"/>
              </w:rPr>
              <w:t>announced</w:t>
            </w:r>
          </w:p>
        </w:tc>
        <w:tc>
          <w:tcPr>
            <w:tcW w:w="140" w:type="dxa"/>
            <w:vAlign w:val="bottom"/>
          </w:tcPr>
          <w:p>
            <w:pPr>
              <w:spacing w:after="0"/>
              <w:rPr>
                <w:sz w:val="18"/>
                <w:szCs w:val="18"/>
                <w:color w:val="auto"/>
              </w:rPr>
            </w:pPr>
          </w:p>
        </w:tc>
        <w:tc>
          <w:tcPr>
            <w:tcW w:w="1800" w:type="dxa"/>
            <w:vAlign w:val="bottom"/>
          </w:tcPr>
          <w:p>
            <w:pPr>
              <w:ind w:left="420"/>
              <w:spacing w:after="0"/>
              <w:rPr>
                <w:sz w:val="20"/>
                <w:szCs w:val="20"/>
                <w:color w:val="auto"/>
              </w:rPr>
            </w:pPr>
            <w:r>
              <w:rPr>
                <w:rFonts w:ascii="Arial" w:cs="Arial" w:eastAsia="Arial" w:hAnsi="Arial"/>
                <w:sz w:val="18"/>
                <w:szCs w:val="18"/>
                <w:b w:val="1"/>
                <w:bCs w:val="1"/>
                <w:color w:val="auto"/>
              </w:rPr>
              <w:t>may yet be</w:t>
            </w:r>
          </w:p>
        </w:tc>
        <w:tc>
          <w:tcPr>
            <w:tcW w:w="0" w:type="dxa"/>
            <w:vAlign w:val="bottom"/>
          </w:tcPr>
          <w:p>
            <w:pPr>
              <w:spacing w:after="0"/>
              <w:rPr>
                <w:sz w:val="1"/>
                <w:szCs w:val="1"/>
                <w:color w:val="auto"/>
              </w:rPr>
            </w:pPr>
          </w:p>
        </w:tc>
      </w:tr>
      <w:tr>
        <w:trPr>
          <w:trHeight w:val="234"/>
        </w:trPr>
        <w:tc>
          <w:tcPr>
            <w:tcW w:w="26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780" w:type="dxa"/>
            <w:vAlign w:val="bottom"/>
          </w:tcPr>
          <w:p>
            <w:pPr>
              <w:jc w:val="center"/>
              <w:ind w:right="10"/>
              <w:spacing w:after="0"/>
              <w:rPr>
                <w:sz w:val="20"/>
                <w:szCs w:val="20"/>
                <w:color w:val="auto"/>
              </w:rPr>
            </w:pPr>
            <w:r>
              <w:rPr>
                <w:rFonts w:ascii="Arial" w:cs="Arial" w:eastAsia="Arial" w:hAnsi="Arial"/>
                <w:sz w:val="18"/>
                <w:szCs w:val="18"/>
                <w:b w:val="1"/>
                <w:bCs w:val="1"/>
                <w:color w:val="auto"/>
                <w:w w:val="87"/>
              </w:rPr>
              <w:t>purchased</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60" w:type="dxa"/>
            <w:vAlign w:val="bottom"/>
            <w:gridSpan w:val="2"/>
          </w:tcPr>
          <w:p>
            <w:pPr>
              <w:ind w:left="100"/>
              <w:spacing w:after="0"/>
              <w:rPr>
                <w:sz w:val="20"/>
                <w:szCs w:val="20"/>
                <w:color w:val="auto"/>
              </w:rPr>
            </w:pPr>
            <w:r>
              <w:rPr>
                <w:rFonts w:ascii="Arial" w:cs="Arial" w:eastAsia="Arial" w:hAnsi="Arial"/>
                <w:sz w:val="18"/>
                <w:szCs w:val="18"/>
                <w:b w:val="1"/>
                <w:bCs w:val="1"/>
                <w:color w:val="auto"/>
              </w:rPr>
              <w:t>paid per share</w:t>
            </w:r>
          </w:p>
        </w:tc>
        <w:tc>
          <w:tcPr>
            <w:tcW w:w="178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plan</w:t>
            </w:r>
          </w:p>
        </w:tc>
        <w:tc>
          <w:tcPr>
            <w:tcW w:w="140" w:type="dxa"/>
            <w:vAlign w:val="bottom"/>
          </w:tcPr>
          <w:p>
            <w:pPr>
              <w:spacing w:after="0"/>
              <w:rPr>
                <w:sz w:val="20"/>
                <w:szCs w:val="20"/>
                <w:color w:val="auto"/>
              </w:rPr>
            </w:pPr>
          </w:p>
        </w:tc>
        <w:tc>
          <w:tcPr>
            <w:tcW w:w="1800" w:type="dxa"/>
            <w:vAlign w:val="bottom"/>
          </w:tcPr>
          <w:p>
            <w:pPr>
              <w:ind w:left="440"/>
              <w:spacing w:after="0"/>
              <w:rPr>
                <w:sz w:val="20"/>
                <w:szCs w:val="20"/>
                <w:color w:val="auto"/>
              </w:rPr>
            </w:pPr>
            <w:r>
              <w:rPr>
                <w:rFonts w:ascii="Arial" w:cs="Arial" w:eastAsia="Arial" w:hAnsi="Arial"/>
                <w:sz w:val="18"/>
                <w:szCs w:val="18"/>
                <w:b w:val="1"/>
                <w:bCs w:val="1"/>
                <w:color w:val="auto"/>
              </w:rPr>
              <w:t>purchased</w:t>
            </w:r>
          </w:p>
        </w:tc>
        <w:tc>
          <w:tcPr>
            <w:tcW w:w="0" w:type="dxa"/>
            <w:vAlign w:val="bottom"/>
          </w:tcPr>
          <w:p>
            <w:pPr>
              <w:spacing w:after="0"/>
              <w:rPr>
                <w:sz w:val="1"/>
                <w:szCs w:val="1"/>
                <w:color w:val="auto"/>
              </w:rPr>
            </w:pPr>
          </w:p>
        </w:tc>
      </w:tr>
      <w:tr>
        <w:trPr>
          <w:trHeight w:val="223"/>
        </w:trPr>
        <w:tc>
          <w:tcPr>
            <w:tcW w:w="26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July 1 - 31, 2019</w:t>
            </w:r>
          </w:p>
        </w:tc>
        <w:tc>
          <w:tcPr>
            <w:tcW w:w="1000" w:type="dxa"/>
            <w:vAlign w:val="bottom"/>
            <w:tcBorders>
              <w:top w:val="single" w:sz="8" w:color="CFF0FC"/>
            </w:tcBorders>
            <w:shd w:val="clear" w:color="auto" w:fill="CFF0FC"/>
          </w:tcPr>
          <w:p>
            <w:pPr>
              <w:spacing w:after="0"/>
              <w:rPr>
                <w:sz w:val="19"/>
                <w:szCs w:val="19"/>
                <w:color w:val="auto"/>
              </w:rPr>
            </w:pPr>
          </w:p>
        </w:tc>
        <w:tc>
          <w:tcPr>
            <w:tcW w:w="178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FF0FC"/>
            </w:tcBorders>
            <w:shd w:val="clear" w:color="auto" w:fill="CFF0FC"/>
          </w:tcPr>
          <w:p>
            <w:pPr>
              <w:spacing w:after="0"/>
              <w:rPr>
                <w:sz w:val="19"/>
                <w:szCs w:val="19"/>
                <w:color w:val="auto"/>
              </w:rPr>
            </w:pPr>
          </w:p>
        </w:tc>
        <w:tc>
          <w:tcPr>
            <w:tcW w:w="178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tcBorders>
            <w:shd w:val="clear" w:color="auto" w:fill="CFF0FC"/>
          </w:tcPr>
          <w:p>
            <w:pPr>
              <w:spacing w:after="0"/>
              <w:rPr>
                <w:sz w:val="19"/>
                <w:szCs w:val="19"/>
                <w:color w:val="auto"/>
              </w:rPr>
            </w:pPr>
          </w:p>
        </w:tc>
        <w:tc>
          <w:tcPr>
            <w:tcW w:w="180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1,939,059</w:t>
            </w:r>
          </w:p>
        </w:tc>
        <w:tc>
          <w:tcPr>
            <w:tcW w:w="0" w:type="dxa"/>
            <w:vAlign w:val="bottom"/>
          </w:tcPr>
          <w:p>
            <w:pPr>
              <w:spacing w:after="0"/>
              <w:rPr>
                <w:sz w:val="1"/>
                <w:szCs w:val="1"/>
                <w:color w:val="auto"/>
              </w:rPr>
            </w:pPr>
          </w:p>
        </w:tc>
      </w:tr>
      <w:tr>
        <w:trPr>
          <w:trHeight w:val="230"/>
        </w:trPr>
        <w:tc>
          <w:tcPr>
            <w:tcW w:w="2680" w:type="dxa"/>
            <w:vAlign w:val="bottom"/>
          </w:tcPr>
          <w:p>
            <w:pPr>
              <w:spacing w:after="0"/>
              <w:rPr>
                <w:sz w:val="20"/>
                <w:szCs w:val="20"/>
                <w:color w:val="auto"/>
              </w:rPr>
            </w:pPr>
            <w:r>
              <w:rPr>
                <w:rFonts w:ascii="Arial" w:cs="Arial" w:eastAsia="Arial" w:hAnsi="Arial"/>
                <w:sz w:val="18"/>
                <w:szCs w:val="18"/>
                <w:color w:val="auto"/>
              </w:rPr>
              <w:t>August 1 - 31, 2019</w:t>
            </w:r>
          </w:p>
        </w:tc>
        <w:tc>
          <w:tcPr>
            <w:tcW w:w="2780" w:type="dxa"/>
            <w:vAlign w:val="bottom"/>
            <w:gridSpan w:val="2"/>
          </w:tcPr>
          <w:p>
            <w:pPr>
              <w:jc w:val="right"/>
              <w:ind w:right="30"/>
              <w:spacing w:after="0"/>
              <w:rPr>
                <w:sz w:val="20"/>
                <w:szCs w:val="20"/>
                <w:color w:val="auto"/>
              </w:rPr>
            </w:pPr>
            <w:r>
              <w:rPr>
                <w:rFonts w:ascii="Arial" w:cs="Arial" w:eastAsia="Arial" w:hAnsi="Arial"/>
                <w:sz w:val="18"/>
                <w:szCs w:val="18"/>
                <w:color w:val="auto"/>
              </w:rPr>
              <w:t>135,113</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81.41</w:t>
            </w:r>
          </w:p>
        </w:tc>
        <w:tc>
          <w:tcPr>
            <w:tcW w:w="160" w:type="dxa"/>
            <w:vAlign w:val="bottom"/>
          </w:tcPr>
          <w:p>
            <w:pPr>
              <w:spacing w:after="0"/>
              <w:rPr>
                <w:sz w:val="19"/>
                <w:szCs w:val="19"/>
                <w:color w:val="auto"/>
              </w:rPr>
            </w:pPr>
          </w:p>
        </w:tc>
        <w:tc>
          <w:tcPr>
            <w:tcW w:w="1780" w:type="dxa"/>
            <w:vAlign w:val="bottom"/>
          </w:tcPr>
          <w:p>
            <w:pPr>
              <w:jc w:val="right"/>
              <w:ind w:right="30"/>
              <w:spacing w:after="0"/>
              <w:rPr>
                <w:sz w:val="20"/>
                <w:szCs w:val="20"/>
                <w:color w:val="auto"/>
              </w:rPr>
            </w:pPr>
            <w:r>
              <w:rPr>
                <w:rFonts w:ascii="Arial" w:cs="Arial" w:eastAsia="Arial" w:hAnsi="Arial"/>
                <w:sz w:val="18"/>
                <w:szCs w:val="18"/>
                <w:color w:val="auto"/>
              </w:rPr>
              <w:t>135,113</w:t>
            </w:r>
          </w:p>
        </w:tc>
        <w:tc>
          <w:tcPr>
            <w:tcW w:w="1940" w:type="dxa"/>
            <w:vAlign w:val="bottom"/>
            <w:gridSpan w:val="2"/>
          </w:tcPr>
          <w:p>
            <w:pPr>
              <w:jc w:val="right"/>
              <w:ind w:right="50"/>
              <w:spacing w:after="0"/>
              <w:rPr>
                <w:sz w:val="20"/>
                <w:szCs w:val="20"/>
                <w:color w:val="auto"/>
              </w:rPr>
            </w:pPr>
            <w:r>
              <w:rPr>
                <w:rFonts w:ascii="Arial" w:cs="Arial" w:eastAsia="Arial" w:hAnsi="Arial"/>
                <w:sz w:val="18"/>
                <w:szCs w:val="18"/>
                <w:color w:val="auto"/>
              </w:rPr>
              <w:t>7,803,946</w:t>
            </w:r>
          </w:p>
        </w:tc>
        <w:tc>
          <w:tcPr>
            <w:tcW w:w="0" w:type="dxa"/>
            <w:vAlign w:val="bottom"/>
          </w:tcPr>
          <w:p>
            <w:pPr>
              <w:spacing w:after="0"/>
              <w:rPr>
                <w:sz w:val="1"/>
                <w:szCs w:val="1"/>
                <w:color w:val="auto"/>
              </w:rPr>
            </w:pPr>
          </w:p>
        </w:tc>
      </w:tr>
      <w:tr>
        <w:trPr>
          <w:trHeight w:val="230"/>
        </w:trPr>
        <w:tc>
          <w:tcPr>
            <w:tcW w:w="2680" w:type="dxa"/>
            <w:vAlign w:val="bottom"/>
            <w:shd w:val="clear" w:color="auto" w:fill="CFF0FC"/>
          </w:tcPr>
          <w:p>
            <w:pPr>
              <w:spacing w:after="0"/>
              <w:rPr>
                <w:sz w:val="20"/>
                <w:szCs w:val="20"/>
                <w:color w:val="auto"/>
              </w:rPr>
            </w:pPr>
            <w:r>
              <w:rPr>
                <w:rFonts w:ascii="Arial" w:cs="Arial" w:eastAsia="Arial" w:hAnsi="Arial"/>
                <w:sz w:val="18"/>
                <w:szCs w:val="18"/>
                <w:color w:val="auto"/>
              </w:rPr>
              <w:t>September 1 - 30, 2019</w:t>
            </w:r>
          </w:p>
        </w:tc>
        <w:tc>
          <w:tcPr>
            <w:tcW w:w="278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474,534</w:t>
            </w:r>
          </w:p>
        </w:tc>
        <w:tc>
          <w:tcPr>
            <w:tcW w:w="4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84.29</w:t>
            </w:r>
          </w:p>
        </w:tc>
        <w:tc>
          <w:tcPr>
            <w:tcW w:w="160" w:type="dxa"/>
            <w:vAlign w:val="bottom"/>
            <w:shd w:val="clear" w:color="auto" w:fill="CFF0FC"/>
          </w:tcPr>
          <w:p>
            <w:pPr>
              <w:spacing w:after="0"/>
              <w:rPr>
                <w:sz w:val="19"/>
                <w:szCs w:val="19"/>
                <w:color w:val="auto"/>
              </w:rPr>
            </w:pPr>
          </w:p>
        </w:tc>
        <w:tc>
          <w:tcPr>
            <w:tcW w:w="17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474,534</w:t>
            </w:r>
          </w:p>
        </w:tc>
        <w:tc>
          <w:tcPr>
            <w:tcW w:w="194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7,329,412</w:t>
            </w:r>
          </w:p>
        </w:tc>
        <w:tc>
          <w:tcPr>
            <w:tcW w:w="0" w:type="dxa"/>
            <w:vAlign w:val="bottom"/>
          </w:tcPr>
          <w:p>
            <w:pPr>
              <w:spacing w:after="0"/>
              <w:rPr>
                <w:sz w:val="1"/>
                <w:szCs w:val="1"/>
                <w:color w:val="auto"/>
              </w:rPr>
            </w:pPr>
          </w:p>
        </w:tc>
      </w:tr>
      <w:tr>
        <w:trPr>
          <w:trHeight w:val="223"/>
        </w:trPr>
        <w:tc>
          <w:tcPr>
            <w:tcW w:w="2680" w:type="dxa"/>
            <w:vAlign w:val="bottom"/>
          </w:tcPr>
          <w:p>
            <w:pPr>
              <w:ind w:left="140"/>
              <w:spacing w:after="0"/>
              <w:rPr>
                <w:sz w:val="20"/>
                <w:szCs w:val="20"/>
                <w:color w:val="auto"/>
              </w:rPr>
            </w:pPr>
            <w:r>
              <w:rPr>
                <w:rFonts w:ascii="Arial" w:cs="Arial" w:eastAsia="Arial" w:hAnsi="Arial"/>
                <w:sz w:val="18"/>
                <w:szCs w:val="18"/>
                <w:color w:val="auto"/>
              </w:rPr>
              <w:t>Total</w:t>
            </w:r>
          </w:p>
        </w:tc>
        <w:tc>
          <w:tcPr>
            <w:tcW w:w="1000" w:type="dxa"/>
            <w:vAlign w:val="bottom"/>
          </w:tcPr>
          <w:p>
            <w:pPr>
              <w:spacing w:after="0"/>
              <w:rPr>
                <w:sz w:val="19"/>
                <w:szCs w:val="19"/>
                <w:color w:val="auto"/>
              </w:rPr>
            </w:pPr>
          </w:p>
        </w:tc>
        <w:tc>
          <w:tcPr>
            <w:tcW w:w="17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609,647</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83.65</w:t>
            </w:r>
          </w:p>
        </w:tc>
        <w:tc>
          <w:tcPr>
            <w:tcW w:w="160" w:type="dxa"/>
            <w:vAlign w:val="bottom"/>
          </w:tcPr>
          <w:p>
            <w:pPr>
              <w:spacing w:after="0"/>
              <w:rPr>
                <w:sz w:val="19"/>
                <w:szCs w:val="19"/>
                <w:color w:val="auto"/>
              </w:rPr>
            </w:pPr>
          </w:p>
        </w:tc>
        <w:tc>
          <w:tcPr>
            <w:tcW w:w="17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609,647</w:t>
            </w:r>
          </w:p>
        </w:tc>
        <w:tc>
          <w:tcPr>
            <w:tcW w:w="1940" w:type="dxa"/>
            <w:vAlign w:val="bottom"/>
            <w:gridSpan w:val="2"/>
          </w:tcPr>
          <w:p>
            <w:pPr>
              <w:jc w:val="right"/>
              <w:ind w:right="50"/>
              <w:spacing w:after="0"/>
              <w:rPr>
                <w:sz w:val="20"/>
                <w:szCs w:val="20"/>
                <w:color w:val="auto"/>
              </w:rPr>
            </w:pPr>
            <w:r>
              <w:rPr>
                <w:rFonts w:ascii="Arial" w:cs="Arial" w:eastAsia="Arial" w:hAnsi="Arial"/>
                <w:sz w:val="18"/>
                <w:szCs w:val="18"/>
                <w:color w:val="auto"/>
              </w:rPr>
              <w:t>7,329,412</w:t>
            </w:r>
          </w:p>
        </w:tc>
        <w:tc>
          <w:tcPr>
            <w:tcW w:w="0" w:type="dxa"/>
            <w:vAlign w:val="bottom"/>
          </w:tcPr>
          <w:p>
            <w:pPr>
              <w:spacing w:after="0"/>
              <w:rPr>
                <w:sz w:val="1"/>
                <w:szCs w:val="1"/>
                <w:color w:val="auto"/>
              </w:rPr>
            </w:pPr>
          </w:p>
        </w:tc>
      </w:tr>
      <w:tr>
        <w:trPr>
          <w:trHeight w:val="20"/>
        </w:trPr>
        <w:tc>
          <w:tcPr>
            <w:tcW w:w="2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5 – Other Information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Audit Committee Approval of Audit-Related and Non-Audit Services</w:t>
      </w:r>
    </w:p>
    <w:p>
      <w:pPr>
        <w:spacing w:after="0" w:line="19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Audit Committee of our Board of Directors has approved the following audit-related and non-audit services performed or to be performed for us by our independent registered public accounting firm, Deloitte &amp; Touche LLP and affiliates, to date in 2019:</w:t>
      </w:r>
    </w:p>
    <w:p>
      <w:pPr>
        <w:spacing w:after="0" w:line="130" w:lineRule="exact"/>
        <w:rPr>
          <w:sz w:val="20"/>
          <w:szCs w:val="20"/>
          <w:color w:val="auto"/>
        </w:rPr>
      </w:pPr>
    </w:p>
    <w:p>
      <w:pPr>
        <w:ind w:left="480" w:right="180" w:hanging="472"/>
        <w:spacing w:after="0" w:line="277" w:lineRule="auto"/>
        <w:tabs>
          <w:tab w:leader="none" w:pos="4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preparation and/or review of tax returns, including sales and use tax, excise tax, income tax, local tax, property tax, and value-added tax, consultation regarding appropriate handling of items on the United States and international tax returns;</w:t>
      </w:r>
    </w:p>
    <w:p>
      <w:pPr>
        <w:spacing w:after="0" w:line="129" w:lineRule="exact"/>
        <w:rPr>
          <w:rFonts w:ascii="Arial" w:cs="Arial" w:eastAsia="Arial" w:hAnsi="Arial"/>
          <w:sz w:val="18"/>
          <w:szCs w:val="18"/>
          <w:color w:val="auto"/>
        </w:rPr>
      </w:pPr>
    </w:p>
    <w:p>
      <w:pPr>
        <w:ind w:left="480" w:right="400" w:hanging="472"/>
        <w:spacing w:after="0" w:line="277" w:lineRule="auto"/>
        <w:tabs>
          <w:tab w:leader="none" w:pos="4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advice and assistance with respect to transfer pricing matters, as well as communicating with various taxing authorities regarding the requirements associated with royalties and inter-company pricing, and tax audits;</w:t>
      </w:r>
    </w:p>
    <w:p>
      <w:pPr>
        <w:spacing w:after="0" w:line="129" w:lineRule="exact"/>
        <w:rPr>
          <w:rFonts w:ascii="Arial" w:cs="Arial" w:eastAsia="Arial" w:hAnsi="Arial"/>
          <w:sz w:val="18"/>
          <w:szCs w:val="18"/>
          <w:color w:val="auto"/>
        </w:rPr>
      </w:pPr>
    </w:p>
    <w:p>
      <w:pPr>
        <w:ind w:left="480" w:hanging="472"/>
        <w:spacing w:after="0"/>
        <w:tabs>
          <w:tab w:leader="none" w:pos="4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audit services with respect to certain procedures and certifications where required; and</w:t>
      </w:r>
    </w:p>
    <w:p>
      <w:pPr>
        <w:spacing w:after="0" w:line="184" w:lineRule="exact"/>
        <w:rPr>
          <w:rFonts w:ascii="Arial" w:cs="Arial" w:eastAsia="Arial" w:hAnsi="Arial"/>
          <w:sz w:val="18"/>
          <w:szCs w:val="18"/>
          <w:color w:val="auto"/>
        </w:rPr>
      </w:pPr>
    </w:p>
    <w:p>
      <w:pPr>
        <w:ind w:left="480" w:hanging="472"/>
        <w:spacing w:after="0"/>
        <w:tabs>
          <w:tab w:leader="none" w:pos="4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other services consisting of market research to benchmark certain aspects of our business.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u w:val="single" w:color="auto"/>
          <w:color w:val="auto"/>
        </w:rPr>
        <w:t>Item 6 – Exhibits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60" w:type="dxa"/>
            <w:vAlign w:val="bottom"/>
          </w:tcPr>
          <w:p>
            <w:pPr>
              <w:spacing w:after="0"/>
              <w:rPr>
                <w:sz w:val="20"/>
                <w:szCs w:val="20"/>
                <w:color w:val="auto"/>
              </w:rPr>
            </w:pPr>
            <w:r>
              <w:rPr>
                <w:rFonts w:ascii="Arial" w:cs="Arial" w:eastAsia="Arial" w:hAnsi="Arial"/>
                <w:sz w:val="20"/>
                <w:szCs w:val="20"/>
                <w:color w:val="auto"/>
              </w:rPr>
              <w:t>31.1</w:t>
            </w:r>
          </w:p>
        </w:tc>
        <w:tc>
          <w:tcPr>
            <w:tcW w:w="9960" w:type="dxa"/>
            <w:vAlign w:val="bottom"/>
            <w:tcBorders>
              <w:bottom w:val="single" w:sz="8" w:color="0000EE"/>
            </w:tcBorders>
            <w:gridSpan w:val="5"/>
          </w:tcPr>
          <w:p>
            <w:pPr>
              <w:spacing w:after="0"/>
              <w:rPr>
                <w:rFonts w:ascii="Arial" w:cs="Arial" w:eastAsia="Arial" w:hAnsi="Arial"/>
                <w:sz w:val="20"/>
                <w:szCs w:val="20"/>
                <w:color w:val="0000EE"/>
                <w:w w:val="90"/>
              </w:rPr>
            </w:pPr>
            <w:hyperlink w:anchor="page46">
              <w:r>
                <w:rPr>
                  <w:rFonts w:ascii="Arial" w:cs="Arial" w:eastAsia="Arial" w:hAnsi="Arial"/>
                  <w:sz w:val="20"/>
                  <w:szCs w:val="20"/>
                  <w:color w:val="0000EE"/>
                  <w:w w:val="90"/>
                </w:rPr>
                <w:t>Certification of Jonas Prising, Chief Executive Officer, pursuant to Section 13a-14(a) of the Securities Exchange Act of 1934.</w:t>
              </w:r>
            </w:hyperlink>
          </w:p>
        </w:tc>
        <w:tc>
          <w:tcPr>
            <w:tcW w:w="60" w:type="dxa"/>
            <w:vAlign w:val="bottom"/>
          </w:tcPr>
          <w:p>
            <w:pPr>
              <w:spacing w:after="0"/>
              <w:rPr>
                <w:sz w:val="19"/>
                <w:szCs w:val="19"/>
                <w:color w:val="auto"/>
              </w:rPr>
            </w:pPr>
          </w:p>
        </w:tc>
      </w:tr>
      <w:tr>
        <w:trPr>
          <w:trHeight w:val="439"/>
        </w:trPr>
        <w:tc>
          <w:tcPr>
            <w:tcW w:w="1160" w:type="dxa"/>
            <w:vAlign w:val="bottom"/>
          </w:tcPr>
          <w:p>
            <w:pPr>
              <w:spacing w:after="0"/>
              <w:rPr>
                <w:sz w:val="20"/>
                <w:szCs w:val="20"/>
                <w:color w:val="auto"/>
              </w:rPr>
            </w:pPr>
            <w:r>
              <w:rPr>
                <w:rFonts w:ascii="Arial" w:cs="Arial" w:eastAsia="Arial" w:hAnsi="Arial"/>
                <w:sz w:val="20"/>
                <w:szCs w:val="20"/>
                <w:color w:val="auto"/>
              </w:rPr>
              <w:t>31.2</w:t>
            </w:r>
          </w:p>
        </w:tc>
        <w:tc>
          <w:tcPr>
            <w:tcW w:w="9940" w:type="dxa"/>
            <w:vAlign w:val="bottom"/>
            <w:tcBorders>
              <w:bottom w:val="single" w:sz="8" w:color="0000EE"/>
            </w:tcBorders>
            <w:gridSpan w:val="4"/>
          </w:tcPr>
          <w:p>
            <w:pPr>
              <w:spacing w:after="0"/>
              <w:rPr>
                <w:rFonts w:ascii="Arial" w:cs="Arial" w:eastAsia="Arial" w:hAnsi="Arial"/>
                <w:sz w:val="20"/>
                <w:szCs w:val="20"/>
                <w:color w:val="0000EE"/>
                <w:w w:val="90"/>
              </w:rPr>
            </w:pPr>
            <w:hyperlink w:anchor="page47">
              <w:r>
                <w:rPr>
                  <w:rFonts w:ascii="Arial" w:cs="Arial" w:eastAsia="Arial" w:hAnsi="Arial"/>
                  <w:sz w:val="20"/>
                  <w:szCs w:val="20"/>
                  <w:color w:val="0000EE"/>
                  <w:w w:val="90"/>
                </w:rPr>
                <w:t>Certification of John T. McGinnis, Executive Vice President and Chief Financial Officer, pursuant to Section 13a-14(a) of the</w:t>
              </w:r>
            </w:hyperlink>
          </w:p>
        </w:tc>
        <w:tc>
          <w:tcPr>
            <w:tcW w:w="80" w:type="dxa"/>
            <w:vAlign w:val="bottom"/>
            <w:gridSpan w:val="2"/>
          </w:tcPr>
          <w:p>
            <w:pPr>
              <w:spacing w:after="0"/>
              <w:rPr>
                <w:sz w:val="24"/>
                <w:szCs w:val="24"/>
                <w:color w:val="auto"/>
              </w:rPr>
            </w:pPr>
          </w:p>
        </w:tc>
      </w:tr>
      <w:tr>
        <w:trPr>
          <w:trHeight w:val="210"/>
        </w:trPr>
        <w:tc>
          <w:tcPr>
            <w:tcW w:w="1160" w:type="dxa"/>
            <w:vAlign w:val="bottom"/>
          </w:tcPr>
          <w:p>
            <w:pPr>
              <w:spacing w:after="0"/>
              <w:rPr>
                <w:sz w:val="18"/>
                <w:szCs w:val="18"/>
                <w:color w:val="auto"/>
              </w:rPr>
            </w:pPr>
          </w:p>
        </w:tc>
        <w:tc>
          <w:tcPr>
            <w:tcW w:w="2660" w:type="dxa"/>
            <w:vAlign w:val="bottom"/>
            <w:tcBorders>
              <w:bottom w:val="single" w:sz="8" w:color="0000EE"/>
            </w:tcBorders>
          </w:tcPr>
          <w:p>
            <w:pPr>
              <w:spacing w:after="0" w:line="209" w:lineRule="exact"/>
              <w:rPr>
                <w:rFonts w:ascii="Arial" w:cs="Arial" w:eastAsia="Arial" w:hAnsi="Arial"/>
                <w:sz w:val="20"/>
                <w:szCs w:val="20"/>
                <w:color w:val="0000EE"/>
                <w:w w:val="89"/>
              </w:rPr>
            </w:pPr>
            <w:hyperlink w:anchor="page47">
              <w:r>
                <w:rPr>
                  <w:rFonts w:ascii="Arial" w:cs="Arial" w:eastAsia="Arial" w:hAnsi="Arial"/>
                  <w:sz w:val="20"/>
                  <w:szCs w:val="20"/>
                  <w:color w:val="0000EE"/>
                  <w:w w:val="89"/>
                </w:rPr>
                <w:t>Securities Exchange Act of 1934.</w:t>
              </w:r>
            </w:hyperlink>
          </w:p>
        </w:tc>
        <w:tc>
          <w:tcPr>
            <w:tcW w:w="7360" w:type="dxa"/>
            <w:vAlign w:val="bottom"/>
            <w:gridSpan w:val="5"/>
          </w:tcPr>
          <w:p>
            <w:pPr>
              <w:spacing w:after="0"/>
              <w:rPr>
                <w:sz w:val="18"/>
                <w:szCs w:val="18"/>
                <w:color w:val="auto"/>
              </w:rPr>
            </w:pPr>
          </w:p>
        </w:tc>
      </w:tr>
      <w:tr>
        <w:trPr>
          <w:trHeight w:val="439"/>
        </w:trPr>
        <w:tc>
          <w:tcPr>
            <w:tcW w:w="1160" w:type="dxa"/>
            <w:vAlign w:val="bottom"/>
          </w:tcPr>
          <w:p>
            <w:pPr>
              <w:spacing w:after="0"/>
              <w:rPr>
                <w:sz w:val="20"/>
                <w:szCs w:val="20"/>
                <w:color w:val="auto"/>
              </w:rPr>
            </w:pPr>
            <w:r>
              <w:rPr>
                <w:rFonts w:ascii="Arial" w:cs="Arial" w:eastAsia="Arial" w:hAnsi="Arial"/>
                <w:sz w:val="20"/>
                <w:szCs w:val="20"/>
                <w:color w:val="auto"/>
              </w:rPr>
              <w:t>32.1</w:t>
            </w:r>
          </w:p>
        </w:tc>
        <w:tc>
          <w:tcPr>
            <w:tcW w:w="6660" w:type="dxa"/>
            <w:vAlign w:val="bottom"/>
            <w:tcBorders>
              <w:bottom w:val="single" w:sz="8" w:color="0000EE"/>
            </w:tcBorders>
            <w:gridSpan w:val="2"/>
          </w:tcPr>
          <w:p>
            <w:pPr>
              <w:spacing w:after="0"/>
              <w:rPr>
                <w:rFonts w:ascii="Arial" w:cs="Arial" w:eastAsia="Arial" w:hAnsi="Arial"/>
                <w:sz w:val="20"/>
                <w:szCs w:val="20"/>
                <w:color w:val="0000EE"/>
                <w:w w:val="89"/>
              </w:rPr>
            </w:pPr>
            <w:hyperlink w:anchor="page48">
              <w:r>
                <w:rPr>
                  <w:rFonts w:ascii="Arial" w:cs="Arial" w:eastAsia="Arial" w:hAnsi="Arial"/>
                  <w:sz w:val="20"/>
                  <w:szCs w:val="20"/>
                  <w:color w:val="0000EE"/>
                  <w:w w:val="89"/>
                </w:rPr>
                <w:t>Statement of Jonas Prising, Chief Executive Officer, pursuant to 18 U.S.C. ss. 1350.</w:t>
              </w:r>
            </w:hyperlink>
          </w:p>
        </w:tc>
        <w:tc>
          <w:tcPr>
            <w:tcW w:w="3360" w:type="dxa"/>
            <w:vAlign w:val="bottom"/>
            <w:gridSpan w:val="4"/>
          </w:tcPr>
          <w:p>
            <w:pPr>
              <w:spacing w:after="0"/>
              <w:rPr>
                <w:sz w:val="24"/>
                <w:szCs w:val="24"/>
                <w:color w:val="auto"/>
              </w:rPr>
            </w:pPr>
          </w:p>
        </w:tc>
      </w:tr>
      <w:tr>
        <w:trPr>
          <w:trHeight w:val="439"/>
        </w:trPr>
        <w:tc>
          <w:tcPr>
            <w:tcW w:w="1160" w:type="dxa"/>
            <w:vAlign w:val="bottom"/>
          </w:tcPr>
          <w:p>
            <w:pPr>
              <w:spacing w:after="0"/>
              <w:rPr>
                <w:sz w:val="20"/>
                <w:szCs w:val="20"/>
                <w:color w:val="auto"/>
              </w:rPr>
            </w:pPr>
            <w:r>
              <w:rPr>
                <w:rFonts w:ascii="Arial" w:cs="Arial" w:eastAsia="Arial" w:hAnsi="Arial"/>
                <w:sz w:val="20"/>
                <w:szCs w:val="20"/>
                <w:color w:val="auto"/>
              </w:rPr>
              <w:t>32.2</w:t>
            </w:r>
          </w:p>
        </w:tc>
        <w:tc>
          <w:tcPr>
            <w:tcW w:w="10020" w:type="dxa"/>
            <w:vAlign w:val="bottom"/>
            <w:gridSpan w:val="6"/>
          </w:tcPr>
          <w:p>
            <w:pPr>
              <w:spacing w:after="0"/>
              <w:rPr>
                <w:rFonts w:ascii="Arial" w:cs="Arial" w:eastAsia="Arial" w:hAnsi="Arial"/>
                <w:sz w:val="20"/>
                <w:szCs w:val="20"/>
                <w:color w:val="0000EE"/>
                <w:w w:val="96"/>
              </w:rPr>
            </w:pPr>
            <w:hyperlink w:anchor="page49">
              <w:r>
                <w:rPr>
                  <w:rFonts w:ascii="Arial" w:cs="Arial" w:eastAsia="Arial" w:hAnsi="Arial"/>
                  <w:sz w:val="20"/>
                  <w:szCs w:val="20"/>
                  <w:color w:val="0000EE"/>
                  <w:w w:val="96"/>
                </w:rPr>
                <w:t>Statement of John T. McGinnis, Executive Vice President and Chief Financial Officer, pursuant to 18 U.S.C. ss. 1350.</w:t>
              </w:r>
            </w:hyperlink>
          </w:p>
        </w:tc>
      </w:tr>
      <w:tr>
        <w:trPr>
          <w:trHeight w:val="20"/>
        </w:trPr>
        <w:tc>
          <w:tcPr>
            <w:tcW w:w="1160" w:type="dxa"/>
            <w:vAlign w:val="bottom"/>
          </w:tcPr>
          <w:p>
            <w:pPr>
              <w:spacing w:after="0" w:line="20" w:lineRule="exact"/>
              <w:rPr>
                <w:sz w:val="1"/>
                <w:szCs w:val="1"/>
                <w:color w:val="auto"/>
              </w:rPr>
            </w:pPr>
          </w:p>
        </w:tc>
        <w:tc>
          <w:tcPr>
            <w:tcW w:w="9340" w:type="dxa"/>
            <w:vAlign w:val="bottom"/>
            <w:gridSpan w:val="3"/>
            <w:shd w:val="clear" w:color="auto" w:fill="0000EE"/>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r>
      <w:tr>
        <w:trPr>
          <w:trHeight w:val="438"/>
        </w:trPr>
        <w:tc>
          <w:tcPr>
            <w:tcW w:w="1160" w:type="dxa"/>
            <w:vAlign w:val="bottom"/>
          </w:tcPr>
          <w:p>
            <w:pPr>
              <w:spacing w:after="0"/>
              <w:rPr>
                <w:sz w:val="20"/>
                <w:szCs w:val="20"/>
                <w:color w:val="auto"/>
              </w:rPr>
            </w:pPr>
            <w:r>
              <w:rPr>
                <w:rFonts w:ascii="Arial" w:cs="Arial" w:eastAsia="Arial" w:hAnsi="Arial"/>
                <w:sz w:val="18"/>
                <w:szCs w:val="18"/>
                <w:color w:val="auto"/>
              </w:rPr>
              <w:t>101.INS</w:t>
            </w:r>
          </w:p>
        </w:tc>
        <w:tc>
          <w:tcPr>
            <w:tcW w:w="10020" w:type="dxa"/>
            <w:vAlign w:val="bottom"/>
            <w:gridSpan w:val="6"/>
          </w:tcPr>
          <w:p>
            <w:pPr>
              <w:spacing w:after="0"/>
              <w:rPr>
                <w:sz w:val="20"/>
                <w:szCs w:val="20"/>
                <w:color w:val="auto"/>
              </w:rPr>
            </w:pPr>
            <w:r>
              <w:rPr>
                <w:rFonts w:ascii="Arial" w:cs="Arial" w:eastAsia="Arial" w:hAnsi="Arial"/>
                <w:sz w:val="18"/>
                <w:szCs w:val="18"/>
                <w:color w:val="auto"/>
                <w:w w:val="90"/>
              </w:rPr>
              <w:t xml:space="preserve">Inline </w:t>
            </w:r>
            <w:r>
              <w:rPr>
                <w:rFonts w:ascii="Arial" w:cs="Arial" w:eastAsia="Arial" w:hAnsi="Arial"/>
                <w:sz w:val="18"/>
                <w:szCs w:val="18"/>
                <w:color w:val="212529"/>
                <w:w w:val="90"/>
              </w:rPr>
              <w:t>XBRL Instance Document</w:t>
            </w:r>
            <w:r>
              <w:rPr>
                <w:rFonts w:ascii="Arial" w:cs="Arial" w:eastAsia="Arial" w:hAnsi="Arial"/>
                <w:sz w:val="18"/>
                <w:szCs w:val="18"/>
                <w:color w:val="auto"/>
                <w:w w:val="90"/>
              </w:rPr>
              <w:t xml:space="preserve"> - the instance document does not appear in the Interactive Data File because its XBRL tags are embedded</w:t>
            </w:r>
          </w:p>
        </w:tc>
      </w:tr>
      <w:tr>
        <w:trPr>
          <w:trHeight w:val="230"/>
        </w:trPr>
        <w:tc>
          <w:tcPr>
            <w:tcW w:w="1160" w:type="dxa"/>
            <w:vAlign w:val="bottom"/>
          </w:tcPr>
          <w:p>
            <w:pPr>
              <w:spacing w:after="0"/>
              <w:rPr>
                <w:sz w:val="20"/>
                <w:szCs w:val="20"/>
                <w:color w:val="auto"/>
              </w:rPr>
            </w:pPr>
          </w:p>
        </w:tc>
        <w:tc>
          <w:tcPr>
            <w:tcW w:w="10020" w:type="dxa"/>
            <w:vAlign w:val="bottom"/>
            <w:gridSpan w:val="6"/>
          </w:tcPr>
          <w:p>
            <w:pPr>
              <w:spacing w:after="0"/>
              <w:rPr>
                <w:sz w:val="20"/>
                <w:szCs w:val="20"/>
                <w:color w:val="auto"/>
              </w:rPr>
            </w:pPr>
            <w:r>
              <w:rPr>
                <w:rFonts w:ascii="Arial" w:cs="Arial" w:eastAsia="Arial" w:hAnsi="Arial"/>
                <w:sz w:val="18"/>
                <w:szCs w:val="18"/>
                <w:color w:val="auto"/>
              </w:rPr>
              <w:t>within the Inline XBRL document.</w:t>
            </w:r>
          </w:p>
        </w:tc>
      </w:tr>
      <w:tr>
        <w:trPr>
          <w:trHeight w:val="446"/>
        </w:trPr>
        <w:tc>
          <w:tcPr>
            <w:tcW w:w="1160" w:type="dxa"/>
            <w:vAlign w:val="bottom"/>
          </w:tcPr>
          <w:p>
            <w:pPr>
              <w:spacing w:after="0"/>
              <w:rPr>
                <w:sz w:val="20"/>
                <w:szCs w:val="20"/>
                <w:color w:val="auto"/>
              </w:rPr>
            </w:pPr>
            <w:r>
              <w:rPr>
                <w:rFonts w:ascii="Arial" w:cs="Arial" w:eastAsia="Arial" w:hAnsi="Arial"/>
                <w:sz w:val="18"/>
                <w:szCs w:val="18"/>
                <w:color w:val="auto"/>
              </w:rPr>
              <w:t>101.SCH</w:t>
            </w:r>
          </w:p>
        </w:tc>
        <w:tc>
          <w:tcPr>
            <w:tcW w:w="10020" w:type="dxa"/>
            <w:vAlign w:val="bottom"/>
            <w:gridSpan w:val="6"/>
          </w:tcPr>
          <w:p>
            <w:pPr>
              <w:spacing w:after="0"/>
              <w:rPr>
                <w:sz w:val="20"/>
                <w:szCs w:val="20"/>
                <w:color w:val="auto"/>
              </w:rPr>
            </w:pPr>
            <w:r>
              <w:rPr>
                <w:rFonts w:ascii="Arial" w:cs="Arial" w:eastAsia="Arial" w:hAnsi="Arial"/>
                <w:sz w:val="18"/>
                <w:szCs w:val="18"/>
                <w:color w:val="212529"/>
              </w:rPr>
              <w:t>Inline XBRL Taxonomy Extension Schema Document</w:t>
            </w:r>
          </w:p>
        </w:tc>
      </w:tr>
      <w:tr>
        <w:trPr>
          <w:trHeight w:val="459"/>
        </w:trPr>
        <w:tc>
          <w:tcPr>
            <w:tcW w:w="1160" w:type="dxa"/>
            <w:vAlign w:val="bottom"/>
          </w:tcPr>
          <w:p>
            <w:pPr>
              <w:spacing w:after="0"/>
              <w:rPr>
                <w:sz w:val="20"/>
                <w:szCs w:val="20"/>
                <w:color w:val="auto"/>
              </w:rPr>
            </w:pPr>
            <w:r>
              <w:rPr>
                <w:rFonts w:ascii="Arial" w:cs="Arial" w:eastAsia="Arial" w:hAnsi="Arial"/>
                <w:sz w:val="18"/>
                <w:szCs w:val="18"/>
                <w:color w:val="auto"/>
              </w:rPr>
              <w:t>101.CAL</w:t>
            </w:r>
          </w:p>
        </w:tc>
        <w:tc>
          <w:tcPr>
            <w:tcW w:w="10020" w:type="dxa"/>
            <w:vAlign w:val="bottom"/>
            <w:gridSpan w:val="6"/>
          </w:tcPr>
          <w:p>
            <w:pPr>
              <w:spacing w:after="0"/>
              <w:rPr>
                <w:sz w:val="20"/>
                <w:szCs w:val="20"/>
                <w:color w:val="auto"/>
              </w:rPr>
            </w:pPr>
            <w:r>
              <w:rPr>
                <w:rFonts w:ascii="Arial" w:cs="Arial" w:eastAsia="Arial" w:hAnsi="Arial"/>
                <w:sz w:val="18"/>
                <w:szCs w:val="18"/>
                <w:color w:val="auto"/>
              </w:rPr>
              <w:t xml:space="preserve">Inline </w:t>
            </w:r>
            <w:r>
              <w:rPr>
                <w:rFonts w:ascii="Arial" w:cs="Arial" w:eastAsia="Arial" w:hAnsi="Arial"/>
                <w:sz w:val="18"/>
                <w:szCs w:val="18"/>
                <w:color w:val="212529"/>
              </w:rPr>
              <w:t>XBRL Taxonomy Extension Calculation Linkbase Document</w:t>
            </w:r>
          </w:p>
        </w:tc>
      </w:tr>
      <w:tr>
        <w:trPr>
          <w:trHeight w:val="459"/>
        </w:trPr>
        <w:tc>
          <w:tcPr>
            <w:tcW w:w="1160" w:type="dxa"/>
            <w:vAlign w:val="bottom"/>
          </w:tcPr>
          <w:p>
            <w:pPr>
              <w:spacing w:after="0"/>
              <w:rPr>
                <w:sz w:val="20"/>
                <w:szCs w:val="20"/>
                <w:color w:val="auto"/>
              </w:rPr>
            </w:pPr>
            <w:r>
              <w:rPr>
                <w:rFonts w:ascii="Arial" w:cs="Arial" w:eastAsia="Arial" w:hAnsi="Arial"/>
                <w:sz w:val="18"/>
                <w:szCs w:val="18"/>
                <w:color w:val="auto"/>
              </w:rPr>
              <w:t>101.DEF</w:t>
            </w:r>
          </w:p>
        </w:tc>
        <w:tc>
          <w:tcPr>
            <w:tcW w:w="10020" w:type="dxa"/>
            <w:vAlign w:val="bottom"/>
            <w:gridSpan w:val="6"/>
          </w:tcPr>
          <w:p>
            <w:pPr>
              <w:spacing w:after="0"/>
              <w:rPr>
                <w:sz w:val="20"/>
                <w:szCs w:val="20"/>
                <w:color w:val="auto"/>
              </w:rPr>
            </w:pPr>
            <w:r>
              <w:rPr>
                <w:rFonts w:ascii="Arial" w:cs="Arial" w:eastAsia="Arial" w:hAnsi="Arial"/>
                <w:sz w:val="18"/>
                <w:szCs w:val="18"/>
                <w:color w:val="auto"/>
              </w:rPr>
              <w:t xml:space="preserve">Inline </w:t>
            </w:r>
            <w:r>
              <w:rPr>
                <w:rFonts w:ascii="Arial" w:cs="Arial" w:eastAsia="Arial" w:hAnsi="Arial"/>
                <w:sz w:val="18"/>
                <w:szCs w:val="18"/>
                <w:color w:val="212529"/>
              </w:rPr>
              <w:t>XBRL Taxonomy Extension Definition Linkbase Document</w:t>
            </w:r>
          </w:p>
        </w:tc>
      </w:tr>
      <w:tr>
        <w:trPr>
          <w:trHeight w:val="459"/>
        </w:trPr>
        <w:tc>
          <w:tcPr>
            <w:tcW w:w="1160" w:type="dxa"/>
            <w:vAlign w:val="bottom"/>
          </w:tcPr>
          <w:p>
            <w:pPr>
              <w:spacing w:after="0"/>
              <w:rPr>
                <w:sz w:val="20"/>
                <w:szCs w:val="20"/>
                <w:color w:val="auto"/>
              </w:rPr>
            </w:pPr>
            <w:r>
              <w:rPr>
                <w:rFonts w:ascii="Arial" w:cs="Arial" w:eastAsia="Arial" w:hAnsi="Arial"/>
                <w:sz w:val="18"/>
                <w:szCs w:val="18"/>
                <w:color w:val="auto"/>
              </w:rPr>
              <w:t>101.LAB</w:t>
            </w:r>
          </w:p>
        </w:tc>
        <w:tc>
          <w:tcPr>
            <w:tcW w:w="10020" w:type="dxa"/>
            <w:vAlign w:val="bottom"/>
            <w:gridSpan w:val="6"/>
          </w:tcPr>
          <w:p>
            <w:pPr>
              <w:spacing w:after="0"/>
              <w:rPr>
                <w:sz w:val="20"/>
                <w:szCs w:val="20"/>
                <w:color w:val="auto"/>
              </w:rPr>
            </w:pPr>
            <w:r>
              <w:rPr>
                <w:rFonts w:ascii="Arial" w:cs="Arial" w:eastAsia="Arial" w:hAnsi="Arial"/>
                <w:sz w:val="18"/>
                <w:szCs w:val="18"/>
                <w:color w:val="auto"/>
              </w:rPr>
              <w:t xml:space="preserve">Inline </w:t>
            </w:r>
            <w:r>
              <w:rPr>
                <w:rFonts w:ascii="Arial" w:cs="Arial" w:eastAsia="Arial" w:hAnsi="Arial"/>
                <w:sz w:val="18"/>
                <w:szCs w:val="18"/>
                <w:color w:val="212529"/>
              </w:rPr>
              <w:t>XBRL Taxonomy Extension Label Linkbase Document</w:t>
            </w:r>
          </w:p>
        </w:tc>
      </w:tr>
      <w:tr>
        <w:trPr>
          <w:trHeight w:val="459"/>
        </w:trPr>
        <w:tc>
          <w:tcPr>
            <w:tcW w:w="1160" w:type="dxa"/>
            <w:vAlign w:val="bottom"/>
          </w:tcPr>
          <w:p>
            <w:pPr>
              <w:spacing w:after="0"/>
              <w:rPr>
                <w:sz w:val="20"/>
                <w:szCs w:val="20"/>
                <w:color w:val="auto"/>
              </w:rPr>
            </w:pPr>
            <w:r>
              <w:rPr>
                <w:rFonts w:ascii="Arial" w:cs="Arial" w:eastAsia="Arial" w:hAnsi="Arial"/>
                <w:sz w:val="18"/>
                <w:szCs w:val="18"/>
                <w:color w:val="auto"/>
              </w:rPr>
              <w:t>101.PRE</w:t>
            </w:r>
          </w:p>
        </w:tc>
        <w:tc>
          <w:tcPr>
            <w:tcW w:w="10020" w:type="dxa"/>
            <w:vAlign w:val="bottom"/>
            <w:gridSpan w:val="6"/>
          </w:tcPr>
          <w:p>
            <w:pPr>
              <w:spacing w:after="0"/>
              <w:rPr>
                <w:sz w:val="20"/>
                <w:szCs w:val="20"/>
                <w:color w:val="auto"/>
              </w:rPr>
            </w:pPr>
            <w:r>
              <w:rPr>
                <w:rFonts w:ascii="Arial" w:cs="Arial" w:eastAsia="Arial" w:hAnsi="Arial"/>
                <w:sz w:val="18"/>
                <w:szCs w:val="18"/>
                <w:color w:val="auto"/>
              </w:rPr>
              <w:t xml:space="preserve">Inline </w:t>
            </w:r>
            <w:r>
              <w:rPr>
                <w:rFonts w:ascii="Arial" w:cs="Arial" w:eastAsia="Arial" w:hAnsi="Arial"/>
                <w:sz w:val="18"/>
                <w:szCs w:val="18"/>
                <w:color w:val="212529"/>
              </w:rPr>
              <w:t>XBRL Taxonomy Extension Presentation Linkbase Document</w:t>
            </w:r>
          </w:p>
        </w:tc>
      </w:tr>
    </w:tbl>
    <w:p>
      <w:pPr>
        <w:spacing w:after="0" w:line="229" w:lineRule="exact"/>
        <w:rPr>
          <w:sz w:val="20"/>
          <w:szCs w:val="20"/>
          <w:color w:val="auto"/>
        </w:rPr>
      </w:pPr>
    </w:p>
    <w:p>
      <w:pPr>
        <w:ind w:left="1160" w:hanging="1152"/>
        <w:spacing w:after="0" w:line="277" w:lineRule="auto"/>
        <w:tabs>
          <w:tab w:leader="none" w:pos="11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cover page from the Company’s Quarterly Report on Form 10-Q for the quarter ended September 30, 2019 has been formatted in Inline XBRL (Inline Extensible Business Reporting Language).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240"/>
          </w:cols>
          <w:pgMar w:left="240" w:top="341" w:right="419" w:bottom="1440" w:gutter="0" w:footer="0" w:header="0"/>
        </w:sectPr>
      </w:pPr>
    </w:p>
    <w:bookmarkStart w:id="44" w:name="page45"/>
    <w:bookmarkEnd w:id="44"/>
    <w:p>
      <w:pPr>
        <w:jc w:val="center"/>
        <w:ind w:right="-1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ManpowerGroup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2835275</wp:posOffset>
            </wp:positionH>
            <wp:positionV relativeFrom="paragraph">
              <wp:posOffset>31750</wp:posOffset>
            </wp:positionV>
            <wp:extent cx="162941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629410" cy="8890"/>
                    </a:xfrm>
                    <a:prstGeom prst="rect">
                      <a:avLst/>
                    </a:prstGeom>
                    <a:noFill/>
                  </pic:spPr>
                </pic:pic>
              </a:graphicData>
            </a:graphic>
          </wp:anchor>
        </w:drawing>
      </w:r>
    </w:p>
    <w:p>
      <w:pPr>
        <w:spacing w:after="0" w:line="70"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Date: November 1, 2019</w:t>
      </w:r>
    </w:p>
    <w:p>
      <w:pPr>
        <w:spacing w:after="0" w:line="225"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/s/ John T. McGinnis</w:t>
      </w:r>
    </w:p>
    <w:p>
      <w:pPr>
        <w:spacing w:after="0" w:line="23"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John T. McGinnis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1908810</wp:posOffset>
            </wp:positionH>
            <wp:positionV relativeFrom="paragraph">
              <wp:posOffset>-130810</wp:posOffset>
            </wp:positionV>
            <wp:extent cx="346456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464560" cy="8890"/>
                    </a:xfrm>
                    <a:prstGeom prst="rect">
                      <a:avLst/>
                    </a:prstGeom>
                    <a:noFill/>
                  </pic:spPr>
                </pic:pic>
              </a:graphicData>
            </a:graphic>
          </wp:anchor>
        </w:drawing>
      </w:r>
    </w:p>
    <w:p>
      <w:pPr>
        <w:spacing w:after="0" w:line="3"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Executive Vice President and Chief Financial Officer</w:t>
      </w:r>
    </w:p>
    <w:p>
      <w:pPr>
        <w:spacing w:after="0" w:line="9"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(Signing on behalf of the Registrant and as the Principal Financial</w:t>
      </w:r>
    </w:p>
    <w:p>
      <w:pPr>
        <w:spacing w:after="0" w:line="9"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Officer)</w:t>
      </w:r>
    </w:p>
    <w:p>
      <w:pPr>
        <w:spacing w:after="0" w:line="211"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/s/ Donald Mondano</w:t>
      </w:r>
    </w:p>
    <w:p>
      <w:pPr>
        <w:spacing w:after="0" w:line="23"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Donald Mondano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1908810</wp:posOffset>
            </wp:positionH>
            <wp:positionV relativeFrom="paragraph">
              <wp:posOffset>-130810</wp:posOffset>
            </wp:positionV>
            <wp:extent cx="346456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464560" cy="8890"/>
                    </a:xfrm>
                    <a:prstGeom prst="rect">
                      <a:avLst/>
                    </a:prstGeom>
                    <a:noFill/>
                  </pic:spPr>
                </pic:pic>
              </a:graphicData>
            </a:graphic>
          </wp:anchor>
        </w:drawing>
      </w:r>
    </w:p>
    <w:p>
      <w:pPr>
        <w:spacing w:after="0" w:line="3"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Senior Vice President, Global Controller and Treasurer (Principal</w:t>
      </w:r>
    </w:p>
    <w:p>
      <w:pPr>
        <w:spacing w:after="0" w:line="9"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Accounting Officer)</w:t>
      </w:r>
    </w:p>
    <w:p>
      <w:pPr>
        <w:spacing w:after="0" w:line="200" w:lineRule="exact"/>
        <w:rPr>
          <w:sz w:val="20"/>
          <w:szCs w:val="20"/>
          <w:color w:val="auto"/>
        </w:rPr>
      </w:pPr>
    </w:p>
    <w:p>
      <w:pPr>
        <w:spacing w:after="0" w:line="22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80"/>
          </w:cols>
          <w:pgMar w:left="240" w:top="337" w:right="37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CERTIFICATION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I, Jonas Prising, Chief Executive Officer of ManpowerGroup Inc., certify that:</w:t>
      </w:r>
    </w:p>
    <w:p>
      <w:pPr>
        <w:spacing w:after="0" w:line="198" w:lineRule="exact"/>
        <w:rPr>
          <w:sz w:val="20"/>
          <w:szCs w:val="20"/>
          <w:color w:val="auto"/>
        </w:rPr>
      </w:pPr>
    </w:p>
    <w:p>
      <w:pPr>
        <w:ind w:left="400" w:hanging="392"/>
        <w:spacing w:after="0"/>
        <w:tabs>
          <w:tab w:leader="none" w:pos="4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ManpowerGroup Inc.;</w:t>
      </w:r>
    </w:p>
    <w:p>
      <w:pPr>
        <w:spacing w:after="0" w:line="184" w:lineRule="exact"/>
        <w:rPr>
          <w:rFonts w:ascii="Arial" w:cs="Arial" w:eastAsia="Arial" w:hAnsi="Arial"/>
          <w:sz w:val="18"/>
          <w:szCs w:val="18"/>
          <w:color w:val="auto"/>
        </w:rPr>
      </w:pPr>
    </w:p>
    <w:p>
      <w:pPr>
        <w:ind w:left="400" w:right="40" w:hanging="392"/>
        <w:spacing w:after="0" w:line="342" w:lineRule="auto"/>
        <w:tabs>
          <w:tab w:leader="none" w:pos="4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3" w:lineRule="exact"/>
        <w:rPr>
          <w:rFonts w:ascii="Arial" w:cs="Arial" w:eastAsia="Arial" w:hAnsi="Arial"/>
          <w:sz w:val="16"/>
          <w:szCs w:val="16"/>
          <w:color w:val="auto"/>
        </w:rPr>
      </w:pPr>
    </w:p>
    <w:p>
      <w:pPr>
        <w:ind w:left="400" w:right="520" w:hanging="392"/>
        <w:spacing w:after="0" w:line="308" w:lineRule="auto"/>
        <w:tabs>
          <w:tab w:leader="none" w:pos="4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6" w:lineRule="exact"/>
        <w:rPr>
          <w:rFonts w:ascii="Arial" w:cs="Arial" w:eastAsia="Arial" w:hAnsi="Arial"/>
          <w:sz w:val="17"/>
          <w:szCs w:val="17"/>
          <w:color w:val="auto"/>
        </w:rPr>
      </w:pPr>
    </w:p>
    <w:p>
      <w:pPr>
        <w:ind w:left="400" w:right="120" w:hanging="392"/>
        <w:spacing w:after="0" w:line="264" w:lineRule="auto"/>
        <w:tabs>
          <w:tab w:leader="none" w:pos="4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0" w:lineRule="exact"/>
        <w:rPr>
          <w:rFonts w:ascii="Arial" w:cs="Arial" w:eastAsia="Arial" w:hAnsi="Arial"/>
          <w:sz w:val="18"/>
          <w:szCs w:val="18"/>
          <w:color w:val="auto"/>
        </w:rPr>
      </w:pPr>
    </w:p>
    <w:p>
      <w:pPr>
        <w:ind w:left="800" w:right="420" w:hanging="400"/>
        <w:spacing w:after="0" w:line="264" w:lineRule="auto"/>
        <w:tabs>
          <w:tab w:leader="none" w:pos="8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0" w:lineRule="exact"/>
        <w:rPr>
          <w:rFonts w:ascii="Arial" w:cs="Arial" w:eastAsia="Arial" w:hAnsi="Arial"/>
          <w:sz w:val="18"/>
          <w:szCs w:val="18"/>
          <w:color w:val="auto"/>
        </w:rPr>
      </w:pPr>
    </w:p>
    <w:p>
      <w:pPr>
        <w:ind w:left="800" w:right="100" w:hanging="400"/>
        <w:spacing w:after="0" w:line="264" w:lineRule="auto"/>
        <w:tabs>
          <w:tab w:leader="none" w:pos="8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0" w:lineRule="exact"/>
        <w:rPr>
          <w:rFonts w:ascii="Arial" w:cs="Arial" w:eastAsia="Arial" w:hAnsi="Arial"/>
          <w:sz w:val="18"/>
          <w:szCs w:val="18"/>
          <w:color w:val="auto"/>
        </w:rPr>
      </w:pPr>
    </w:p>
    <w:p>
      <w:pPr>
        <w:jc w:val="both"/>
        <w:ind w:left="800" w:right="900" w:hanging="400"/>
        <w:spacing w:after="0" w:line="342" w:lineRule="auto"/>
        <w:tabs>
          <w:tab w:leader="none" w:pos="800" w:val="left"/>
        </w:tabs>
        <w:numPr>
          <w:ilvl w:val="1"/>
          <w:numId w:val="3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3" w:lineRule="exact"/>
        <w:rPr>
          <w:rFonts w:ascii="Arial" w:cs="Arial" w:eastAsia="Arial" w:hAnsi="Arial"/>
          <w:sz w:val="16"/>
          <w:szCs w:val="16"/>
          <w:color w:val="auto"/>
        </w:rPr>
      </w:pPr>
    </w:p>
    <w:p>
      <w:pPr>
        <w:ind w:left="800" w:right="120" w:hanging="400"/>
        <w:spacing w:after="0" w:line="264" w:lineRule="auto"/>
        <w:tabs>
          <w:tab w:leader="none" w:pos="8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left="400" w:right="240" w:hanging="392"/>
        <w:spacing w:after="0" w:line="308" w:lineRule="auto"/>
        <w:tabs>
          <w:tab w:leader="none" w:pos="4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6" w:lineRule="exact"/>
        <w:rPr>
          <w:rFonts w:ascii="Arial" w:cs="Arial" w:eastAsia="Arial" w:hAnsi="Arial"/>
          <w:sz w:val="17"/>
          <w:szCs w:val="17"/>
          <w:color w:val="auto"/>
        </w:rPr>
      </w:pPr>
    </w:p>
    <w:p>
      <w:pPr>
        <w:ind w:left="800" w:right="320" w:hanging="400"/>
        <w:spacing w:after="0" w:line="277" w:lineRule="auto"/>
        <w:tabs>
          <w:tab w:leader="none" w:pos="8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9" w:lineRule="exact"/>
        <w:rPr>
          <w:rFonts w:ascii="Arial" w:cs="Arial" w:eastAsia="Arial" w:hAnsi="Arial"/>
          <w:sz w:val="18"/>
          <w:szCs w:val="18"/>
          <w:color w:val="auto"/>
        </w:rPr>
      </w:pPr>
    </w:p>
    <w:p>
      <w:pPr>
        <w:ind w:left="800" w:right="280" w:hanging="400"/>
        <w:spacing w:after="0" w:line="277" w:lineRule="auto"/>
        <w:tabs>
          <w:tab w:leader="none" w:pos="8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1, 2019</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Jonas Prising</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Jonas Prising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28485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28485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337" w:right="2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CERTIFICATION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I, John T. McGinnis, Executive Vice President and Chief Financial Officer of ManpowerGroup Inc., certify that:</w:t>
      </w:r>
    </w:p>
    <w:p>
      <w:pPr>
        <w:spacing w:after="0" w:line="198" w:lineRule="exact"/>
        <w:rPr>
          <w:sz w:val="20"/>
          <w:szCs w:val="20"/>
          <w:color w:val="auto"/>
        </w:rPr>
      </w:pPr>
    </w:p>
    <w:p>
      <w:pPr>
        <w:ind w:left="400" w:hanging="392"/>
        <w:spacing w:after="0"/>
        <w:tabs>
          <w:tab w:leader="none" w:pos="4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ManpowerGroup Inc.;</w:t>
      </w:r>
    </w:p>
    <w:p>
      <w:pPr>
        <w:spacing w:after="0" w:line="184" w:lineRule="exact"/>
        <w:rPr>
          <w:rFonts w:ascii="Arial" w:cs="Arial" w:eastAsia="Arial" w:hAnsi="Arial"/>
          <w:sz w:val="18"/>
          <w:szCs w:val="18"/>
          <w:color w:val="auto"/>
        </w:rPr>
      </w:pPr>
    </w:p>
    <w:p>
      <w:pPr>
        <w:ind w:left="400" w:right="40" w:hanging="392"/>
        <w:spacing w:after="0" w:line="342" w:lineRule="auto"/>
        <w:tabs>
          <w:tab w:leader="none" w:pos="4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3" w:lineRule="exact"/>
        <w:rPr>
          <w:rFonts w:ascii="Arial" w:cs="Arial" w:eastAsia="Arial" w:hAnsi="Arial"/>
          <w:sz w:val="16"/>
          <w:szCs w:val="16"/>
          <w:color w:val="auto"/>
        </w:rPr>
      </w:pPr>
    </w:p>
    <w:p>
      <w:pPr>
        <w:ind w:left="400" w:right="520" w:hanging="392"/>
        <w:spacing w:after="0" w:line="308" w:lineRule="auto"/>
        <w:tabs>
          <w:tab w:leader="none" w:pos="4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6" w:lineRule="exact"/>
        <w:rPr>
          <w:rFonts w:ascii="Arial" w:cs="Arial" w:eastAsia="Arial" w:hAnsi="Arial"/>
          <w:sz w:val="17"/>
          <w:szCs w:val="17"/>
          <w:color w:val="auto"/>
        </w:rPr>
      </w:pPr>
    </w:p>
    <w:p>
      <w:pPr>
        <w:ind w:left="400" w:right="120" w:hanging="392"/>
        <w:spacing w:after="0" w:line="264" w:lineRule="auto"/>
        <w:tabs>
          <w:tab w:leader="none" w:pos="4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0" w:lineRule="exact"/>
        <w:rPr>
          <w:rFonts w:ascii="Arial" w:cs="Arial" w:eastAsia="Arial" w:hAnsi="Arial"/>
          <w:sz w:val="18"/>
          <w:szCs w:val="18"/>
          <w:color w:val="auto"/>
        </w:rPr>
      </w:pPr>
    </w:p>
    <w:p>
      <w:pPr>
        <w:ind w:left="800" w:right="420" w:hanging="400"/>
        <w:spacing w:after="0" w:line="264" w:lineRule="auto"/>
        <w:tabs>
          <w:tab w:leader="none" w:pos="8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0" w:lineRule="exact"/>
        <w:rPr>
          <w:rFonts w:ascii="Arial" w:cs="Arial" w:eastAsia="Arial" w:hAnsi="Arial"/>
          <w:sz w:val="18"/>
          <w:szCs w:val="18"/>
          <w:color w:val="auto"/>
        </w:rPr>
      </w:pPr>
    </w:p>
    <w:p>
      <w:pPr>
        <w:ind w:left="800" w:right="100" w:hanging="400"/>
        <w:spacing w:after="0" w:line="264" w:lineRule="auto"/>
        <w:tabs>
          <w:tab w:leader="none" w:pos="8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0" w:lineRule="exact"/>
        <w:rPr>
          <w:rFonts w:ascii="Arial" w:cs="Arial" w:eastAsia="Arial" w:hAnsi="Arial"/>
          <w:sz w:val="18"/>
          <w:szCs w:val="18"/>
          <w:color w:val="auto"/>
        </w:rPr>
      </w:pPr>
    </w:p>
    <w:p>
      <w:pPr>
        <w:jc w:val="both"/>
        <w:ind w:left="800" w:right="900" w:hanging="400"/>
        <w:spacing w:after="0" w:line="342" w:lineRule="auto"/>
        <w:tabs>
          <w:tab w:leader="none" w:pos="800" w:val="left"/>
        </w:tabs>
        <w:numPr>
          <w:ilvl w:val="1"/>
          <w:numId w:val="3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3" w:lineRule="exact"/>
        <w:rPr>
          <w:rFonts w:ascii="Arial" w:cs="Arial" w:eastAsia="Arial" w:hAnsi="Arial"/>
          <w:sz w:val="16"/>
          <w:szCs w:val="16"/>
          <w:color w:val="auto"/>
        </w:rPr>
      </w:pPr>
    </w:p>
    <w:p>
      <w:pPr>
        <w:ind w:left="800" w:right="120" w:hanging="400"/>
        <w:spacing w:after="0" w:line="264" w:lineRule="auto"/>
        <w:tabs>
          <w:tab w:leader="none" w:pos="8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left="400" w:right="240" w:hanging="392"/>
        <w:spacing w:after="0" w:line="308" w:lineRule="auto"/>
        <w:tabs>
          <w:tab w:leader="none" w:pos="4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6" w:lineRule="exact"/>
        <w:rPr>
          <w:rFonts w:ascii="Arial" w:cs="Arial" w:eastAsia="Arial" w:hAnsi="Arial"/>
          <w:sz w:val="17"/>
          <w:szCs w:val="17"/>
          <w:color w:val="auto"/>
        </w:rPr>
      </w:pPr>
    </w:p>
    <w:p>
      <w:pPr>
        <w:ind w:left="800" w:right="320" w:hanging="400"/>
        <w:spacing w:after="0" w:line="277" w:lineRule="auto"/>
        <w:tabs>
          <w:tab w:leader="none" w:pos="8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9" w:lineRule="exact"/>
        <w:rPr>
          <w:rFonts w:ascii="Arial" w:cs="Arial" w:eastAsia="Arial" w:hAnsi="Arial"/>
          <w:sz w:val="18"/>
          <w:szCs w:val="18"/>
          <w:color w:val="auto"/>
        </w:rPr>
      </w:pPr>
    </w:p>
    <w:p>
      <w:pPr>
        <w:ind w:left="800" w:right="280" w:hanging="400"/>
        <w:spacing w:after="0" w:line="277" w:lineRule="auto"/>
        <w:tabs>
          <w:tab w:leader="none" w:pos="8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1, 2019</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John T. McGinnis</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John T. McGinnis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28485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28485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1">
            <w:col w:w="11420"/>
          </w:cols>
          <w:pgMar w:left="240" w:top="337" w:right="2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w:t>
      </w:r>
    </w:p>
    <w:p>
      <w:pPr>
        <w:spacing w:after="0" w:line="18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ss. 906 of the Sarbanes-Oxley Act of 2002, 18 U.S.C. ss. 1350, the undersigned officer of ManpowerGroup Inc. (the “Company”), hereby certifies that to his knowledge:</w:t>
      </w:r>
    </w:p>
    <w:p>
      <w:pPr>
        <w:spacing w:after="0" w:line="143" w:lineRule="exact"/>
        <w:rPr>
          <w:sz w:val="20"/>
          <w:szCs w:val="20"/>
          <w:color w:val="auto"/>
        </w:rPr>
      </w:pPr>
    </w:p>
    <w:p>
      <w:pPr>
        <w:ind w:left="800" w:right="60" w:hanging="400"/>
        <w:spacing w:after="0" w:line="277" w:lineRule="auto"/>
        <w:tabs>
          <w:tab w:leader="none" w:pos="8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Company’s Quarterly Report on Form 10-Q for the quarter ended September 30, 2019 fully complies with the requirements of Section 13(a) or 15(d), as applicable, of the Securities Exchange Act of 1934, and</w:t>
      </w:r>
    </w:p>
    <w:p>
      <w:pPr>
        <w:spacing w:after="0" w:line="129" w:lineRule="exact"/>
        <w:rPr>
          <w:rFonts w:ascii="Arial" w:cs="Arial" w:eastAsia="Arial" w:hAnsi="Arial"/>
          <w:sz w:val="18"/>
          <w:szCs w:val="18"/>
          <w:color w:val="auto"/>
        </w:rPr>
      </w:pPr>
    </w:p>
    <w:p>
      <w:pPr>
        <w:ind w:right="300" w:firstLine="400"/>
        <w:spacing w:after="0" w:line="454" w:lineRule="auto"/>
        <w:tabs>
          <w:tab w:leader="none" w:pos="783"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ManpowerGroup Inc.</w:t>
      </w:r>
    </w:p>
    <w:p>
      <w:pPr>
        <w:spacing w:after="0"/>
        <w:rPr>
          <w:rFonts w:ascii="Arial" w:cs="Arial" w:eastAsia="Arial" w:hAnsi="Arial"/>
          <w:sz w:val="18"/>
          <w:szCs w:val="18"/>
          <w:color w:val="auto"/>
        </w:rPr>
      </w:pPr>
      <w:r>
        <w:rPr>
          <w:rFonts w:ascii="Arial" w:cs="Arial" w:eastAsia="Arial" w:hAnsi="Arial"/>
          <w:sz w:val="18"/>
          <w:szCs w:val="18"/>
          <w:color w:val="auto"/>
        </w:rPr>
        <w:t>Dated: November 1, 2019</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Jonas Prising</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Jonas Prising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28485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28485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1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i w:val="1"/>
          <w:iCs w:val="1"/>
          <w:color w:val="auto"/>
        </w:rPr>
        <w:t>This certification accompanies this Quarterly Report on Form 10-Q pursuant to Section 906 of the Sarbanes-Oxley Act of 2002 and shall not be deemed filed by the Company for purposes of the Securities Exchange Act of 1934.</w:t>
      </w:r>
    </w:p>
    <w:p>
      <w:pPr>
        <w:sectPr>
          <w:pgSz w:w="11900" w:h="16838" w:orient="portrait"/>
          <w:cols w:equalWidth="0" w:num="1">
            <w:col w:w="11420"/>
          </w:cols>
          <w:pgMar w:left="240" w:top="337" w:right="2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w:t>
      </w:r>
    </w:p>
    <w:p>
      <w:pPr>
        <w:spacing w:after="0" w:line="18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ss. 906 of the Sarbanes-Oxley Act of 2002, 18 U.S.C. ss. 1350, the undersigned officer of ManpowerGroup Inc. (the “Company”), hereby certifies that to his knowledge:</w:t>
      </w:r>
    </w:p>
    <w:p>
      <w:pPr>
        <w:spacing w:after="0" w:line="143" w:lineRule="exact"/>
        <w:rPr>
          <w:sz w:val="20"/>
          <w:szCs w:val="20"/>
          <w:color w:val="auto"/>
        </w:rPr>
      </w:pPr>
    </w:p>
    <w:p>
      <w:pPr>
        <w:ind w:left="800" w:right="60" w:hanging="400"/>
        <w:spacing w:after="0" w:line="277" w:lineRule="auto"/>
        <w:tabs>
          <w:tab w:leader="none" w:pos="8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Company’s Quarterly Report on Form 10-Q for the quarter ended September 30, 2019 fully complies with the requirements of Section 13(a) or 15(d), as applicable, of the Securities Exchange Act of 1934, and</w:t>
      </w:r>
    </w:p>
    <w:p>
      <w:pPr>
        <w:spacing w:after="0" w:line="129" w:lineRule="exact"/>
        <w:rPr>
          <w:rFonts w:ascii="Arial" w:cs="Arial" w:eastAsia="Arial" w:hAnsi="Arial"/>
          <w:sz w:val="18"/>
          <w:szCs w:val="18"/>
          <w:color w:val="auto"/>
        </w:rPr>
      </w:pPr>
    </w:p>
    <w:p>
      <w:pPr>
        <w:ind w:right="300" w:firstLine="400"/>
        <w:spacing w:after="0" w:line="454" w:lineRule="auto"/>
        <w:tabs>
          <w:tab w:leader="none" w:pos="783"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ManpowerGroup Inc.</w:t>
      </w:r>
    </w:p>
    <w:p>
      <w:pPr>
        <w:spacing w:after="0"/>
        <w:rPr>
          <w:rFonts w:ascii="Arial" w:cs="Arial" w:eastAsia="Arial" w:hAnsi="Arial"/>
          <w:sz w:val="18"/>
          <w:szCs w:val="18"/>
          <w:color w:val="auto"/>
        </w:rPr>
      </w:pPr>
      <w:r>
        <w:rPr>
          <w:rFonts w:ascii="Arial" w:cs="Arial" w:eastAsia="Arial" w:hAnsi="Arial"/>
          <w:sz w:val="18"/>
          <w:szCs w:val="18"/>
          <w:color w:val="auto"/>
        </w:rPr>
        <w:t>Dated: November 1, 2019</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John T. McGinnis</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John T. McGinnis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28485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28485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and Chief Financial Officer</w:t>
      </w:r>
    </w:p>
    <w:p>
      <w:pPr>
        <w:spacing w:after="0" w:line="21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i w:val="1"/>
          <w:iCs w:val="1"/>
          <w:color w:val="auto"/>
        </w:rPr>
        <w:t>This certification accompanies this Quarterly Report on Form 10-Q pursuant to Section 906 of the Sarbanes-Oxley Act of 2002 and shall not be deemed filed by the Company for purposes of the Securities Exchange Act of 1934.</w:t>
      </w: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6C6125"/>
    <w:multiLevelType w:val="hybridMultilevel"/>
    <w:lvl w:ilvl="0">
      <w:lvlJc w:val="left"/>
      <w:lvlText w:val="☒"/>
      <w:numFmt w:val="bullet"/>
      <w:start w:val="1"/>
    </w:lvl>
  </w:abstractNum>
  <w:abstractNum w:abstractNumId="1">
    <w:nsid w:val="628C895D"/>
    <w:multiLevelType w:val="hybridMultilevel"/>
    <w:lvl w:ilvl="0">
      <w:lvlJc w:val="left"/>
      <w:lvlText w:val="☐"/>
      <w:numFmt w:val="bullet"/>
      <w:start w:val="1"/>
    </w:lvl>
  </w:abstractNum>
  <w:abstractNum w:abstractNumId="2">
    <w:nsid w:val="333AB105"/>
    <w:multiLevelType w:val="hybridMultilevel"/>
    <w:lvl w:ilvl="0">
      <w:lvlJc w:val="left"/>
      <w:lvlText w:val="(%1)"/>
      <w:numFmt w:val="decimal"/>
      <w:start w:val="1"/>
    </w:lvl>
  </w:abstractNum>
  <w:abstractNum w:abstractNumId="3">
    <w:nsid w:val="721DA317"/>
    <w:multiLevelType w:val="hybridMultilevel"/>
    <w:lvl w:ilvl="0">
      <w:lvlJc w:val="left"/>
      <w:lvlText w:val="(%1)"/>
      <w:numFmt w:val="decimal"/>
      <w:start w:val="2"/>
    </w:lvl>
  </w:abstractNum>
  <w:abstractNum w:abstractNumId="4">
    <w:nsid w:val="2443A858"/>
    <w:multiLevelType w:val="hybridMultilevel"/>
    <w:lvl w:ilvl="0">
      <w:lvlJc w:val="left"/>
      <w:lvlText w:val="(%1)"/>
      <w:numFmt w:val="decimal"/>
      <w:start w:val="3"/>
    </w:lvl>
  </w:abstractNum>
  <w:abstractNum w:abstractNumId="5">
    <w:nsid w:val="2D1D5AE9"/>
    <w:multiLevelType w:val="hybridMultilevel"/>
    <w:lvl w:ilvl="0">
      <w:lvlJc w:val="left"/>
      <w:lvlText w:val="(%1)"/>
      <w:numFmt w:val="decimal"/>
      <w:start w:val="4"/>
    </w:lvl>
  </w:abstractNum>
  <w:abstractNum w:abstractNumId="6">
    <w:nsid w:val="6763845E"/>
    <w:multiLevelType w:val="hybridMultilevel"/>
    <w:lvl w:ilvl="0">
      <w:lvlJc w:val="left"/>
      <w:lvlText w:val="(%1)"/>
      <w:numFmt w:val="decimal"/>
      <w:start w:val="5"/>
    </w:lvl>
  </w:abstractNum>
  <w:abstractNum w:abstractNumId="7">
    <w:nsid w:val="75A2A8D4"/>
    <w:multiLevelType w:val="hybridMultilevel"/>
    <w:lvl w:ilvl="0">
      <w:lvlJc w:val="left"/>
      <w:lvlText w:val="(%1)"/>
      <w:numFmt w:val="decimal"/>
      <w:start w:val="6"/>
    </w:lvl>
  </w:abstractNum>
  <w:abstractNum w:abstractNumId="8">
    <w:nsid w:val="8EDBDAB"/>
    <w:multiLevelType w:val="hybridMultilevel"/>
    <w:lvl w:ilvl="0">
      <w:lvlJc w:val="left"/>
      <w:lvlText w:val="(%1)"/>
      <w:numFmt w:val="decimal"/>
      <w:start w:val="1"/>
    </w:lvl>
  </w:abstractNum>
  <w:abstractNum w:abstractNumId="9">
    <w:nsid w:val="79838CB2"/>
    <w:multiLevelType w:val="hybridMultilevel"/>
    <w:lvl w:ilvl="0">
      <w:lvlJc w:val="left"/>
      <w:lvlText w:val="(%1)"/>
      <w:numFmt w:val="decimal"/>
      <w:start w:val="7"/>
    </w:lvl>
  </w:abstractNum>
  <w:abstractNum w:abstractNumId="10">
    <w:nsid w:val="4353D0CD"/>
    <w:multiLevelType w:val="hybridMultilevel"/>
    <w:lvl w:ilvl="0">
      <w:lvlJc w:val="left"/>
      <w:lvlText w:val="(%1)"/>
      <w:numFmt w:val="decimal"/>
      <w:start w:val="8"/>
    </w:lvl>
  </w:abstractNum>
  <w:abstractNum w:abstractNumId="11">
    <w:nsid w:val="B03E0C6"/>
    <w:multiLevelType w:val="hybridMultilevel"/>
    <w:lvl w:ilvl="0">
      <w:lvlJc w:val="left"/>
      <w:lvlText w:val="(%1)"/>
      <w:numFmt w:val="decimal"/>
      <w:start w:val="9"/>
    </w:lvl>
  </w:abstractNum>
  <w:abstractNum w:abstractNumId="12">
    <w:nsid w:val="189A769B"/>
    <w:multiLevelType w:val="hybridMultilevel"/>
    <w:lvl w:ilvl="0">
      <w:lvlJc w:val="left"/>
      <w:lvlText w:val="(%1)"/>
      <w:numFmt w:val="decimal"/>
      <w:start w:val="1"/>
    </w:lvl>
  </w:abstractNum>
  <w:abstractNum w:abstractNumId="13">
    <w:nsid w:val="54E49EB4"/>
    <w:multiLevelType w:val="hybridMultilevel"/>
    <w:lvl w:ilvl="0">
      <w:lvlJc w:val="left"/>
      <w:lvlText w:val="(%1)"/>
      <w:numFmt w:val="decimal"/>
      <w:start w:val="1"/>
    </w:lvl>
    <w:lvl w:ilvl="1">
      <w:lvlJc w:val="left"/>
      <w:lvlText w:val="(%2)"/>
      <w:numFmt w:val="decimal"/>
      <w:start w:val="4"/>
    </w:lvl>
  </w:abstractNum>
  <w:abstractNum w:abstractNumId="14">
    <w:nsid w:val="71F32454"/>
    <w:multiLevelType w:val="hybridMultilevel"/>
    <w:lvl w:ilvl="0">
      <w:lvlJc w:val="left"/>
      <w:lvlText w:val="(%1)"/>
      <w:numFmt w:val="decimal"/>
      <w:start w:val="10"/>
    </w:lvl>
  </w:abstractNum>
  <w:abstractNum w:abstractNumId="15">
    <w:nsid w:val="2CA88611"/>
    <w:multiLevelType w:val="hybridMultilevel"/>
    <w:lvl w:ilvl="0">
      <w:lvlJc w:val="left"/>
      <w:lvlText w:val="(%1)"/>
      <w:numFmt w:val="decimal"/>
      <w:start w:val="1"/>
    </w:lvl>
  </w:abstractNum>
  <w:abstractNum w:abstractNumId="16">
    <w:nsid w:val="836C40E"/>
    <w:multiLevelType w:val="hybridMultilevel"/>
    <w:lvl w:ilvl="0">
      <w:lvlJc w:val="left"/>
      <w:lvlText w:val="(%1)"/>
      <w:numFmt w:val="decimal"/>
      <w:start w:val="13"/>
    </w:lvl>
  </w:abstractNum>
  <w:abstractNum w:abstractNumId="17">
    <w:nsid w:val="2901D82"/>
    <w:multiLevelType w:val="hybridMultilevel"/>
    <w:lvl w:ilvl="0">
      <w:lvlJc w:val="left"/>
      <w:lvlText w:val="(%1)"/>
      <w:numFmt w:val="decimal"/>
      <w:start w:val="14"/>
    </w:lvl>
  </w:abstractNum>
  <w:abstractNum w:abstractNumId="18">
    <w:nsid w:val="3A95F874"/>
    <w:multiLevelType w:val="hybridMultilevel"/>
    <w:lvl w:ilvl="0">
      <w:lvlJc w:val="left"/>
      <w:lvlText w:val="(%1)"/>
      <w:numFmt w:val="decimal"/>
      <w:start w:val="1"/>
    </w:lvl>
  </w:abstractNum>
  <w:abstractNum w:abstractNumId="19">
    <w:nsid w:val="8138641"/>
    <w:multiLevelType w:val="hybridMultilevel"/>
    <w:lvl w:ilvl="0">
      <w:lvlJc w:val="left"/>
      <w:lvlText w:val="(%1)"/>
      <w:numFmt w:val="decimal"/>
      <w:start w:val="1"/>
    </w:lvl>
  </w:abstractNum>
  <w:abstractNum w:abstractNumId="20">
    <w:nsid w:val="1E7FF521"/>
    <w:multiLevelType w:val="hybridMultilevel"/>
    <w:lvl w:ilvl="0">
      <w:lvlJc w:val="left"/>
      <w:lvlText w:val="(%1)"/>
      <w:numFmt w:val="decimal"/>
      <w:start w:val="15"/>
    </w:lvl>
  </w:abstractNum>
  <w:abstractNum w:abstractNumId="21">
    <w:nsid w:val="7C3DBD3D"/>
    <w:multiLevelType w:val="hybridMultilevel"/>
    <w:lvl w:ilvl="0">
      <w:lvlJc w:val="left"/>
      <w:lvlText w:val="(%1)"/>
      <w:numFmt w:val="lowerLetter"/>
      <w:start w:val="1"/>
    </w:lvl>
  </w:abstractNum>
  <w:abstractNum w:abstractNumId="22">
    <w:nsid w:val="737B8DDC"/>
    <w:multiLevelType w:val="hybridMultilevel"/>
    <w:lvl w:ilvl="0">
      <w:lvlJc w:val="left"/>
      <w:lvlText w:val="(%1)"/>
      <w:numFmt w:val="lowerLetter"/>
      <w:start w:val="4"/>
    </w:lvl>
  </w:abstractNum>
  <w:abstractNum w:abstractNumId="23">
    <w:nsid w:val="6CEAF087"/>
    <w:multiLevelType w:val="hybridMultilevel"/>
    <w:lvl w:ilvl="0">
      <w:lvlJc w:val="left"/>
      <w:lvlText w:val="(%1)"/>
      <w:numFmt w:val="decimal"/>
      <w:start w:val="16"/>
    </w:lvl>
  </w:abstractNum>
  <w:abstractNum w:abstractNumId="24">
    <w:nsid w:val="22221A70"/>
    <w:multiLevelType w:val="hybridMultilevel"/>
    <w:lvl w:ilvl="0">
      <w:lvlJc w:val="left"/>
      <w:lvlText w:val="•"/>
      <w:numFmt w:val="bullet"/>
      <w:start w:val="1"/>
    </w:lvl>
  </w:abstractNum>
  <w:abstractNum w:abstractNumId="25">
    <w:nsid w:val="4516DDE9"/>
    <w:multiLevelType w:val="hybridMultilevel"/>
    <w:lvl w:ilvl="0">
      <w:lvlJc w:val="left"/>
      <w:lvlText w:val="•"/>
      <w:numFmt w:val="bullet"/>
      <w:start w:val="1"/>
    </w:lvl>
  </w:abstractNum>
  <w:abstractNum w:abstractNumId="26">
    <w:nsid w:val="3006C83E"/>
    <w:multiLevelType w:val="hybridMultilevel"/>
    <w:lvl w:ilvl="0">
      <w:lvlJc w:val="left"/>
      <w:lvlText w:val="•"/>
      <w:numFmt w:val="bullet"/>
      <w:start w:val="1"/>
    </w:lvl>
  </w:abstractNum>
  <w:abstractNum w:abstractNumId="27">
    <w:nsid w:val="614FD4A1"/>
    <w:multiLevelType w:val="hybridMultilevel"/>
    <w:lvl w:ilvl="0">
      <w:lvlJc w:val="left"/>
      <w:lvlText w:val="•"/>
      <w:numFmt w:val="bullet"/>
      <w:start w:val="1"/>
    </w:lvl>
  </w:abstractNum>
  <w:abstractNum w:abstractNumId="28">
    <w:nsid w:val="419AC241"/>
    <w:multiLevelType w:val="hybridMultilevel"/>
    <w:lvl w:ilvl="0">
      <w:lvlJc w:val="left"/>
      <w:lvlText w:val="•"/>
      <w:numFmt w:val="bullet"/>
      <w:start w:val="1"/>
    </w:lvl>
  </w:abstractNum>
  <w:abstractNum w:abstractNumId="29">
    <w:nsid w:val="5577F8E1"/>
    <w:multiLevelType w:val="hybridMultilevel"/>
    <w:lvl w:ilvl="0">
      <w:lvlJc w:val="left"/>
      <w:lvlText w:val="•"/>
      <w:numFmt w:val="bullet"/>
      <w:start w:val="1"/>
    </w:lvl>
  </w:abstractNum>
  <w:abstractNum w:abstractNumId="30">
    <w:nsid w:val="440BADFC"/>
    <w:multiLevelType w:val="hybridMultilevel"/>
    <w:lvl w:ilvl="0">
      <w:lvlJc w:val="left"/>
      <w:lvlText w:val="•"/>
      <w:numFmt w:val="bullet"/>
      <w:start w:val="1"/>
    </w:lvl>
  </w:abstractNum>
  <w:abstractNum w:abstractNumId="31">
    <w:nsid w:val="5072367"/>
    <w:multiLevelType w:val="hybridMultilevel"/>
    <w:lvl w:ilvl="0">
      <w:lvlJc w:val="left"/>
      <w:lvlText w:val="•"/>
      <w:numFmt w:val="bullet"/>
      <w:start w:val="1"/>
    </w:lvl>
  </w:abstractNum>
  <w:abstractNum w:abstractNumId="32">
    <w:nsid w:val="3804823E"/>
    <w:multiLevelType w:val="hybridMultilevel"/>
    <w:lvl w:ilvl="0">
      <w:lvlJc w:val="left"/>
      <w:lvlText w:val="(%1)"/>
      <w:numFmt w:val="lowerLetter"/>
      <w:start w:val="1"/>
    </w:lvl>
  </w:abstractNum>
  <w:abstractNum w:abstractNumId="33">
    <w:nsid w:val="77465F01"/>
    <w:multiLevelType w:val="hybridMultilevel"/>
    <w:lvl w:ilvl="0">
      <w:lvlJc w:val="left"/>
      <w:lvlText w:val="(%1)"/>
      <w:numFmt w:val="lowerLetter"/>
      <w:start w:val="1"/>
    </w:lvl>
  </w:abstractNum>
  <w:abstractNum w:abstractNumId="34">
    <w:nsid w:val="7724C67E"/>
    <w:multiLevelType w:val="hybridMultilevel"/>
    <w:lvl w:ilvl="0">
      <w:lvlJc w:val="left"/>
      <w:lvlText w:val="(%1)"/>
      <w:numFmt w:val="lowerLetter"/>
      <w:start w:val="1"/>
    </w:lvl>
  </w:abstractNum>
  <w:abstractNum w:abstractNumId="35">
    <w:nsid w:val="5C482A97"/>
    <w:multiLevelType w:val="hybridMultilevel"/>
    <w:lvl w:ilvl="0">
      <w:lvlJc w:val="left"/>
      <w:lvlText w:val="%1"/>
      <w:numFmt w:val="decimal"/>
      <w:start w:val="104"/>
    </w:lvl>
  </w:abstractNum>
  <w:abstractNum w:abstractNumId="36">
    <w:nsid w:val="2463B9EA"/>
    <w:multiLevelType w:val="hybridMultilevel"/>
    <w:lvl w:ilvl="0">
      <w:lvlJc w:val="left"/>
      <w:lvlText w:val="%1."/>
      <w:numFmt w:val="decimal"/>
      <w:start w:val="1"/>
    </w:lvl>
    <w:lvl w:ilvl="1">
      <w:lvlJc w:val="left"/>
      <w:lvlText w:val="(%2)"/>
      <w:numFmt w:val="lowerLetter"/>
      <w:start w:val="1"/>
    </w:lvl>
  </w:abstractNum>
  <w:abstractNum w:abstractNumId="37">
    <w:nsid w:val="5E884ADC"/>
    <w:multiLevelType w:val="hybridMultilevel"/>
    <w:lvl w:ilvl="0">
      <w:lvlJc w:val="left"/>
      <w:lvlText w:val="%1."/>
      <w:numFmt w:val="decimal"/>
      <w:start w:val="1"/>
    </w:lvl>
    <w:lvl w:ilvl="1">
      <w:lvlJc w:val="left"/>
      <w:lvlText w:val="(%2)"/>
      <w:numFmt w:val="lowerLetter"/>
      <w:start w:val="1"/>
    </w:lvl>
  </w:abstractNum>
  <w:abstractNum w:abstractNumId="38">
    <w:nsid w:val="51EAD36B"/>
    <w:multiLevelType w:val="hybridMultilevel"/>
    <w:lvl w:ilvl="0">
      <w:lvlJc w:val="left"/>
      <w:lvlText w:val="%1."/>
      <w:numFmt w:val="decimal"/>
      <w:start w:val="1"/>
    </w:lvl>
  </w:abstractNum>
  <w:abstractNum w:abstractNumId="39">
    <w:nsid w:val="2D51779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2019-12-28T03:33:30Z</dcterms:created>
  <dcterms:modified xsi:type="dcterms:W3CDTF">2019-12-28T03:33:30Z</dcterms:modified>
</cp:coreProperties>
</file>