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6, 2022</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1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8"/>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20" w:firstLine="21"/>
        <w:spacing w:after="0" w:line="429"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3"/>
        </w:trPr>
        <w:tc>
          <w:tcPr>
            <w:tcW w:w="4040" w:type="dxa"/>
            <w:vAlign w:val="bottom"/>
            <w:tcBorders>
              <w:top w:val="single" w:sz="8" w:color="auto"/>
              <w:left w:val="single" w:sz="8" w:color="auto"/>
              <w:bottom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Title of each class</w:t>
            </w:r>
          </w:p>
        </w:tc>
        <w:tc>
          <w:tcPr>
            <w:tcW w:w="3200" w:type="dxa"/>
            <w:vAlign w:val="bottom"/>
            <w:tcBorders>
              <w:top w:val="single" w:sz="8" w:color="auto"/>
              <w:bottom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Name of each exchange on which registered</w:t>
            </w:r>
          </w:p>
        </w:tc>
      </w:tr>
      <w:tr>
        <w:trPr>
          <w:trHeight w:val="179"/>
        </w:trPr>
        <w:tc>
          <w:tcPr>
            <w:tcW w:w="40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0"/>
              </w:rPr>
              <w:t>Common Stock, $.01 par value</w:t>
            </w:r>
          </w:p>
        </w:tc>
        <w:tc>
          <w:tcPr>
            <w:tcW w:w="32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At our 2022 Annual Meeting, our shareholders voted on proposals to: (1) elect twelve individuals nominated by the Board of Directors of the Company to serve until 2023; (2) ratify the appointment of Deloitte &amp; Touche LLP as our independent auditors for 2022; and (3) provide an advisory vote on the compensation of our named executive officers. The final voting results on these proposals are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85"/>
        </w:trPr>
        <w:tc>
          <w:tcPr>
            <w:tcW w:w="5400" w:type="dxa"/>
            <w:vAlign w:val="bottom"/>
            <w:vMerge w:val="restart"/>
          </w:tcPr>
          <w:p>
            <w:pPr>
              <w:spacing w:after="0"/>
              <w:rPr>
                <w:sz w:val="20"/>
                <w:szCs w:val="20"/>
                <w:color w:val="auto"/>
              </w:rPr>
            </w:pPr>
            <w:r>
              <w:rPr>
                <w:rFonts w:ascii="Arial" w:cs="Arial" w:eastAsia="Arial" w:hAnsi="Arial"/>
                <w:sz w:val="18"/>
                <w:szCs w:val="18"/>
                <w:color w:val="auto"/>
              </w:rPr>
              <w:t>1. a) Election of Gina R. Boswell</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For</w:t>
            </w:r>
          </w:p>
        </w:tc>
        <w:tc>
          <w:tcPr>
            <w:tcW w:w="360" w:type="dxa"/>
            <w:vAlign w:val="bottom"/>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Against</w:t>
            </w:r>
          </w:p>
        </w:tc>
        <w:tc>
          <w:tcPr>
            <w:tcW w:w="440" w:type="dxa"/>
            <w:vAlign w:val="bottom"/>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Abstain</w:t>
            </w:r>
          </w:p>
        </w:tc>
        <w:tc>
          <w:tcPr>
            <w:tcW w:w="460" w:type="dxa"/>
            <w:vAlign w:val="bottom"/>
          </w:tcPr>
          <w:p>
            <w:pPr>
              <w:spacing w:after="0"/>
              <w:rPr>
                <w:sz w:val="16"/>
                <w:szCs w:val="16"/>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46,623,697</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1,431,703</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15,484</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391"/>
        </w:trPr>
        <w:tc>
          <w:tcPr>
            <w:tcW w:w="5400" w:type="dxa"/>
            <w:vAlign w:val="bottom"/>
          </w:tcPr>
          <w:p>
            <w:pPr>
              <w:ind w:left="180"/>
              <w:spacing w:after="0"/>
              <w:rPr>
                <w:sz w:val="20"/>
                <w:szCs w:val="20"/>
                <w:color w:val="auto"/>
              </w:rPr>
            </w:pPr>
            <w:r>
              <w:rPr>
                <w:rFonts w:ascii="Arial" w:cs="Arial" w:eastAsia="Arial" w:hAnsi="Arial"/>
                <w:sz w:val="18"/>
                <w:szCs w:val="18"/>
                <w:color w:val="auto"/>
              </w:rPr>
              <w:t>b) Election of Jean-Philippe Courtois</w:t>
            </w:r>
          </w:p>
        </w:tc>
        <w:tc>
          <w:tcPr>
            <w:tcW w:w="1280" w:type="dxa"/>
            <w:vAlign w:val="bottom"/>
          </w:tcPr>
          <w:p>
            <w:pPr>
              <w:jc w:val="right"/>
              <w:spacing w:after="0"/>
              <w:rPr>
                <w:sz w:val="20"/>
                <w:szCs w:val="20"/>
                <w:color w:val="auto"/>
              </w:rPr>
            </w:pPr>
            <w:r>
              <w:rPr>
                <w:rFonts w:ascii="Arial" w:cs="Arial" w:eastAsia="Arial" w:hAnsi="Arial"/>
                <w:sz w:val="18"/>
                <w:szCs w:val="18"/>
                <w:color w:val="auto"/>
              </w:rPr>
              <w:t>47,956,034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98,747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16,103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c) Election of William Downe</w:t>
            </w:r>
          </w:p>
        </w:tc>
        <w:tc>
          <w:tcPr>
            <w:tcW w:w="1280" w:type="dxa"/>
            <w:vAlign w:val="bottom"/>
          </w:tcPr>
          <w:p>
            <w:pPr>
              <w:jc w:val="right"/>
              <w:spacing w:after="0"/>
              <w:rPr>
                <w:sz w:val="20"/>
                <w:szCs w:val="20"/>
                <w:color w:val="auto"/>
              </w:rPr>
            </w:pPr>
            <w:r>
              <w:rPr>
                <w:rFonts w:ascii="Arial" w:cs="Arial" w:eastAsia="Arial" w:hAnsi="Arial"/>
                <w:sz w:val="18"/>
                <w:szCs w:val="18"/>
                <w:color w:val="auto"/>
              </w:rPr>
              <w:t>47,274,587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777,985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18,313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d) Election of John F. Ferraro</w:t>
            </w:r>
          </w:p>
        </w:tc>
        <w:tc>
          <w:tcPr>
            <w:tcW w:w="1280" w:type="dxa"/>
            <w:vAlign w:val="bottom"/>
          </w:tcPr>
          <w:p>
            <w:pPr>
              <w:jc w:val="right"/>
              <w:spacing w:after="0"/>
              <w:rPr>
                <w:sz w:val="20"/>
                <w:szCs w:val="20"/>
                <w:color w:val="auto"/>
              </w:rPr>
            </w:pPr>
            <w:r>
              <w:rPr>
                <w:rFonts w:ascii="Arial" w:cs="Arial" w:eastAsia="Arial" w:hAnsi="Arial"/>
                <w:sz w:val="18"/>
                <w:szCs w:val="18"/>
                <w:color w:val="auto"/>
              </w:rPr>
              <w:t>47,848,433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205,888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16,564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e) Election of William P. Gipson</w:t>
            </w:r>
          </w:p>
        </w:tc>
        <w:tc>
          <w:tcPr>
            <w:tcW w:w="1280" w:type="dxa"/>
            <w:vAlign w:val="bottom"/>
          </w:tcPr>
          <w:p>
            <w:pPr>
              <w:jc w:val="right"/>
              <w:spacing w:after="0"/>
              <w:rPr>
                <w:sz w:val="20"/>
                <w:szCs w:val="20"/>
                <w:color w:val="auto"/>
              </w:rPr>
            </w:pPr>
            <w:r>
              <w:rPr>
                <w:rFonts w:ascii="Arial" w:cs="Arial" w:eastAsia="Arial" w:hAnsi="Arial"/>
                <w:sz w:val="18"/>
                <w:szCs w:val="18"/>
                <w:color w:val="auto"/>
              </w:rPr>
              <w:t>47,835,820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216,561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f) Election of Patricia Hemingway Hall</w:t>
            </w:r>
          </w:p>
        </w:tc>
        <w:tc>
          <w:tcPr>
            <w:tcW w:w="1280" w:type="dxa"/>
            <w:vAlign w:val="bottom"/>
          </w:tcPr>
          <w:p>
            <w:pPr>
              <w:jc w:val="right"/>
              <w:spacing w:after="0"/>
              <w:rPr>
                <w:sz w:val="20"/>
                <w:szCs w:val="20"/>
                <w:color w:val="auto"/>
              </w:rPr>
            </w:pPr>
            <w:r>
              <w:rPr>
                <w:rFonts w:ascii="Arial" w:cs="Arial" w:eastAsia="Arial" w:hAnsi="Arial"/>
                <w:sz w:val="18"/>
                <w:szCs w:val="18"/>
                <w:color w:val="auto"/>
              </w:rPr>
              <w:t>46,885,831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1,169,732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15,322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g) Election of Julie M. Howard</w:t>
            </w:r>
          </w:p>
        </w:tc>
        <w:tc>
          <w:tcPr>
            <w:tcW w:w="1280" w:type="dxa"/>
            <w:vAlign w:val="bottom"/>
          </w:tcPr>
          <w:p>
            <w:pPr>
              <w:jc w:val="right"/>
              <w:spacing w:after="0"/>
              <w:rPr>
                <w:sz w:val="20"/>
                <w:szCs w:val="20"/>
                <w:color w:val="auto"/>
              </w:rPr>
            </w:pPr>
            <w:r>
              <w:rPr>
                <w:rFonts w:ascii="Arial" w:cs="Arial" w:eastAsia="Arial" w:hAnsi="Arial"/>
                <w:sz w:val="18"/>
                <w:szCs w:val="18"/>
                <w:color w:val="auto"/>
              </w:rPr>
              <w:t>47,529,812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523,409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17,663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h) Election of Ulice Payne, Jr.</w:t>
            </w:r>
          </w:p>
        </w:tc>
        <w:tc>
          <w:tcPr>
            <w:tcW w:w="1280" w:type="dxa"/>
            <w:vAlign w:val="bottom"/>
          </w:tcPr>
          <w:p>
            <w:pPr>
              <w:jc w:val="right"/>
              <w:spacing w:after="0"/>
              <w:rPr>
                <w:sz w:val="20"/>
                <w:szCs w:val="20"/>
                <w:color w:val="auto"/>
              </w:rPr>
            </w:pPr>
            <w:r>
              <w:rPr>
                <w:rFonts w:ascii="Arial" w:cs="Arial" w:eastAsia="Arial" w:hAnsi="Arial"/>
                <w:sz w:val="18"/>
                <w:szCs w:val="18"/>
                <w:color w:val="auto"/>
              </w:rPr>
              <w:t>45,277,786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2,777,506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15,593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i) Election of Jonas Prising</w:t>
            </w:r>
          </w:p>
        </w:tc>
        <w:tc>
          <w:tcPr>
            <w:tcW w:w="1280" w:type="dxa"/>
            <w:vAlign w:val="bottom"/>
          </w:tcPr>
          <w:p>
            <w:pPr>
              <w:jc w:val="right"/>
              <w:spacing w:after="0"/>
              <w:rPr>
                <w:sz w:val="20"/>
                <w:szCs w:val="20"/>
                <w:color w:val="auto"/>
              </w:rPr>
            </w:pPr>
            <w:r>
              <w:rPr>
                <w:rFonts w:ascii="Arial" w:cs="Arial" w:eastAsia="Arial" w:hAnsi="Arial"/>
                <w:sz w:val="18"/>
                <w:szCs w:val="18"/>
                <w:color w:val="auto"/>
              </w:rPr>
              <w:t>44,400,565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3,500,906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169,414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j) Election of Paul Read</w:t>
            </w:r>
          </w:p>
        </w:tc>
        <w:tc>
          <w:tcPr>
            <w:tcW w:w="1280" w:type="dxa"/>
            <w:vAlign w:val="bottom"/>
          </w:tcPr>
          <w:p>
            <w:pPr>
              <w:jc w:val="right"/>
              <w:spacing w:after="0"/>
              <w:rPr>
                <w:sz w:val="20"/>
                <w:szCs w:val="20"/>
                <w:color w:val="auto"/>
              </w:rPr>
            </w:pPr>
            <w:r>
              <w:rPr>
                <w:rFonts w:ascii="Arial" w:cs="Arial" w:eastAsia="Arial" w:hAnsi="Arial"/>
                <w:sz w:val="18"/>
                <w:szCs w:val="18"/>
                <w:color w:val="auto"/>
              </w:rPr>
              <w:t>47,924,513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128,836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17,535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k) Election of Elizabeth P. Sartain</w:t>
            </w:r>
          </w:p>
        </w:tc>
        <w:tc>
          <w:tcPr>
            <w:tcW w:w="1280" w:type="dxa"/>
            <w:vAlign w:val="bottom"/>
          </w:tcPr>
          <w:p>
            <w:pPr>
              <w:jc w:val="right"/>
              <w:spacing w:after="0"/>
              <w:rPr>
                <w:sz w:val="20"/>
                <w:szCs w:val="20"/>
                <w:color w:val="auto"/>
              </w:rPr>
            </w:pPr>
            <w:r>
              <w:rPr>
                <w:rFonts w:ascii="Arial" w:cs="Arial" w:eastAsia="Arial" w:hAnsi="Arial"/>
                <w:sz w:val="18"/>
                <w:szCs w:val="18"/>
                <w:color w:val="auto"/>
              </w:rPr>
              <w:t>47,199,387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854,791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16,707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405"/>
        </w:trPr>
        <w:tc>
          <w:tcPr>
            <w:tcW w:w="5400" w:type="dxa"/>
            <w:vAlign w:val="bottom"/>
          </w:tcPr>
          <w:p>
            <w:pPr>
              <w:ind w:left="180"/>
              <w:spacing w:after="0"/>
              <w:rPr>
                <w:sz w:val="20"/>
                <w:szCs w:val="20"/>
                <w:color w:val="auto"/>
              </w:rPr>
            </w:pPr>
            <w:r>
              <w:rPr>
                <w:rFonts w:ascii="Arial" w:cs="Arial" w:eastAsia="Arial" w:hAnsi="Arial"/>
                <w:sz w:val="18"/>
                <w:szCs w:val="18"/>
                <w:color w:val="auto"/>
              </w:rPr>
              <w:t>l) Election of Michael J. Van Handel</w:t>
            </w:r>
          </w:p>
        </w:tc>
        <w:tc>
          <w:tcPr>
            <w:tcW w:w="1280" w:type="dxa"/>
            <w:vAlign w:val="bottom"/>
          </w:tcPr>
          <w:p>
            <w:pPr>
              <w:jc w:val="right"/>
              <w:spacing w:after="0"/>
              <w:rPr>
                <w:sz w:val="20"/>
                <w:szCs w:val="20"/>
                <w:color w:val="auto"/>
              </w:rPr>
            </w:pPr>
            <w:r>
              <w:rPr>
                <w:rFonts w:ascii="Arial" w:cs="Arial" w:eastAsia="Arial" w:hAnsi="Arial"/>
                <w:sz w:val="18"/>
                <w:szCs w:val="18"/>
                <w:color w:val="auto"/>
              </w:rPr>
              <w:t>47,469,001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586,206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15,678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351"/>
        </w:trPr>
        <w:tc>
          <w:tcPr>
            <w:tcW w:w="540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 LLP as our</w:t>
            </w:r>
          </w:p>
        </w:tc>
        <w:tc>
          <w:tcPr>
            <w:tcW w:w="1280" w:type="dxa"/>
            <w:vAlign w:val="bottom"/>
          </w:tcPr>
          <w:p>
            <w:pPr>
              <w:jc w:val="right"/>
              <w:spacing w:after="0"/>
              <w:rPr>
                <w:sz w:val="20"/>
                <w:szCs w:val="20"/>
                <w:color w:val="auto"/>
              </w:rPr>
            </w:pPr>
            <w:r>
              <w:rPr>
                <w:rFonts w:ascii="Arial" w:cs="Arial" w:eastAsia="Arial" w:hAnsi="Arial"/>
                <w:sz w:val="18"/>
                <w:szCs w:val="18"/>
                <w:color w:val="auto"/>
              </w:rPr>
              <w:t>48,670,945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516,168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12,362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independent auditors for 2022</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0" w:type="dxa"/>
            <w:vAlign w:val="bottom"/>
          </w:tcPr>
          <w:p>
            <w:pPr>
              <w:spacing w:after="0"/>
              <w:rPr>
                <w:sz w:val="20"/>
                <w:szCs w:val="20"/>
                <w:color w:val="auto"/>
              </w:rPr>
            </w:pPr>
            <w:r>
              <w:rPr>
                <w:rFonts w:ascii="Arial" w:cs="Arial" w:eastAsia="Arial" w:hAnsi="Arial"/>
                <w:sz w:val="18"/>
                <w:szCs w:val="18"/>
                <w:color w:val="auto"/>
              </w:rPr>
              <w:t>3.  Advisory vote on the compensation of our named executive</w:t>
            </w:r>
          </w:p>
        </w:tc>
        <w:tc>
          <w:tcPr>
            <w:tcW w:w="1280" w:type="dxa"/>
            <w:vAlign w:val="bottom"/>
          </w:tcPr>
          <w:p>
            <w:pPr>
              <w:jc w:val="right"/>
              <w:spacing w:after="0"/>
              <w:rPr>
                <w:sz w:val="20"/>
                <w:szCs w:val="20"/>
                <w:color w:val="auto"/>
              </w:rPr>
            </w:pPr>
            <w:r>
              <w:rPr>
                <w:rFonts w:ascii="Arial" w:cs="Arial" w:eastAsia="Arial" w:hAnsi="Arial"/>
                <w:sz w:val="18"/>
                <w:szCs w:val="18"/>
                <w:color w:val="auto"/>
              </w:rPr>
              <w:t>45,176,299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2,866,987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27,599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1,128,591</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officers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On May 6, 2022 our Board of Directors declared a semi-annual dividend of $1.36 per share. The dividend will be paid on June 15, 2022 to shareholders of record as of the close of business on June 1, 2022. The press release is attached hereto as Exhibit 99.1 and is incorporated by reference herein.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22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8"/>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2"/>
        </w:trPr>
        <w:tc>
          <w:tcPr>
            <w:tcW w:w="1020" w:type="dxa"/>
            <w:vAlign w:val="bottom"/>
          </w:tcPr>
          <w:p>
            <w:pPr>
              <w:ind w:left="20"/>
              <w:spacing w:after="0" w:line="162" w:lineRule="exact"/>
              <w:rPr>
                <w:sz w:val="20"/>
                <w:szCs w:val="20"/>
                <w:color w:val="auto"/>
              </w:rPr>
            </w:pPr>
            <w:r>
              <w:rPr>
                <w:rFonts w:ascii="Arial" w:cs="Arial" w:eastAsia="Arial" w:hAnsi="Arial"/>
                <w:sz w:val="18"/>
                <w:szCs w:val="18"/>
                <w:color w:val="auto"/>
              </w:rPr>
              <w:t>99.1</w:t>
            </w:r>
          </w:p>
        </w:tc>
        <w:tc>
          <w:tcPr>
            <w:tcW w:w="160" w:type="dxa"/>
            <w:vAlign w:val="bottom"/>
          </w:tcPr>
          <w:p>
            <w:pPr>
              <w:spacing w:after="0"/>
              <w:rPr>
                <w:sz w:val="14"/>
                <w:szCs w:val="14"/>
                <w:color w:val="auto"/>
              </w:rPr>
            </w:pPr>
          </w:p>
        </w:tc>
        <w:tc>
          <w:tcPr>
            <w:tcW w:w="10060" w:type="dxa"/>
            <w:vAlign w:val="bottom"/>
            <w:gridSpan w:val="2"/>
          </w:tcPr>
          <w:p>
            <w:pPr>
              <w:spacing w:after="0" w:line="16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May 6, 2022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6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700" w:type="dxa"/>
            <w:vAlign w:val="bottom"/>
            <w:vMerge w:val="restart"/>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line="20" w:lineRule="exact"/>
              <w:rPr>
                <w:sz w:val="1"/>
                <w:szCs w:val="1"/>
                <w:color w:val="auto"/>
              </w:rPr>
            </w:pPr>
          </w:p>
        </w:tc>
      </w:tr>
      <w:tr>
        <w:trPr>
          <w:trHeight w:val="224"/>
        </w:trPr>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89"/>
              </w:rPr>
              <w:t>Cover Page Interactive Data File</w:t>
            </w:r>
          </w:p>
        </w:tc>
        <w:tc>
          <w:tcPr>
            <w:tcW w:w="7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198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392"/>
        </w:trPr>
        <w:tc>
          <w:tcPr>
            <w:tcW w:w="3440" w:type="dxa"/>
            <w:vAlign w:val="bottom"/>
          </w:tcPr>
          <w:p>
            <w:pPr>
              <w:ind w:left="20"/>
              <w:spacing w:after="0"/>
              <w:rPr>
                <w:sz w:val="20"/>
                <w:szCs w:val="20"/>
                <w:color w:val="auto"/>
              </w:rPr>
            </w:pPr>
            <w:r>
              <w:rPr>
                <w:rFonts w:ascii="Arial" w:cs="Arial" w:eastAsia="Arial" w:hAnsi="Arial"/>
                <w:sz w:val="18"/>
                <w:szCs w:val="18"/>
                <w:color w:val="auto"/>
              </w:rPr>
              <w:t>Dated: May 6, 2022</w:t>
            </w:r>
          </w:p>
        </w:tc>
        <w:tc>
          <w:tcPr>
            <w:tcW w:w="2700" w:type="dxa"/>
            <w:vAlign w:val="bottom"/>
          </w:tcPr>
          <w:p>
            <w:pPr>
              <w:ind w:left="19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Title:</w:t>
            </w:r>
          </w:p>
        </w:tc>
        <w:tc>
          <w:tcPr>
            <w:tcW w:w="5100" w:type="dxa"/>
            <w:vAlign w:val="bottom"/>
            <w:vMerge w:val="restart"/>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5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34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5704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tabs>
          <w:tab w:leader="none" w:pos="50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Nick Hengst, Investor Relations Manager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+1.414.906.7356</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0000FF"/>
        </w:rPr>
        <w:t>nicholas.hengst@manpowergroup.com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314960</wp:posOffset>
            </wp:positionV>
            <wp:extent cx="3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7.9 Percent</w:t>
      </w:r>
    </w:p>
    <w:p>
      <w:pPr>
        <w:spacing w:after="0" w:line="2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MILWAUKEE (May 6, 2022) – </w:t>
      </w:r>
      <w:r>
        <w:rPr>
          <w:rFonts w:ascii="Arial" w:cs="Arial" w:eastAsia="Arial" w:hAnsi="Arial"/>
          <w:sz w:val="18"/>
          <w:szCs w:val="18"/>
          <w:color w:val="auto"/>
        </w:rPr>
        <w:t>The Board of Directors of ManpowerGroup (NYSE: MAN) has declared a semi-annual dividend of $1.36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a 7.9 percent increase from the most recent semi-annual dividend of $1.26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June 15, 2022 to shareholders of record as of the close of business on June 1, 2022.</w:t>
      </w:r>
    </w:p>
    <w:p>
      <w:pPr>
        <w:spacing w:after="0" w:line="198" w:lineRule="exact"/>
        <w:rPr>
          <w:sz w:val="20"/>
          <w:szCs w:val="20"/>
          <w:color w:val="auto"/>
        </w:rPr>
      </w:pPr>
    </w:p>
    <w:p>
      <w:pPr>
        <w:ind w:right="1140"/>
        <w:spacing w:after="0" w:line="246"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00"/>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2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 choice for in-demand talent. For more information, visit </w:t>
      </w:r>
      <w:r>
        <w:rPr>
          <w:rFonts w:ascii="Arial" w:cs="Arial" w:eastAsia="Arial" w:hAnsi="Arial"/>
          <w:sz w:val="18"/>
          <w:szCs w:val="18"/>
          <w:u w:val="single" w:color="auto"/>
          <w:color w:val="0000FF"/>
        </w:rPr>
        <w:t>www.manpowergroup.com</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2022-05-07T08:37:13Z</dcterms:created>
  <dcterms:modified xsi:type="dcterms:W3CDTF">2022-05-07T08:37:13Z</dcterms:modified>
</cp:coreProperties>
</file>