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580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58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2,132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-3524885</wp:posOffset>
            </wp:positionV>
            <wp:extent cx="29210" cy="352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2024 and will be settled in shares of ManpowerGroup common stock on a 1 for 1 basis on the earlier of January 1, 2027 or within 30 days after the reporting person's termination of service as a director, except as otherwise provided in the Terms and Conditions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2024-01-03T16:18:17Z</dcterms:created>
  <dcterms:modified xsi:type="dcterms:W3CDTF">2024-01-03T16:18:17Z</dcterms:modified>
</cp:coreProperties>
</file>