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8-K</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July 20, 2023</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MANPOWERGROUP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4360" w:type="dxa"/>
            <w:vAlign w:val="bottom"/>
            <w:gridSpan w:val="3"/>
          </w:tcPr>
          <w:p>
            <w:pPr>
              <w:jc w:val="center"/>
              <w:ind w:right="780"/>
              <w:spacing w:after="0"/>
              <w:rPr>
                <w:sz w:val="20"/>
                <w:szCs w:val="20"/>
                <w:color w:val="auto"/>
              </w:rPr>
            </w:pPr>
            <w:r>
              <w:rPr>
                <w:rFonts w:ascii="Arial" w:cs="Arial" w:eastAsia="Arial" w:hAnsi="Arial"/>
                <w:sz w:val="16"/>
                <w:szCs w:val="16"/>
                <w:b w:val="1"/>
                <w:bCs w:val="1"/>
                <w:color w:val="auto"/>
                <w:w w:val="87"/>
              </w:rPr>
              <w:t>Wisconsin</w:t>
            </w:r>
          </w:p>
        </w:tc>
        <w:tc>
          <w:tcPr>
            <w:tcW w:w="3060" w:type="dxa"/>
            <w:vAlign w:val="bottom"/>
            <w:gridSpan w:val="3"/>
          </w:tcPr>
          <w:p>
            <w:pPr>
              <w:jc w:val="right"/>
              <w:ind w:right="1540"/>
              <w:spacing w:after="0"/>
              <w:rPr>
                <w:sz w:val="20"/>
                <w:szCs w:val="20"/>
                <w:color w:val="auto"/>
              </w:rPr>
            </w:pPr>
            <w:r>
              <w:rPr>
                <w:rFonts w:ascii="Arial" w:cs="Arial" w:eastAsia="Arial" w:hAnsi="Arial"/>
                <w:sz w:val="16"/>
                <w:szCs w:val="16"/>
                <w:b w:val="1"/>
                <w:bCs w:val="1"/>
                <w:color w:val="auto"/>
              </w:rPr>
              <w:t>1-10686</w:t>
            </w:r>
          </w:p>
        </w:tc>
        <w:tc>
          <w:tcPr>
            <w:tcW w:w="3840" w:type="dxa"/>
            <w:vAlign w:val="bottom"/>
            <w:gridSpan w:val="2"/>
          </w:tcPr>
          <w:p>
            <w:pPr>
              <w:jc w:val="right"/>
              <w:ind w:right="1341"/>
              <w:spacing w:after="0"/>
              <w:rPr>
                <w:sz w:val="20"/>
                <w:szCs w:val="20"/>
                <w:color w:val="auto"/>
              </w:rPr>
            </w:pPr>
            <w:r>
              <w:rPr>
                <w:rFonts w:ascii="Arial" w:cs="Arial" w:eastAsia="Arial" w:hAnsi="Arial"/>
                <w:sz w:val="16"/>
                <w:szCs w:val="16"/>
                <w:b w:val="1"/>
                <w:bCs w:val="1"/>
                <w:color w:val="auto"/>
              </w:rPr>
              <w:t>39-1672779</w:t>
            </w:r>
          </w:p>
        </w:tc>
      </w:tr>
      <w:tr>
        <w:trPr>
          <w:trHeight w:val="203"/>
        </w:trPr>
        <w:tc>
          <w:tcPr>
            <w:tcW w:w="35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(State or other jurisdiction of incorporation)</w:t>
            </w:r>
          </w:p>
        </w:tc>
        <w:tc>
          <w:tcPr>
            <w:tcW w:w="2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060" w:type="dxa"/>
            <w:vAlign w:val="bottom"/>
            <w:tcBorders>
              <w:top w:val="single" w:sz="8" w:color="auto"/>
            </w:tcBorders>
            <w:gridSpan w:val="3"/>
          </w:tcPr>
          <w:p>
            <w:pPr>
              <w:jc w:val="center"/>
              <w:ind w:right="540"/>
              <w:spacing w:after="0"/>
              <w:rPr>
                <w:sz w:val="20"/>
                <w:szCs w:val="20"/>
                <w:color w:val="auto"/>
              </w:rPr>
            </w:pPr>
            <w:r>
              <w:rPr>
                <w:rFonts w:ascii="Arial" w:cs="Arial" w:eastAsia="Arial" w:hAnsi="Arial"/>
                <w:sz w:val="16"/>
                <w:szCs w:val="16"/>
                <w:b w:val="1"/>
                <w:bCs w:val="1"/>
                <w:color w:val="auto"/>
                <w:w w:val="90"/>
              </w:rPr>
              <w:t>(Commission File Number)</w:t>
            </w:r>
          </w:p>
        </w:tc>
        <w:tc>
          <w:tcPr>
            <w:tcW w:w="24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(IRS Employer Identification No.)</w:t>
            </w:r>
          </w:p>
        </w:tc>
      </w:tr>
      <w:tr>
        <w:trPr>
          <w:trHeight w:val="362"/>
        </w:trPr>
        <w:tc>
          <w:tcPr>
            <w:tcW w:w="4360" w:type="dxa"/>
            <w:vAlign w:val="bottom"/>
            <w:gridSpan w:val="3"/>
          </w:tcPr>
          <w:p>
            <w:pPr>
              <w:jc w:val="center"/>
              <w:ind w:left="941"/>
              <w:spacing w:after="0"/>
              <w:rPr>
                <w:sz w:val="20"/>
                <w:szCs w:val="20"/>
                <w:color w:val="auto"/>
              </w:rPr>
            </w:pPr>
            <w:r>
              <w:rPr>
                <w:rFonts w:ascii="Arial" w:cs="Arial" w:eastAsia="Arial" w:hAnsi="Arial"/>
                <w:sz w:val="16"/>
                <w:szCs w:val="16"/>
                <w:b w:val="1"/>
                <w:bCs w:val="1"/>
                <w:color w:val="auto"/>
                <w:w w:val="90"/>
              </w:rPr>
              <w:t>100 Manpower Place</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9"/>
        </w:trPr>
        <w:tc>
          <w:tcPr>
            <w:tcW w:w="4360" w:type="dxa"/>
            <w:vAlign w:val="bottom"/>
            <w:tcBorders>
              <w:bottom w:val="single" w:sz="8" w:color="auto"/>
            </w:tcBorders>
            <w:gridSpan w:val="3"/>
          </w:tcPr>
          <w:p>
            <w:pPr>
              <w:jc w:val="center"/>
              <w:ind w:left="941"/>
              <w:spacing w:after="0"/>
              <w:rPr>
                <w:sz w:val="20"/>
                <w:szCs w:val="20"/>
                <w:color w:val="auto"/>
              </w:rPr>
            </w:pPr>
            <w:r>
              <w:rPr>
                <w:rFonts w:ascii="Arial" w:cs="Arial" w:eastAsia="Arial" w:hAnsi="Arial"/>
                <w:sz w:val="16"/>
                <w:szCs w:val="16"/>
                <w:b w:val="1"/>
                <w:bCs w:val="1"/>
                <w:color w:val="auto"/>
                <w:w w:val="88"/>
              </w:rPr>
              <w:t>Milwaukee, Wisconsin</w:t>
            </w:r>
          </w:p>
        </w:tc>
        <w:tc>
          <w:tcPr>
            <w:tcW w:w="10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2"/>
          </w:tcPr>
          <w:p>
            <w:pPr>
              <w:jc w:val="right"/>
              <w:ind w:right="2421"/>
              <w:spacing w:after="0"/>
              <w:rPr>
                <w:sz w:val="20"/>
                <w:szCs w:val="20"/>
                <w:color w:val="auto"/>
              </w:rPr>
            </w:pPr>
            <w:r>
              <w:rPr>
                <w:rFonts w:ascii="Arial" w:cs="Arial" w:eastAsia="Arial" w:hAnsi="Arial"/>
                <w:sz w:val="16"/>
                <w:szCs w:val="16"/>
                <w:b w:val="1"/>
                <w:bCs w:val="1"/>
                <w:color w:val="auto"/>
              </w:rPr>
              <w:t>53212</w:t>
            </w:r>
          </w:p>
        </w:tc>
      </w:tr>
      <w:tr>
        <w:trPr>
          <w:trHeight w:val="203"/>
        </w:trPr>
        <w:tc>
          <w:tcPr>
            <w:tcW w:w="4360" w:type="dxa"/>
            <w:vAlign w:val="bottom"/>
            <w:gridSpan w:val="3"/>
          </w:tcPr>
          <w:p>
            <w:pPr>
              <w:jc w:val="center"/>
              <w:ind w:left="941"/>
              <w:spacing w:after="0"/>
              <w:rPr>
                <w:sz w:val="20"/>
                <w:szCs w:val="20"/>
                <w:color w:val="auto"/>
              </w:rPr>
            </w:pPr>
            <w:r>
              <w:rPr>
                <w:rFonts w:ascii="Arial" w:cs="Arial" w:eastAsia="Arial" w:hAnsi="Arial"/>
                <w:sz w:val="16"/>
                <w:szCs w:val="16"/>
                <w:b w:val="1"/>
                <w:bCs w:val="1"/>
                <w:color w:val="auto"/>
                <w:w w:val="87"/>
              </w:rPr>
              <w:t>(Address of principal executive offices)</w:t>
            </w: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0" w:type="dxa"/>
            <w:vAlign w:val="bottom"/>
          </w:tcPr>
          <w:p>
            <w:pPr>
              <w:jc w:val="center"/>
              <w:ind w:right="1721"/>
              <w:spacing w:after="0"/>
              <w:rPr>
                <w:sz w:val="20"/>
                <w:szCs w:val="20"/>
                <w:color w:val="auto"/>
              </w:rPr>
            </w:pPr>
            <w:r>
              <w:rPr>
                <w:rFonts w:ascii="Arial" w:cs="Arial" w:eastAsia="Arial" w:hAnsi="Arial"/>
                <w:sz w:val="16"/>
                <w:szCs w:val="16"/>
                <w:b w:val="1"/>
                <w:bCs w:val="1"/>
                <w:color w:val="auto"/>
                <w:w w:val="90"/>
              </w:rPr>
              <w:t>(Zip Code)</w:t>
            </w:r>
          </w:p>
        </w:tc>
      </w:tr>
    </w:tbl>
    <w:p>
      <w:pPr>
        <w:spacing w:after="0" w:line="126" w:lineRule="exact"/>
        <w:rPr>
          <w:sz w:val="24"/>
          <w:szCs w:val="24"/>
          <w:color w:val="auto"/>
        </w:rPr>
      </w:pPr>
    </w:p>
    <w:p>
      <w:pPr>
        <w:ind w:left="3460"/>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135" w:lineRule="exact"/>
        <w:rPr>
          <w:sz w:val="24"/>
          <w:szCs w:val="24"/>
          <w:color w:val="auto"/>
        </w:rPr>
      </w:pPr>
    </w:p>
    <w:p>
      <w:pPr>
        <w:ind w:left="36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35"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41" w:lineRule="exact"/>
        <w:rPr>
          <w:sz w:val="24"/>
          <w:szCs w:val="24"/>
          <w:color w:val="auto"/>
        </w:rPr>
      </w:pPr>
    </w:p>
    <w:p>
      <w:pPr>
        <w:ind w:left="840" w:hanging="834"/>
        <w:spacing w:after="0"/>
        <w:tabs>
          <w:tab w:leader="none" w:pos="8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23" w:lineRule="exact"/>
        <w:rPr>
          <w:rFonts w:ascii="MS PGothic" w:cs="MS PGothic" w:eastAsia="MS PGothic" w:hAnsi="MS PGothic"/>
          <w:sz w:val="16"/>
          <w:szCs w:val="16"/>
          <w:color w:val="auto"/>
        </w:rPr>
      </w:pPr>
    </w:p>
    <w:p>
      <w:pPr>
        <w:ind w:left="840" w:hanging="834"/>
        <w:spacing w:after="0"/>
        <w:tabs>
          <w:tab w:leader="none" w:pos="8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23" w:lineRule="exact"/>
        <w:rPr>
          <w:rFonts w:ascii="MS PGothic" w:cs="MS PGothic" w:eastAsia="MS PGothic" w:hAnsi="MS PGothic"/>
          <w:sz w:val="16"/>
          <w:szCs w:val="16"/>
          <w:color w:val="auto"/>
        </w:rPr>
      </w:pPr>
    </w:p>
    <w:p>
      <w:pPr>
        <w:ind w:left="840" w:hanging="834"/>
        <w:spacing w:after="0"/>
        <w:tabs>
          <w:tab w:leader="none" w:pos="8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23" w:lineRule="exact"/>
        <w:rPr>
          <w:rFonts w:ascii="MS PGothic" w:cs="MS PGothic" w:eastAsia="MS PGothic" w:hAnsi="MS PGothic"/>
          <w:sz w:val="16"/>
          <w:szCs w:val="16"/>
          <w:color w:val="auto"/>
        </w:rPr>
      </w:pPr>
    </w:p>
    <w:p>
      <w:pPr>
        <w:ind w:left="840" w:hanging="834"/>
        <w:spacing w:after="0"/>
        <w:tabs>
          <w:tab w:leader="none" w:pos="8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6" w:lineRule="exact"/>
        <w:rPr>
          <w:sz w:val="24"/>
          <w:szCs w:val="24"/>
          <w:color w:val="auto"/>
        </w:rPr>
      </w:pPr>
    </w:p>
    <w:tbl>
      <w:tblPr>
        <w:tblLayout w:type="fixed"/>
        <w:tblInd w:w="10" w:type="dxa"/>
        <w:tblCellMar>
          <w:top w:w="0" w:type="dxa"/>
          <w:left w:w="0" w:type="dxa"/>
          <w:bottom w:w="0" w:type="dxa"/>
          <w:right w:w="0" w:type="dxa"/>
        </w:tblCellMar>
      </w:tblPr>
      <w:tr>
        <w:trPr>
          <w:trHeight w:val="200"/>
        </w:trPr>
        <w:tc>
          <w:tcPr>
            <w:tcW w:w="3740" w:type="dxa"/>
            <w:vAlign w:val="bottom"/>
          </w:tcPr>
          <w:p>
            <w:pPr>
              <w:spacing w:after="0"/>
              <w:rPr>
                <w:sz w:val="20"/>
                <w:szCs w:val="20"/>
                <w:color w:val="auto"/>
              </w:rPr>
            </w:pPr>
            <w:r>
              <w:rPr>
                <w:rFonts w:ascii="Arial" w:cs="Arial" w:eastAsia="Arial" w:hAnsi="Arial"/>
                <w:sz w:val="16"/>
                <w:szCs w:val="16"/>
                <w:color w:val="auto"/>
                <w:w w:val="91"/>
              </w:rPr>
              <w:t>Securities registered pursuant to Section 12(b) of the Act:</w:t>
            </w:r>
          </w:p>
        </w:tc>
        <w:tc>
          <w:tcPr>
            <w:tcW w:w="378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171"/>
        </w:trPr>
        <w:tc>
          <w:tcPr>
            <w:tcW w:w="374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tcPr>
          <w:p>
            <w:pPr>
              <w:spacing w:after="0"/>
              <w:rPr>
                <w:sz w:val="14"/>
                <w:szCs w:val="14"/>
                <w:color w:val="auto"/>
              </w:rPr>
            </w:pPr>
          </w:p>
        </w:tc>
      </w:tr>
      <w:tr>
        <w:trPr>
          <w:trHeight w:val="203"/>
        </w:trPr>
        <w:tc>
          <w:tcPr>
            <w:tcW w:w="374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8"/>
              </w:rPr>
              <w:t>Title of each class</w:t>
            </w:r>
          </w:p>
        </w:tc>
        <w:tc>
          <w:tcPr>
            <w:tcW w:w="3780" w:type="dxa"/>
            <w:vAlign w:val="bottom"/>
            <w:tcBorders>
              <w:bottom w:val="single" w:sz="8" w:color="auto"/>
              <w:right w:val="single" w:sz="8" w:color="auto"/>
            </w:tcBorders>
          </w:tcPr>
          <w:p>
            <w:pPr>
              <w:jc w:val="center"/>
              <w:spacing w:after="0" w:line="181" w:lineRule="exact"/>
              <w:rPr>
                <w:sz w:val="20"/>
                <w:szCs w:val="20"/>
                <w:color w:val="auto"/>
              </w:rPr>
            </w:pPr>
            <w:r>
              <w:rPr>
                <w:rFonts w:ascii="Arial" w:cs="Arial" w:eastAsia="Arial" w:hAnsi="Arial"/>
                <w:sz w:val="16"/>
                <w:szCs w:val="16"/>
                <w:color w:val="auto"/>
                <w:w w:val="91"/>
              </w:rPr>
              <w:t>Trading Symbol(s)</w:t>
            </w:r>
          </w:p>
        </w:tc>
        <w:tc>
          <w:tcPr>
            <w:tcW w:w="3740" w:type="dxa"/>
            <w:vAlign w:val="bottom"/>
            <w:tcBorders>
              <w:bottom w:val="single" w:sz="8" w:color="auto"/>
              <w:right w:val="single" w:sz="8" w:color="auto"/>
            </w:tcBorders>
          </w:tcPr>
          <w:p>
            <w:pPr>
              <w:jc w:val="center"/>
              <w:spacing w:after="0" w:line="181" w:lineRule="exact"/>
              <w:rPr>
                <w:sz w:val="20"/>
                <w:szCs w:val="20"/>
                <w:color w:val="auto"/>
              </w:rPr>
            </w:pPr>
            <w:r>
              <w:rPr>
                <w:rFonts w:ascii="Arial" w:cs="Arial" w:eastAsia="Arial" w:hAnsi="Arial"/>
                <w:sz w:val="16"/>
                <w:szCs w:val="16"/>
                <w:color w:val="auto"/>
                <w:w w:val="87"/>
              </w:rPr>
              <w:t>Name of each exchange on which registered</w:t>
            </w:r>
          </w:p>
        </w:tc>
      </w:tr>
      <w:tr>
        <w:trPr>
          <w:trHeight w:val="187"/>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Common Stock, $.01 par value</w:t>
            </w:r>
          </w:p>
        </w:tc>
        <w:tc>
          <w:tcPr>
            <w:tcW w:w="3780" w:type="dxa"/>
            <w:vAlign w:val="bottom"/>
            <w:tcBorders>
              <w:bottom w:val="single" w:sz="8" w:color="auto"/>
              <w:right w:val="single" w:sz="8" w:color="auto"/>
            </w:tcBorders>
          </w:tcPr>
          <w:p>
            <w:pPr>
              <w:jc w:val="center"/>
              <w:spacing w:after="0" w:line="181" w:lineRule="exact"/>
              <w:rPr>
                <w:sz w:val="20"/>
                <w:szCs w:val="20"/>
                <w:color w:val="auto"/>
              </w:rPr>
            </w:pPr>
            <w:r>
              <w:rPr>
                <w:rFonts w:ascii="Arial" w:cs="Arial" w:eastAsia="Arial" w:hAnsi="Arial"/>
                <w:sz w:val="16"/>
                <w:szCs w:val="16"/>
                <w:color w:val="auto"/>
              </w:rPr>
              <w:t>MAN</w:t>
            </w:r>
          </w:p>
        </w:tc>
        <w:tc>
          <w:tcPr>
            <w:tcW w:w="3740" w:type="dxa"/>
            <w:vAlign w:val="bottom"/>
            <w:tcBorders>
              <w:bottom w:val="single" w:sz="8" w:color="auto"/>
              <w:right w:val="single" w:sz="8" w:color="auto"/>
            </w:tcBorders>
          </w:tcPr>
          <w:p>
            <w:pPr>
              <w:jc w:val="center"/>
              <w:spacing w:after="0" w:line="181" w:lineRule="exact"/>
              <w:rPr>
                <w:sz w:val="20"/>
                <w:szCs w:val="20"/>
                <w:color w:val="auto"/>
              </w:rPr>
            </w:pPr>
            <w:r>
              <w:rPr>
                <w:rFonts w:ascii="Arial" w:cs="Arial" w:eastAsia="Arial" w:hAnsi="Arial"/>
                <w:sz w:val="16"/>
                <w:szCs w:val="16"/>
                <w:color w:val="auto"/>
                <w:w w:val="89"/>
              </w:rPr>
              <w:t>New York Stock Exchange</w:t>
            </w:r>
          </w:p>
        </w:tc>
      </w:tr>
    </w:tbl>
    <w:p>
      <w:pPr>
        <w:spacing w:after="0" w:line="177" w:lineRule="exact"/>
        <w:rPr>
          <w:sz w:val="24"/>
          <w:szCs w:val="24"/>
          <w:color w:val="auto"/>
        </w:rPr>
      </w:pPr>
    </w:p>
    <w:p>
      <w:pPr>
        <w:jc w:val="both"/>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3" w:lineRule="exact"/>
        <w:rPr>
          <w:sz w:val="24"/>
          <w:szCs w:val="24"/>
          <w:color w:val="auto"/>
        </w:rPr>
      </w:pPr>
    </w:p>
    <w:p>
      <w:pPr>
        <w:ind w:right="320"/>
        <w:spacing w:after="0" w:line="268"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394970</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87"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187" w:lineRule="exact"/>
        <w:rPr>
          <w:sz w:val="20"/>
          <w:szCs w:val="20"/>
          <w:color w:val="auto"/>
        </w:rPr>
      </w:pPr>
    </w:p>
    <w:p>
      <w:pPr>
        <w:ind w:right="260"/>
        <w:spacing w:after="0" w:line="282" w:lineRule="auto"/>
        <w:rPr>
          <w:sz w:val="20"/>
          <w:szCs w:val="20"/>
          <w:color w:val="auto"/>
        </w:rPr>
      </w:pPr>
      <w:r>
        <w:rPr>
          <w:rFonts w:ascii="Arial" w:cs="Arial" w:eastAsia="Arial" w:hAnsi="Arial"/>
          <w:sz w:val="15"/>
          <w:szCs w:val="15"/>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13" w:lineRule="exact"/>
        <w:rPr>
          <w:sz w:val="20"/>
          <w:szCs w:val="20"/>
          <w:color w:val="auto"/>
        </w:rPr>
      </w:pPr>
    </w:p>
    <w:p>
      <w:pPr>
        <w:ind w:right="520"/>
        <w:spacing w:after="0" w:line="268" w:lineRule="auto"/>
        <w:rPr>
          <w:sz w:val="20"/>
          <w:szCs w:val="20"/>
          <w:color w:val="auto"/>
        </w:rPr>
      </w:pPr>
      <w:r>
        <w:rPr>
          <w:rFonts w:ascii="Arial" w:cs="Arial" w:eastAsia="Arial" w:hAnsi="Arial"/>
          <w:sz w:val="16"/>
          <w:szCs w:val="16"/>
          <w:color w:val="auto"/>
        </w:rPr>
        <w:t>On July 20, 2023, we issued a press release announcing our results of operations for the three and six months ended June 30, 2023 and 2022. A copy of the press release is attached hereto as Exhibit 99.1 and is incorporated herein by reference.</w:t>
      </w:r>
    </w:p>
    <w:p>
      <w:pPr>
        <w:spacing w:after="0" w:line="153"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Exhibit No.</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6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Description</w:t>
            </w:r>
          </w:p>
        </w:tc>
      </w:tr>
      <w:tr>
        <w:trPr>
          <w:trHeight w:val="157"/>
        </w:trPr>
        <w:tc>
          <w:tcPr>
            <w:tcW w:w="1240" w:type="dxa"/>
            <w:vAlign w:val="bottom"/>
          </w:tcPr>
          <w:p>
            <w:pPr>
              <w:spacing w:after="0" w:line="158" w:lineRule="exact"/>
              <w:rPr>
                <w:sz w:val="20"/>
                <w:szCs w:val="20"/>
                <w:color w:val="auto"/>
              </w:rPr>
            </w:pPr>
            <w:r>
              <w:rPr>
                <w:rFonts w:ascii="Arial" w:cs="Arial" w:eastAsia="Arial" w:hAnsi="Arial"/>
                <w:sz w:val="16"/>
                <w:szCs w:val="16"/>
                <w:color w:val="auto"/>
              </w:rPr>
              <w:t>99.1</w:t>
            </w:r>
          </w:p>
        </w:tc>
        <w:tc>
          <w:tcPr>
            <w:tcW w:w="1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180" w:type="dxa"/>
            <w:vAlign w:val="bottom"/>
            <w:tcBorders>
              <w:bottom w:val="single" w:sz="8" w:color="0000EE"/>
            </w:tcBorders>
          </w:tcPr>
          <w:p>
            <w:pPr>
              <w:spacing w:after="0" w:line="158" w:lineRule="exact"/>
              <w:rPr>
                <w:sz w:val="20"/>
                <w:szCs w:val="20"/>
                <w:color w:val="auto"/>
              </w:rPr>
            </w:pPr>
            <w:r>
              <w:rPr>
                <w:rFonts w:ascii="Arial" w:cs="Arial" w:eastAsia="Arial" w:hAnsi="Arial"/>
                <w:sz w:val="16"/>
                <w:szCs w:val="16"/>
                <w:color w:val="0000FF"/>
                <w:w w:val="87"/>
              </w:rPr>
              <w:t>Press Release dated July 20, 2023</w:t>
            </w:r>
          </w:p>
        </w:tc>
        <w:tc>
          <w:tcPr>
            <w:tcW w:w="7680" w:type="dxa"/>
            <w:vAlign w:val="bottom"/>
            <w:gridSpan w:val="2"/>
          </w:tcPr>
          <w:p>
            <w:pPr>
              <w:spacing w:after="0"/>
              <w:rPr>
                <w:sz w:val="13"/>
                <w:szCs w:val="13"/>
                <w:color w:val="auto"/>
              </w:rPr>
            </w:pPr>
          </w:p>
        </w:tc>
      </w:tr>
      <w:tr>
        <w:trPr>
          <w:trHeight w:val="193"/>
        </w:trPr>
        <w:tc>
          <w:tcPr>
            <w:tcW w:w="1240" w:type="dxa"/>
            <w:vAlign w:val="bottom"/>
          </w:tcPr>
          <w:p>
            <w:pPr>
              <w:spacing w:after="0"/>
              <w:rPr>
                <w:sz w:val="20"/>
                <w:szCs w:val="20"/>
                <w:color w:val="auto"/>
              </w:rPr>
            </w:pPr>
            <w:r>
              <w:rPr>
                <w:rFonts w:ascii="Arial" w:cs="Arial" w:eastAsia="Arial" w:hAnsi="Arial"/>
                <w:sz w:val="16"/>
                <w:szCs w:val="16"/>
                <w:color w:val="auto"/>
              </w:rPr>
              <w:t>99.2</w:t>
            </w:r>
          </w:p>
        </w:tc>
        <w:tc>
          <w:tcPr>
            <w:tcW w:w="140" w:type="dxa"/>
            <w:vAlign w:val="bottom"/>
          </w:tcPr>
          <w:p>
            <w:pPr>
              <w:spacing w:after="0"/>
              <w:rPr>
                <w:sz w:val="16"/>
                <w:szCs w:val="16"/>
                <w:color w:val="auto"/>
              </w:rPr>
            </w:pPr>
          </w:p>
        </w:tc>
        <w:tc>
          <w:tcPr>
            <w:tcW w:w="20" w:type="dxa"/>
            <w:vAlign w:val="bottom"/>
            <w:tcBorders>
              <w:bottom w:val="single" w:sz="8" w:color="0000EE"/>
            </w:tcBorders>
          </w:tcPr>
          <w:p>
            <w:pPr>
              <w:spacing w:after="0"/>
              <w:rPr>
                <w:sz w:val="16"/>
                <w:szCs w:val="16"/>
                <w:color w:val="auto"/>
              </w:rPr>
            </w:pPr>
          </w:p>
        </w:tc>
        <w:tc>
          <w:tcPr>
            <w:tcW w:w="358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88"/>
              </w:rPr>
              <w:t>Presentation materials for July 20, 2023 Conference Call</w:t>
            </w:r>
          </w:p>
        </w:tc>
        <w:tc>
          <w:tcPr>
            <w:tcW w:w="6280" w:type="dxa"/>
            <w:vAlign w:val="bottom"/>
          </w:tcPr>
          <w:p>
            <w:pPr>
              <w:spacing w:after="0"/>
              <w:rPr>
                <w:sz w:val="16"/>
                <w:szCs w:val="16"/>
                <w:color w:val="auto"/>
              </w:rPr>
            </w:pPr>
          </w:p>
        </w:tc>
      </w:tr>
      <w:tr>
        <w:trPr>
          <w:trHeight w:val="227"/>
        </w:trPr>
        <w:tc>
          <w:tcPr>
            <w:tcW w:w="1240" w:type="dxa"/>
            <w:vAlign w:val="bottom"/>
          </w:tcPr>
          <w:p>
            <w:pPr>
              <w:spacing w:after="0"/>
              <w:rPr>
                <w:sz w:val="20"/>
                <w:szCs w:val="20"/>
                <w:color w:val="auto"/>
              </w:rPr>
            </w:pPr>
            <w:r>
              <w:rPr>
                <w:rFonts w:ascii="Arial" w:cs="Arial" w:eastAsia="Arial" w:hAnsi="Arial"/>
                <w:sz w:val="16"/>
                <w:szCs w:val="16"/>
                <w:color w:val="auto"/>
              </w:rPr>
              <w:t>104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60" w:type="dxa"/>
            <w:vAlign w:val="bottom"/>
            <w:gridSpan w:val="3"/>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r>
      <w:tr>
        <w:trPr>
          <w:trHeight w:val="1294"/>
        </w:trPr>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w:t>
      </w:r>
    </w:p>
    <w:p>
      <w:pPr>
        <w:spacing w:after="0" w:line="198" w:lineRule="exact"/>
        <w:rPr>
          <w:sz w:val="20"/>
          <w:szCs w:val="20"/>
          <w:color w:val="auto"/>
        </w:rPr>
      </w:pPr>
    </w:p>
    <w:p>
      <w:pPr>
        <w:ind w:right="40" w:firstLine="510"/>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6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6080" w:type="dxa"/>
            <w:vAlign w:val="bottom"/>
            <w:gridSpan w:val="3"/>
          </w:tcPr>
          <w:p>
            <w:pPr>
              <w:ind w:left="320"/>
              <w:spacing w:after="0"/>
              <w:rPr>
                <w:sz w:val="20"/>
                <w:szCs w:val="20"/>
                <w:color w:val="auto"/>
              </w:rPr>
            </w:pPr>
            <w:r>
              <w:rPr>
                <w:rFonts w:ascii="Arial" w:cs="Arial" w:eastAsia="Arial" w:hAnsi="Arial"/>
                <w:sz w:val="16"/>
                <w:szCs w:val="16"/>
                <w:color w:val="auto"/>
              </w:rPr>
              <w:t>MANPOWERGROUP INC.</w:t>
            </w:r>
          </w:p>
        </w:tc>
      </w:tr>
      <w:tr>
        <w:trPr>
          <w:trHeight w:val="451"/>
        </w:trPr>
        <w:tc>
          <w:tcPr>
            <w:tcW w:w="760" w:type="dxa"/>
            <w:vAlign w:val="bottom"/>
          </w:tcPr>
          <w:p>
            <w:pPr>
              <w:spacing w:after="0"/>
              <w:rPr>
                <w:sz w:val="20"/>
                <w:szCs w:val="20"/>
                <w:color w:val="auto"/>
              </w:rPr>
            </w:pPr>
            <w:r>
              <w:rPr>
                <w:rFonts w:ascii="Arial" w:cs="Arial" w:eastAsia="Arial" w:hAnsi="Arial"/>
                <w:sz w:val="16"/>
                <w:szCs w:val="16"/>
                <w:color w:val="auto"/>
              </w:rPr>
              <w:t>Dated:</w:t>
            </w:r>
          </w:p>
        </w:tc>
        <w:tc>
          <w:tcPr>
            <w:tcW w:w="4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July 20, 2023</w:t>
            </w:r>
          </w:p>
        </w:tc>
        <w:tc>
          <w:tcPr>
            <w:tcW w:w="1060" w:type="dxa"/>
            <w:vAlign w:val="bottom"/>
            <w:gridSpan w:val="2"/>
          </w:tcPr>
          <w:p>
            <w:pPr>
              <w:ind w:left="320"/>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John T. McGinnis</w:t>
            </w:r>
          </w:p>
        </w:tc>
      </w:tr>
      <w:tr>
        <w:trPr>
          <w:trHeight w:val="180"/>
        </w:trPr>
        <w:tc>
          <w:tcPr>
            <w:tcW w:w="76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920" w:type="dxa"/>
            <w:vAlign w:val="bottom"/>
          </w:tcPr>
          <w:p>
            <w:pPr>
              <w:ind w:left="320"/>
              <w:spacing w:after="0" w:line="180" w:lineRule="exact"/>
              <w:rPr>
                <w:sz w:val="20"/>
                <w:szCs w:val="20"/>
                <w:color w:val="auto"/>
              </w:rPr>
            </w:pPr>
            <w:r>
              <w:rPr>
                <w:rFonts w:ascii="Arial" w:cs="Arial" w:eastAsia="Arial" w:hAnsi="Arial"/>
                <w:sz w:val="16"/>
                <w:szCs w:val="16"/>
                <w:color w:val="auto"/>
              </w:rPr>
              <w:t>Name:</w:t>
            </w:r>
          </w:p>
        </w:tc>
        <w:tc>
          <w:tcPr>
            <w:tcW w:w="140" w:type="dxa"/>
            <w:vAlign w:val="bottom"/>
            <w:tcBorders>
              <w:top w:val="single" w:sz="8" w:color="auto"/>
            </w:tcBorders>
          </w:tcPr>
          <w:p>
            <w:pPr>
              <w:spacing w:after="0"/>
              <w:rPr>
                <w:sz w:val="15"/>
                <w:szCs w:val="15"/>
                <w:color w:val="auto"/>
              </w:rPr>
            </w:pPr>
          </w:p>
        </w:tc>
        <w:tc>
          <w:tcPr>
            <w:tcW w:w="5020" w:type="dxa"/>
            <w:vAlign w:val="bottom"/>
          </w:tcPr>
          <w:p>
            <w:pPr>
              <w:ind w:left="20"/>
              <w:spacing w:after="0" w:line="181" w:lineRule="exact"/>
              <w:rPr>
                <w:sz w:val="20"/>
                <w:szCs w:val="20"/>
                <w:color w:val="auto"/>
              </w:rPr>
            </w:pPr>
            <w:r>
              <w:rPr>
                <w:rFonts w:ascii="Arial" w:cs="Arial" w:eastAsia="Arial" w:hAnsi="Arial"/>
                <w:sz w:val="16"/>
                <w:szCs w:val="16"/>
                <w:color w:val="auto"/>
              </w:rPr>
              <w:t>John T. McGinnis</w:t>
            </w:r>
          </w:p>
        </w:tc>
      </w:tr>
      <w:tr>
        <w:trPr>
          <w:trHeight w:val="213"/>
        </w:trPr>
        <w:tc>
          <w:tcPr>
            <w:tcW w:w="7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6"/>
                <w:szCs w:val="16"/>
                <w:color w:val="auto"/>
              </w:rPr>
              <w:t>Title:</w:t>
            </w:r>
          </w:p>
        </w:tc>
        <w:tc>
          <w:tcPr>
            <w:tcW w:w="5020" w:type="dxa"/>
            <w:vAlign w:val="bottom"/>
          </w:tcPr>
          <w:p>
            <w:pPr>
              <w:ind w:left="20"/>
              <w:spacing w:after="0"/>
              <w:rPr>
                <w:sz w:val="20"/>
                <w:szCs w:val="20"/>
                <w:color w:val="auto"/>
              </w:rPr>
            </w:pPr>
            <w:r>
              <w:rPr>
                <w:rFonts w:ascii="Arial" w:cs="Arial" w:eastAsia="Arial" w:hAnsi="Arial"/>
                <w:sz w:val="16"/>
                <w:szCs w:val="16"/>
                <w:color w:val="auto"/>
              </w:rPr>
              <w:t>Executive Vice President and</w:t>
            </w:r>
          </w:p>
        </w:tc>
      </w:tr>
      <w:tr>
        <w:trPr>
          <w:trHeight w:val="200"/>
        </w:trPr>
        <w:tc>
          <w:tcPr>
            <w:tcW w:w="76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2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r>
        <w:trPr>
          <w:trHeight w:val="490"/>
        </w:trPr>
        <w:tc>
          <w:tcPr>
            <w:tcW w:w="76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10445"/>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1344295" cy="720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4295" cy="720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
        <w:spacing w:after="0"/>
        <w:tabs>
          <w:tab w:leader="none" w:pos="6745"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4"/>
          <w:szCs w:val="14"/>
          <w:b w:val="1"/>
          <w:bCs w:val="1"/>
          <w:color w:val="auto"/>
        </w:rPr>
        <w:t>Contact:</w:t>
      </w:r>
    </w:p>
    <w:p>
      <w:pPr>
        <w:spacing w:after="0" w:line="246" w:lineRule="exact"/>
        <w:rPr>
          <w:sz w:val="20"/>
          <w:szCs w:val="20"/>
          <w:color w:val="auto"/>
        </w:rPr>
      </w:pPr>
    </w:p>
    <w:p>
      <w:pPr>
        <w:ind w:left="6765"/>
        <w:spacing w:after="0"/>
        <w:rPr>
          <w:sz w:val="20"/>
          <w:szCs w:val="20"/>
          <w:color w:val="auto"/>
        </w:rPr>
      </w:pPr>
      <w:r>
        <w:rPr>
          <w:rFonts w:ascii="Arial" w:cs="Arial" w:eastAsia="Arial" w:hAnsi="Arial"/>
          <w:sz w:val="16"/>
          <w:szCs w:val="16"/>
          <w:color w:val="auto"/>
        </w:rPr>
        <w:t>Nick Hengst</w:t>
      </w:r>
    </w:p>
    <w:p>
      <w:pPr>
        <w:spacing w:after="0" w:line="29" w:lineRule="exact"/>
        <w:rPr>
          <w:sz w:val="20"/>
          <w:szCs w:val="20"/>
          <w:color w:val="auto"/>
        </w:rPr>
      </w:pPr>
    </w:p>
    <w:p>
      <w:pPr>
        <w:ind w:left="6765"/>
        <w:spacing w:after="0"/>
        <w:rPr>
          <w:sz w:val="20"/>
          <w:szCs w:val="20"/>
          <w:color w:val="auto"/>
        </w:rPr>
      </w:pPr>
      <w:r>
        <w:rPr>
          <w:rFonts w:ascii="Arial" w:cs="Arial" w:eastAsia="Arial" w:hAnsi="Arial"/>
          <w:sz w:val="16"/>
          <w:szCs w:val="16"/>
          <w:color w:val="auto"/>
        </w:rPr>
        <w:t>+1.414.906.7356</w:t>
      </w:r>
    </w:p>
    <w:p>
      <w:pPr>
        <w:spacing w:after="0" w:line="29" w:lineRule="exact"/>
        <w:rPr>
          <w:sz w:val="20"/>
          <w:szCs w:val="20"/>
          <w:color w:val="auto"/>
        </w:rPr>
      </w:pPr>
    </w:p>
    <w:p>
      <w:pPr>
        <w:ind w:left="6765"/>
        <w:spacing w:after="0"/>
        <w:rPr>
          <w:sz w:val="20"/>
          <w:szCs w:val="20"/>
          <w:color w:val="auto"/>
        </w:rPr>
      </w:pPr>
      <w:r>
        <w:rPr>
          <w:rFonts w:ascii="Arial" w:cs="Arial" w:eastAsia="Arial" w:hAnsi="Arial"/>
          <w:sz w:val="16"/>
          <w:szCs w:val="16"/>
          <w:color w:val="auto"/>
        </w:rPr>
        <w:t>nicholas.hengst@manpowergroup.com</w:t>
      </w:r>
    </w:p>
    <w:p>
      <w:pPr>
        <w:spacing w:after="0" w:line="200" w:lineRule="exact"/>
        <w:rPr>
          <w:sz w:val="20"/>
          <w:szCs w:val="20"/>
          <w:color w:val="auto"/>
        </w:rPr>
      </w:pPr>
    </w:p>
    <w:p>
      <w:pPr>
        <w:spacing w:after="0" w:line="243"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ManpowerGroup Reports 2</w:t>
      </w:r>
      <w:r>
        <w:rPr>
          <w:rFonts w:ascii="Arial" w:cs="Arial" w:eastAsia="Arial" w:hAnsi="Arial"/>
          <w:sz w:val="25"/>
          <w:szCs w:val="25"/>
          <w:b w:val="1"/>
          <w:bCs w:val="1"/>
          <w:color w:val="auto"/>
          <w:vertAlign w:val="superscript"/>
        </w:rPr>
        <w:t>nd</w:t>
      </w:r>
      <w:r>
        <w:rPr>
          <w:rFonts w:ascii="Arial" w:cs="Arial" w:eastAsia="Arial" w:hAnsi="Arial"/>
          <w:sz w:val="19"/>
          <w:szCs w:val="19"/>
          <w:b w:val="1"/>
          <w:bCs w:val="1"/>
          <w:color w:val="auto"/>
        </w:rPr>
        <w:t xml:space="preserve"> Quarter 2023 Results</w:t>
      </w:r>
    </w:p>
    <w:p>
      <w:pPr>
        <w:spacing w:after="0" w:line="53" w:lineRule="exact"/>
        <w:rPr>
          <w:sz w:val="20"/>
          <w:szCs w:val="20"/>
          <w:color w:val="auto"/>
        </w:rPr>
      </w:pPr>
    </w:p>
    <w:p>
      <w:pPr>
        <w:ind w:left="1125" w:hanging="375"/>
        <w:spacing w:after="0"/>
        <w:tabs>
          <w:tab w:leader="none" w:pos="1125" w:val="left"/>
        </w:tabs>
        <w:numPr>
          <w:ilvl w:val="0"/>
          <w:numId w:val="2"/>
        </w:numPr>
        <w:rPr>
          <w:rFonts w:ascii="Arial" w:cs="Arial" w:eastAsia="Arial" w:hAnsi="Arial"/>
          <w:sz w:val="17"/>
          <w:szCs w:val="17"/>
          <w:color w:val="auto"/>
        </w:rPr>
      </w:pPr>
      <w:r>
        <w:rPr>
          <w:rFonts w:ascii="Arial" w:cs="Arial" w:eastAsia="Arial" w:hAnsi="Arial"/>
          <w:sz w:val="17"/>
          <w:szCs w:val="17"/>
          <w:color w:val="auto"/>
        </w:rPr>
        <w:t>Revenues of $4.9 billion (-4% as reported, -3% constant currency (CC))</w:t>
      </w:r>
    </w:p>
    <w:p>
      <w:pPr>
        <w:spacing w:after="0" w:line="88" w:lineRule="exact"/>
        <w:rPr>
          <w:rFonts w:ascii="Arial" w:cs="Arial" w:eastAsia="Arial" w:hAnsi="Arial"/>
          <w:sz w:val="17"/>
          <w:szCs w:val="17"/>
          <w:color w:val="auto"/>
        </w:rPr>
      </w:pPr>
    </w:p>
    <w:p>
      <w:pPr>
        <w:ind w:left="1125" w:hanging="375"/>
        <w:spacing w:after="0" w:line="251" w:lineRule="auto"/>
        <w:tabs>
          <w:tab w:leader="none" w:pos="1125"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Challenging operating environment in the U.S. and Europe contributed to revenue declines in Manpower, Experis and Talent Solutions</w:t>
      </w:r>
    </w:p>
    <w:p>
      <w:pPr>
        <w:spacing w:after="0" w:line="268" w:lineRule="exact"/>
        <w:rPr>
          <w:rFonts w:ascii="Arial" w:cs="Arial" w:eastAsia="Arial" w:hAnsi="Arial"/>
          <w:sz w:val="17"/>
          <w:szCs w:val="17"/>
          <w:color w:val="auto"/>
        </w:rPr>
      </w:pPr>
    </w:p>
    <w:p>
      <w:pPr>
        <w:ind w:left="1125" w:hanging="375"/>
        <w:spacing w:after="0"/>
        <w:tabs>
          <w:tab w:leader="none" w:pos="1125" w:val="left"/>
        </w:tabs>
        <w:numPr>
          <w:ilvl w:val="0"/>
          <w:numId w:val="2"/>
        </w:numPr>
        <w:rPr>
          <w:rFonts w:ascii="Arial" w:cs="Arial" w:eastAsia="Arial" w:hAnsi="Arial"/>
          <w:sz w:val="17"/>
          <w:szCs w:val="17"/>
          <w:color w:val="auto"/>
        </w:rPr>
      </w:pPr>
      <w:r>
        <w:rPr>
          <w:rFonts w:ascii="Arial" w:cs="Arial" w:eastAsia="Arial" w:hAnsi="Arial"/>
          <w:sz w:val="17"/>
          <w:szCs w:val="17"/>
          <w:color w:val="auto"/>
        </w:rPr>
        <w:t>Gross profit margin of 17.8%. Staffing margins consistent with year earlier period; permanent recruitment demand weaker</w:t>
      </w:r>
    </w:p>
    <w:p>
      <w:pPr>
        <w:spacing w:after="0" w:line="100" w:lineRule="exact"/>
        <w:rPr>
          <w:rFonts w:ascii="Arial" w:cs="Arial" w:eastAsia="Arial" w:hAnsi="Arial"/>
          <w:sz w:val="17"/>
          <w:szCs w:val="17"/>
          <w:color w:val="auto"/>
        </w:rPr>
      </w:pPr>
    </w:p>
    <w:p>
      <w:pPr>
        <w:ind w:left="1125" w:hanging="375"/>
        <w:spacing w:after="0"/>
        <w:tabs>
          <w:tab w:leader="none" w:pos="1125" w:val="left"/>
        </w:tabs>
        <w:numPr>
          <w:ilvl w:val="0"/>
          <w:numId w:val="2"/>
        </w:numPr>
        <w:rPr>
          <w:rFonts w:ascii="Arial" w:cs="Arial" w:eastAsia="Arial" w:hAnsi="Arial"/>
          <w:sz w:val="17"/>
          <w:szCs w:val="17"/>
          <w:color w:val="auto"/>
        </w:rPr>
      </w:pPr>
      <w:r>
        <w:rPr>
          <w:rFonts w:ascii="Arial" w:cs="Arial" w:eastAsia="Arial" w:hAnsi="Arial"/>
          <w:sz w:val="17"/>
          <w:szCs w:val="17"/>
          <w:color w:val="auto"/>
        </w:rPr>
        <w:t>$50 million of common stock repurchased during the quarter</w:t>
      </w:r>
    </w:p>
    <w:p>
      <w:pPr>
        <w:spacing w:after="0" w:line="100" w:lineRule="exact"/>
        <w:rPr>
          <w:rFonts w:ascii="Arial" w:cs="Arial" w:eastAsia="Arial" w:hAnsi="Arial"/>
          <w:sz w:val="17"/>
          <w:szCs w:val="17"/>
          <w:color w:val="auto"/>
        </w:rPr>
      </w:pPr>
    </w:p>
    <w:p>
      <w:pPr>
        <w:ind w:left="1125" w:hanging="375"/>
        <w:spacing w:after="0"/>
        <w:tabs>
          <w:tab w:leader="none" w:pos="1125" w:val="left"/>
        </w:tabs>
        <w:numPr>
          <w:ilvl w:val="0"/>
          <w:numId w:val="2"/>
        </w:numPr>
        <w:rPr>
          <w:rFonts w:ascii="Arial" w:cs="Arial" w:eastAsia="Arial" w:hAnsi="Arial"/>
          <w:sz w:val="17"/>
          <w:szCs w:val="17"/>
          <w:color w:val="auto"/>
        </w:rPr>
      </w:pPr>
      <w:r>
        <w:rPr>
          <w:rFonts w:ascii="Arial" w:cs="Arial" w:eastAsia="Arial" w:hAnsi="Arial"/>
          <w:sz w:val="17"/>
          <w:szCs w:val="17"/>
          <w:color w:val="auto"/>
        </w:rPr>
        <w:t>Decision taken to wind down Proservia managed services business in Germany</w:t>
      </w:r>
    </w:p>
    <w:p>
      <w:pPr>
        <w:spacing w:after="0" w:line="185" w:lineRule="exact"/>
        <w:rPr>
          <w:sz w:val="20"/>
          <w:szCs w:val="20"/>
          <w:color w:val="auto"/>
        </w:rPr>
      </w:pPr>
    </w:p>
    <w:p>
      <w:pPr>
        <w:jc w:val="both"/>
        <w:ind w:left="5"/>
        <w:spacing w:after="0" w:line="241" w:lineRule="auto"/>
        <w:rPr>
          <w:sz w:val="20"/>
          <w:szCs w:val="20"/>
          <w:color w:val="auto"/>
        </w:rPr>
      </w:pPr>
      <w:r>
        <w:rPr>
          <w:rFonts w:ascii="Arial" w:cs="Arial" w:eastAsia="Arial" w:hAnsi="Arial"/>
          <w:sz w:val="17"/>
          <w:szCs w:val="17"/>
          <w:b w:val="1"/>
          <w:bCs w:val="1"/>
          <w:color w:val="auto"/>
        </w:rPr>
        <w:t xml:space="preserve">MILWAUKEE, July 20, 2023 -- </w:t>
      </w:r>
      <w:r>
        <w:rPr>
          <w:rFonts w:ascii="Arial" w:cs="Arial" w:eastAsia="Arial" w:hAnsi="Arial"/>
          <w:sz w:val="17"/>
          <w:szCs w:val="17"/>
          <w:color w:val="auto"/>
        </w:rPr>
        <w:t>ManpowerGroup (NYSE: MAN) today reported net earnings of $1.29 per diluted share for the three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June 30, 2023 compared to $2.29 per diluted share in the prior year period. Net earnings in the quarter were $65.2 million compared to $122.2 million a year earlier. Revenues for the second quarter were $4.9 billion, a 4% decrease from the prior year period.</w:t>
      </w:r>
    </w:p>
    <w:p>
      <w:pPr>
        <w:spacing w:after="0" w:line="1" w:lineRule="exact"/>
        <w:rPr>
          <w:sz w:val="20"/>
          <w:szCs w:val="20"/>
          <w:color w:val="auto"/>
        </w:rPr>
      </w:pPr>
    </w:p>
    <w:p>
      <w:pPr>
        <w:jc w:val="both"/>
        <w:ind w:left="5" w:firstLine="638"/>
        <w:spacing w:after="0" w:line="235" w:lineRule="auto"/>
        <w:rPr>
          <w:sz w:val="20"/>
          <w:szCs w:val="20"/>
          <w:color w:val="auto"/>
        </w:rPr>
      </w:pPr>
      <w:r>
        <w:rPr>
          <w:rFonts w:ascii="Arial" w:cs="Arial" w:eastAsia="Arial" w:hAnsi="Arial"/>
          <w:sz w:val="17"/>
          <w:szCs w:val="17"/>
          <w:color w:val="auto"/>
        </w:rPr>
        <w:t>The current year quarter included restructuring costs and Argentina related non-cash currency translation losses which reduced earnings per share by $0.29 in the current quarter. Excluding these costs, earnings per share was $1.58 per diluted share in the quarter representing a</w:t>
      </w:r>
    </w:p>
    <w:p>
      <w:pPr>
        <w:jc w:val="both"/>
        <w:ind w:left="5"/>
        <w:spacing w:after="0" w:line="201" w:lineRule="auto"/>
        <w:rPr>
          <w:sz w:val="20"/>
          <w:szCs w:val="20"/>
          <w:color w:val="auto"/>
        </w:rPr>
      </w:pPr>
      <w:r>
        <w:rPr>
          <w:rFonts w:ascii="Arial" w:cs="Arial" w:eastAsia="Arial" w:hAnsi="Arial"/>
          <w:sz w:val="17"/>
          <w:szCs w:val="17"/>
          <w:color w:val="auto"/>
        </w:rPr>
        <w:t>decrease of 31% in constant currency.</w:t>
      </w:r>
      <w:r>
        <w:rPr>
          <w:rFonts w:ascii="Arial" w:cs="Arial" w:eastAsia="Arial" w:hAnsi="Arial"/>
          <w:sz w:val="23"/>
          <w:szCs w:val="23"/>
          <w:color w:val="auto"/>
          <w:vertAlign w:val="superscript"/>
        </w:rPr>
        <w:t>[1]</w:t>
      </w:r>
      <w:r>
        <w:rPr>
          <w:rFonts w:ascii="Arial" w:cs="Arial" w:eastAsia="Arial" w:hAnsi="Arial"/>
          <w:sz w:val="17"/>
          <w:szCs w:val="17"/>
          <w:color w:val="auto"/>
        </w:rPr>
        <w:t xml:space="preserve"> Argentina is required to be treated as a hyperinflationary economy and the currency translation losses reflect the devaluation of the Argentine peso during the quarter.</w:t>
      </w:r>
    </w:p>
    <w:p>
      <w:pPr>
        <w:spacing w:after="0" w:line="1" w:lineRule="exact"/>
        <w:rPr>
          <w:sz w:val="20"/>
          <w:szCs w:val="20"/>
          <w:color w:val="auto"/>
        </w:rPr>
      </w:pPr>
    </w:p>
    <w:p>
      <w:pPr>
        <w:jc w:val="both"/>
        <w:ind w:left="5" w:firstLine="741"/>
        <w:spacing w:after="0" w:line="238" w:lineRule="auto"/>
        <w:rPr>
          <w:sz w:val="20"/>
          <w:szCs w:val="20"/>
          <w:color w:val="auto"/>
        </w:rPr>
      </w:pPr>
      <w:r>
        <w:rPr>
          <w:rFonts w:ascii="Arial" w:cs="Arial" w:eastAsia="Arial" w:hAnsi="Arial"/>
          <w:sz w:val="17"/>
          <w:szCs w:val="17"/>
          <w:color w:val="auto"/>
        </w:rPr>
        <w:t>Financial results in the quarter were also impacted by the stronger U.S. dollar relative to foreign currencies compared to the prior year period, resulting in a 4 cent negative impact to earnings per share in the quarter compared to the prior year. On a constant currency basis, revenues decreased 3% compared to the prior year period. The foreign currency impact to earnings per share represented an additional 1 cent negative impact than was anticipated in our second quarter guidance.</w:t>
      </w:r>
    </w:p>
    <w:p>
      <w:pPr>
        <w:spacing w:after="0" w:line="369" w:lineRule="exact"/>
        <w:rPr>
          <w:sz w:val="20"/>
          <w:szCs w:val="20"/>
          <w:color w:val="auto"/>
        </w:rPr>
      </w:pPr>
    </w:p>
    <w:p>
      <w:pPr>
        <w:ind w:left="5" w:right="260" w:hanging="5"/>
        <w:spacing w:after="0" w:line="209" w:lineRule="auto"/>
        <w:tabs>
          <w:tab w:leader="none" w:pos="164"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The prior year period included integration costs from our U.S. Experis acquisition which reduced earnings per share by $0.04 which are also excluded when determining the year over year trend.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243840</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312" w:right="319" w:bottom="1440" w:gutter="0" w:footer="0" w:header="0"/>
        </w:sectPr>
      </w:pPr>
    </w:p>
    <w:bookmarkStart w:id="5" w:name="page6"/>
    <w:bookmarkEnd w:id="5"/>
    <w:p>
      <w:pPr>
        <w:jc w:val="both"/>
        <w:ind w:left="5" w:firstLine="849"/>
        <w:spacing w:after="0" w:line="236" w:lineRule="auto"/>
        <w:rPr>
          <w:sz w:val="20"/>
          <w:szCs w:val="20"/>
          <w:color w:val="auto"/>
        </w:rPr>
      </w:pPr>
      <w:r>
        <w:rPr>
          <w:rFonts w:ascii="Arial" w:cs="Arial" w:eastAsia="Arial" w:hAnsi="Arial"/>
          <w:sz w:val="17"/>
          <w:szCs w:val="17"/>
          <w:color w:val="auto"/>
        </w:rPr>
        <w:t>Jonas Prising, ManpowerGroup Chairman &amp; CEO, said, “Our second quarter results reflect a challenging operating environment for recruitment and resourcing in the U.S. and Europe. However, we continued to see demand in certain segments within these markets and ongoing strength in Latin America and Asia Pacific Middle East. We are prioritizing improved productivity and the advancement of our strategic initiatives to position us well for strong performance when market conditions improve.</w:t>
      </w:r>
    </w:p>
    <w:p>
      <w:pPr>
        <w:jc w:val="both"/>
        <w:ind w:left="5" w:firstLine="646"/>
        <w:spacing w:after="0" w:line="232" w:lineRule="auto"/>
        <w:rPr>
          <w:sz w:val="20"/>
          <w:szCs w:val="20"/>
          <w:color w:val="auto"/>
        </w:rPr>
      </w:pPr>
      <w:r>
        <w:rPr>
          <w:rFonts w:ascii="Arial" w:cs="Arial" w:eastAsia="Arial" w:hAnsi="Arial"/>
          <w:sz w:val="17"/>
          <w:szCs w:val="17"/>
          <w:color w:val="auto"/>
        </w:rPr>
        <w:t>As we start the third quarter, we have made the decision to wind down our Proservia managed services buisness in Germany. Although a difficult decision, this outsourcing business is not part of our go-forward strategy and will improve the profitability of our Northern Europe business going forward.</w:t>
      </w:r>
    </w:p>
    <w:p>
      <w:pPr>
        <w:spacing w:after="0" w:line="1" w:lineRule="exact"/>
        <w:rPr>
          <w:sz w:val="20"/>
          <w:szCs w:val="20"/>
          <w:color w:val="auto"/>
        </w:rPr>
      </w:pPr>
    </w:p>
    <w:p>
      <w:pPr>
        <w:jc w:val="both"/>
        <w:ind w:left="5" w:firstLine="791"/>
        <w:spacing w:after="0" w:line="232" w:lineRule="auto"/>
        <w:rPr>
          <w:sz w:val="20"/>
          <w:szCs w:val="20"/>
          <w:color w:val="auto"/>
        </w:rPr>
      </w:pPr>
      <w:r>
        <w:rPr>
          <w:rFonts w:ascii="Arial" w:cs="Arial" w:eastAsia="Arial" w:hAnsi="Arial"/>
          <w:sz w:val="17"/>
          <w:szCs w:val="17"/>
          <w:color w:val="auto"/>
        </w:rPr>
        <w:t>We anticipate diluted earnings per share in the third quarter will be between $1.32 and $1.42, which includes an estimated favorable currency impact of 8 cents. Our guidance excludes expected restructuring costs and the aforementioned Argentina related impact of non-cash currency translation losses.”</w:t>
      </w:r>
    </w:p>
    <w:p>
      <w:pPr>
        <w:spacing w:after="0" w:line="1" w:lineRule="exact"/>
        <w:rPr>
          <w:sz w:val="20"/>
          <w:szCs w:val="20"/>
          <w:color w:val="auto"/>
        </w:rPr>
      </w:pPr>
    </w:p>
    <w:p>
      <w:pPr>
        <w:jc w:val="both"/>
        <w:ind w:left="5" w:firstLine="748"/>
        <w:spacing w:after="0" w:line="233" w:lineRule="auto"/>
        <w:rPr>
          <w:sz w:val="20"/>
          <w:szCs w:val="20"/>
          <w:color w:val="auto"/>
        </w:rPr>
      </w:pPr>
      <w:r>
        <w:rPr>
          <w:rFonts w:ascii="Arial" w:cs="Arial" w:eastAsia="Arial" w:hAnsi="Arial"/>
          <w:sz w:val="17"/>
          <w:szCs w:val="17"/>
          <w:color w:val="auto"/>
        </w:rPr>
        <w:t>Net earnings for the six months ended June 30, 2023 were $ 143.0 million, or net earnings of $2.80 per diluted share compared to net earnings of $213.8 million, or net earnings of $3.97 per diluted share in the prior year, respectively. The current year to date period included restructuring costs and the aforementioned Argentina related non-cash currency translation losses which reduced earnings per share by 39 cents. Excluding the net impact of these charges, earnings per share for the six-month period was $3.19 per diluted share representing a decrease of</w:t>
      </w:r>
    </w:p>
    <w:p>
      <w:pPr>
        <w:spacing w:after="0" w:line="2" w:lineRule="exact"/>
        <w:rPr>
          <w:sz w:val="20"/>
          <w:szCs w:val="20"/>
          <w:color w:val="auto"/>
        </w:rPr>
      </w:pPr>
    </w:p>
    <w:p>
      <w:pPr>
        <w:jc w:val="both"/>
        <w:ind w:left="5"/>
        <w:spacing w:after="0" w:line="210" w:lineRule="auto"/>
        <w:rPr>
          <w:sz w:val="20"/>
          <w:szCs w:val="20"/>
          <w:color w:val="auto"/>
        </w:rPr>
      </w:pPr>
      <w:r>
        <w:rPr>
          <w:rFonts w:ascii="Arial" w:cs="Arial" w:eastAsia="Arial" w:hAnsi="Arial"/>
          <w:sz w:val="17"/>
          <w:szCs w:val="17"/>
          <w:color w:val="auto"/>
        </w:rPr>
        <w:t>20% in constant currency.</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Revenues for the six-month period were $9.6 billion, representing a decrease of 6% compared to the prior year or a decrease of 3% in constant currency. Earnings per share for the six-month period were negatively impacted by 18 cents due to changes in foreign currencies compared to the prior year.</w:t>
      </w:r>
    </w:p>
    <w:p>
      <w:pPr>
        <w:spacing w:after="0" w:line="2" w:lineRule="exact"/>
        <w:rPr>
          <w:sz w:val="20"/>
          <w:szCs w:val="20"/>
          <w:color w:val="auto"/>
        </w:rPr>
      </w:pPr>
    </w:p>
    <w:p>
      <w:pPr>
        <w:jc w:val="both"/>
        <w:ind w:left="5" w:firstLine="538"/>
        <w:spacing w:after="0" w:line="232" w:lineRule="auto"/>
        <w:rPr>
          <w:sz w:val="20"/>
          <w:szCs w:val="20"/>
          <w:color w:val="auto"/>
        </w:rPr>
      </w:pPr>
      <w:r>
        <w:rPr>
          <w:rFonts w:ascii="Arial" w:cs="Arial" w:eastAsia="Arial" w:hAnsi="Arial"/>
          <w:sz w:val="17"/>
          <w:szCs w:val="17"/>
          <w:color w:val="auto"/>
        </w:rPr>
        <w:t>In conjunction with its second quarter earnings release, ManpowerGroup will broadcast its conference call live over the Internet on July 20, 2023 at 7:30 a.m. central time (8:30 a.m. eastern time). Prepared remarks for the conference call, webcast details, presentation and recordings are included within the Investor Relations section of manpowergroup.com.</w:t>
      </w:r>
    </w:p>
    <w:p>
      <w:pPr>
        <w:spacing w:after="0" w:line="1" w:lineRule="exact"/>
        <w:rPr>
          <w:sz w:val="20"/>
          <w:szCs w:val="20"/>
          <w:color w:val="auto"/>
        </w:rPr>
      </w:pPr>
    </w:p>
    <w:p>
      <w:pPr>
        <w:ind w:left="185"/>
        <w:spacing w:after="0"/>
        <w:rPr>
          <w:sz w:val="20"/>
          <w:szCs w:val="20"/>
          <w:color w:val="auto"/>
        </w:rPr>
      </w:pPr>
      <w:r>
        <w:rPr>
          <w:rFonts w:ascii="Arial" w:cs="Arial" w:eastAsia="Arial" w:hAnsi="Arial"/>
          <w:sz w:val="17"/>
          <w:szCs w:val="17"/>
          <w:color w:val="auto"/>
        </w:rPr>
        <w:t xml:space="preserve">Supplemental financial information referenced in the conference call can be found at </w:t>
      </w:r>
      <w:r>
        <w:rPr>
          <w:rFonts w:ascii="Arial" w:cs="Arial" w:eastAsia="Arial" w:hAnsi="Arial"/>
          <w:sz w:val="17"/>
          <w:szCs w:val="17"/>
          <w:color w:val="0000FF"/>
        </w:rPr>
        <w:t>http://investor.manpowergroup.com/</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 w:right="340" w:hanging="5"/>
        <w:spacing w:after="0" w:line="215" w:lineRule="auto"/>
        <w:tabs>
          <w:tab w:leader="none" w:pos="164"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The prior year period included integration costs from the U.S. Experis acquisition and the net loss related to the sale of our Russia business which reduced earnings per share by $0.24 which are also excluded when determining the year over year trend.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236855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314" w:right="31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About ManpowerGroup</w:t>
      </w:r>
    </w:p>
    <w:p>
      <w:pPr>
        <w:spacing w:after="0" w:line="13"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 xml:space="preserve">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70 countries and territories and has done so for 75 years. We are recognized consistently for our diversity – as a best place to work for Women, Inclusion, Equality, and Disability, and in 2023 ManpowerGroup was named one of the World's Most Ethical Companies for the 14th time – all confirming our position as the brand of choice for in-demand talent. For more information, visit </w:t>
      </w:r>
      <w:r>
        <w:rPr>
          <w:rFonts w:ascii="Arial" w:cs="Arial" w:eastAsia="Arial" w:hAnsi="Arial"/>
          <w:sz w:val="16"/>
          <w:szCs w:val="16"/>
          <w:u w:val="single" w:color="auto"/>
          <w:color w:val="auto"/>
        </w:rPr>
        <w:t>www.manpowergroup.com</w:t>
      </w:r>
      <w:r>
        <w:rPr>
          <w:rFonts w:ascii="Arial" w:cs="Arial" w:eastAsia="Arial" w:hAnsi="Arial"/>
          <w:sz w:val="16"/>
          <w:szCs w:val="16"/>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3"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This press release contains statements, including statements regarding economic and geopolitical uncertainty, financial outlook, labor demand, the outlook for our business in key countries, the Company’s strategic initiatives and technology investments, and the positioning of future growth for our brands that are forward-looking in nature and, accordingly, are subject to risks and uncertainties regarding the Company’s expected future results. The Company’s actual results may differ materially from those described or contemplated in the forward-looking statements due to numerous factors. These factors include those found in the Company’s reports filed with the SEC, including the information under the heading “Risk Factors” in its Annual Report on Form 10-K for the year ended December 31, 2022, which information is incorporated herein by reference.</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Company assumes no obligation to update or revise any forward-looking statements. We reference certain non-GAAP financial measures, which we believe provide useful information for investors. We include a reconciliation of these measures, where appropriate, to GAAP on the Investor Relations section of our website at manpowergroup.com</w:t>
      </w:r>
      <w:r>
        <w:rPr>
          <w:rFonts w:ascii="Arial" w:cs="Arial" w:eastAsia="Arial" w:hAnsi="Arial"/>
          <w:sz w:val="17"/>
          <w:szCs w:val="17"/>
          <w:color w:val="auto"/>
        </w:rPr>
        <w:t>.</w:t>
      </w:r>
    </w:p>
    <w:p>
      <w:pPr>
        <w:spacing w:after="0" w:line="302"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245110</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08" w:right="319" w:bottom="1440" w:gutter="0" w:footer="0" w:header="0"/>
        </w:sectPr>
      </w:pPr>
    </w:p>
    <w:bookmarkStart w:id="7" w:name="page8"/>
    <w:bookmarkEnd w:id="7"/>
    <w:p>
      <w:pPr>
        <w:jc w:val="center"/>
        <w:ind w:right="-4"/>
        <w:spacing w:after="0"/>
        <w:rPr>
          <w:sz w:val="20"/>
          <w:szCs w:val="20"/>
          <w:color w:val="auto"/>
        </w:rPr>
      </w:pPr>
      <w:r>
        <w:rPr>
          <w:rFonts w:ascii="Arial" w:cs="Arial" w:eastAsia="Arial" w:hAnsi="Arial"/>
          <w:sz w:val="16"/>
          <w:szCs w:val="16"/>
          <w:color w:val="auto"/>
        </w:rPr>
        <w:t>ManpowerGroup</w:t>
      </w:r>
    </w:p>
    <w:p>
      <w:pPr>
        <w:spacing w:after="0" w:line="1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Results of Operations</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(In millions, except per share data)</w:t>
      </w:r>
    </w:p>
    <w:p>
      <w:pPr>
        <w:spacing w:after="0" w:line="215"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5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7"/>
          </w:tcPr>
          <w:p>
            <w:pPr>
              <w:jc w:val="right"/>
              <w:ind w:right="940"/>
              <w:spacing w:after="0"/>
              <w:rPr>
                <w:sz w:val="20"/>
                <w:szCs w:val="20"/>
                <w:color w:val="auto"/>
              </w:rPr>
            </w:pPr>
            <w:r>
              <w:rPr>
                <w:rFonts w:ascii="Arial" w:cs="Arial" w:eastAsia="Arial" w:hAnsi="Arial"/>
                <w:sz w:val="16"/>
                <w:szCs w:val="16"/>
                <w:b w:val="1"/>
                <w:bCs w:val="1"/>
                <w:color w:val="auto"/>
                <w:w w:val="95"/>
              </w:rPr>
              <w:t>Three Months Ended June 30</w:t>
            </w:r>
          </w:p>
        </w:tc>
        <w:tc>
          <w:tcPr>
            <w:tcW w:w="10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7"/>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 Variance</w:t>
            </w:r>
          </w:p>
        </w:tc>
        <w:tc>
          <w:tcPr>
            <w:tcW w:w="10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0"/>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ind w:right="940"/>
              <w:spacing w:after="0"/>
              <w:rPr>
                <w:sz w:val="20"/>
                <w:szCs w:val="20"/>
                <w:color w:val="auto"/>
              </w:rPr>
            </w:pPr>
            <w:r>
              <w:rPr>
                <w:rFonts w:ascii="Arial" w:cs="Arial" w:eastAsia="Arial" w:hAnsi="Arial"/>
                <w:sz w:val="16"/>
                <w:szCs w:val="16"/>
                <w:b w:val="1"/>
                <w:bCs w:val="1"/>
                <w:color w:val="auto"/>
                <w:w w:val="95"/>
              </w:rPr>
              <w:t>Amount</w:t>
            </w:r>
          </w:p>
        </w:tc>
        <w:tc>
          <w:tcPr>
            <w:tcW w:w="1000" w:type="dxa"/>
            <w:vAlign w:val="bottom"/>
          </w:tcPr>
          <w:p>
            <w:pPr>
              <w:ind w:left="20"/>
              <w:spacing w:after="0"/>
              <w:rPr>
                <w:sz w:val="20"/>
                <w:szCs w:val="20"/>
                <w:color w:val="auto"/>
              </w:rPr>
            </w:pPr>
            <w:r>
              <w:rPr>
                <w:rFonts w:ascii="Arial" w:cs="Arial" w:eastAsia="Arial" w:hAnsi="Arial"/>
                <w:sz w:val="16"/>
                <w:szCs w:val="16"/>
                <w:b w:val="1"/>
                <w:bCs w:val="1"/>
                <w:color w:val="auto"/>
              </w:rPr>
              <w:t>Constant</w:t>
            </w:r>
          </w:p>
        </w:tc>
        <w:tc>
          <w:tcPr>
            <w:tcW w:w="140" w:type="dxa"/>
            <w:vAlign w:val="bottom"/>
          </w:tcPr>
          <w:p>
            <w:pPr>
              <w:spacing w:after="0"/>
              <w:rPr>
                <w:sz w:val="17"/>
                <w:szCs w:val="17"/>
                <w:color w:val="auto"/>
              </w:rPr>
            </w:pPr>
          </w:p>
        </w:tc>
      </w:tr>
      <w:tr>
        <w:trPr>
          <w:trHeight w:val="215"/>
        </w:trPr>
        <w:tc>
          <w:tcPr>
            <w:tcW w:w="5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w w:val="88"/>
              </w:rPr>
              <w:t>Reported</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Currency</w:t>
            </w:r>
          </w:p>
        </w:tc>
        <w:tc>
          <w:tcPr>
            <w:tcW w:w="140" w:type="dxa"/>
            <w:vAlign w:val="bottom"/>
          </w:tcPr>
          <w:p>
            <w:pPr>
              <w:spacing w:after="0"/>
              <w:rPr>
                <w:sz w:val="18"/>
                <w:szCs w:val="18"/>
                <w:color w:val="auto"/>
              </w:rPr>
            </w:pPr>
          </w:p>
        </w:tc>
      </w:tr>
      <w:tr>
        <w:trPr>
          <w:trHeight w:val="199"/>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4"/>
          </w:tcPr>
          <w:p>
            <w:pPr>
              <w:ind w:left="780"/>
              <w:spacing w:after="0"/>
              <w:rPr>
                <w:sz w:val="20"/>
                <w:szCs w:val="20"/>
                <w:color w:val="auto"/>
              </w:rPr>
            </w:pPr>
            <w:r>
              <w:rPr>
                <w:rFonts w:ascii="Arial" w:cs="Arial" w:eastAsia="Arial" w:hAnsi="Arial"/>
                <w:sz w:val="16"/>
                <w:szCs w:val="16"/>
                <w:color w:val="auto"/>
                <w:w w:val="88"/>
              </w:rPr>
              <w:t>(Unaudited)</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5"/>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Revenues from services (a)</w:t>
            </w:r>
          </w:p>
        </w:tc>
        <w:tc>
          <w:tcPr>
            <w:tcW w:w="28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4,856.1</w:t>
            </w:r>
          </w:p>
        </w:tc>
        <w:tc>
          <w:tcPr>
            <w:tcW w:w="520" w:type="dxa"/>
            <w:vAlign w:val="bottom"/>
            <w:gridSpan w:val="3"/>
            <w:shd w:val="clear" w:color="auto" w:fill="CFF0FC"/>
          </w:tcPr>
          <w:p>
            <w:pPr>
              <w:jc w:val="right"/>
              <w:ind w:right="6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5,074.1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-4.3 %</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-3.5 %</w:t>
            </w:r>
          </w:p>
        </w:tc>
      </w:tr>
      <w:tr>
        <w:trPr>
          <w:trHeight w:val="212"/>
        </w:trPr>
        <w:tc>
          <w:tcPr>
            <w:tcW w:w="5260" w:type="dxa"/>
            <w:vAlign w:val="bottom"/>
          </w:tcPr>
          <w:p>
            <w:pPr>
              <w:spacing w:after="0"/>
              <w:rPr>
                <w:sz w:val="20"/>
                <w:szCs w:val="20"/>
                <w:color w:val="auto"/>
              </w:rPr>
            </w:pPr>
            <w:r>
              <w:rPr>
                <w:rFonts w:ascii="Arial" w:cs="Arial" w:eastAsia="Arial" w:hAnsi="Arial"/>
                <w:sz w:val="16"/>
                <w:szCs w:val="16"/>
                <w:color w:val="auto"/>
              </w:rPr>
              <w:t>Cost of services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6"/>
                <w:szCs w:val="16"/>
                <w:color w:val="auto"/>
              </w:rPr>
              <w:t>-3.8 %</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-3.0 %</w:t>
            </w:r>
          </w:p>
        </w:tc>
      </w:tr>
      <w:tr>
        <w:trPr>
          <w:trHeight w:val="205"/>
        </w:trPr>
        <w:tc>
          <w:tcPr>
            <w:tcW w:w="5260" w:type="dxa"/>
            <w:vAlign w:val="bottom"/>
            <w:shd w:val="clear" w:color="auto" w:fill="CFF0FC"/>
          </w:tcPr>
          <w:p>
            <w:pPr>
              <w:ind w:left="8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862.3</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921.2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-6.4 %</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-5.7 %</w:t>
            </w:r>
          </w:p>
        </w:tc>
      </w:tr>
      <w:tr>
        <w:trPr>
          <w:trHeight w:val="212"/>
        </w:trPr>
        <w:tc>
          <w:tcPr>
            <w:tcW w:w="526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6"/>
                <w:szCs w:val="16"/>
                <w:color w:val="auto"/>
              </w:rPr>
              <w:t>1.9 %</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2.5 %</w:t>
            </w:r>
          </w:p>
        </w:tc>
      </w:tr>
      <w:tr>
        <w:trPr>
          <w:trHeight w:val="205"/>
        </w:trPr>
        <w:tc>
          <w:tcPr>
            <w:tcW w:w="5260" w:type="dxa"/>
            <w:vAlign w:val="bottom"/>
            <w:shd w:val="clear" w:color="auto" w:fill="CFF0FC"/>
          </w:tcPr>
          <w:p>
            <w:pPr>
              <w:ind w:left="80"/>
              <w:spacing w:after="0"/>
              <w:rPr>
                <w:sz w:val="20"/>
                <w:szCs w:val="20"/>
                <w:color w:val="auto"/>
              </w:rPr>
            </w:pPr>
            <w:r>
              <w:rPr>
                <w:rFonts w:ascii="Arial" w:cs="Arial" w:eastAsia="Arial" w:hAnsi="Arial"/>
                <w:sz w:val="16"/>
                <w:szCs w:val="16"/>
                <w:color w:val="auto"/>
              </w:rPr>
              <w:t>Operating profit</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107.6</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-40.4 %</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-39.1 %</w:t>
            </w:r>
          </w:p>
        </w:tc>
      </w:tr>
      <w:tr>
        <w:trPr>
          <w:trHeight w:val="212"/>
        </w:trPr>
        <w:tc>
          <w:tcPr>
            <w:tcW w:w="5260" w:type="dxa"/>
            <w:vAlign w:val="bottom"/>
          </w:tcPr>
          <w:p>
            <w:pPr>
              <w:spacing w:after="0"/>
              <w:rPr>
                <w:sz w:val="20"/>
                <w:szCs w:val="20"/>
                <w:color w:val="auto"/>
              </w:rPr>
            </w:pPr>
            <w:r>
              <w:rPr>
                <w:rFonts w:ascii="Arial" w:cs="Arial" w:eastAsia="Arial" w:hAnsi="Arial"/>
                <w:sz w:val="16"/>
                <w:szCs w:val="16"/>
                <w:color w:val="auto"/>
              </w:rPr>
              <w:t>Interest and other expenses, net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6"/>
                <w:szCs w:val="16"/>
                <w:color w:val="auto"/>
              </w:rPr>
              <w:t>76.7 %</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5"/>
        </w:trPr>
        <w:tc>
          <w:tcPr>
            <w:tcW w:w="5260" w:type="dxa"/>
            <w:vAlign w:val="bottom"/>
            <w:shd w:val="clear" w:color="auto" w:fill="CFF0FC"/>
          </w:tcPr>
          <w:p>
            <w:pPr>
              <w:ind w:left="80"/>
              <w:spacing w:after="0"/>
              <w:rPr>
                <w:sz w:val="20"/>
                <w:szCs w:val="20"/>
                <w:color w:val="auto"/>
              </w:rPr>
            </w:pPr>
            <w:r>
              <w:rPr>
                <w:rFonts w:ascii="Arial" w:cs="Arial" w:eastAsia="Arial" w:hAnsi="Arial"/>
                <w:sz w:val="16"/>
                <w:szCs w:val="16"/>
                <w:color w:val="auto"/>
              </w:rPr>
              <w:t>Earnings before income taxes</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95.8</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-45.0 %</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-43.4 %</w:t>
            </w:r>
          </w:p>
        </w:tc>
      </w:tr>
      <w:tr>
        <w:trPr>
          <w:trHeight w:val="212"/>
        </w:trPr>
        <w:tc>
          <w:tcPr>
            <w:tcW w:w="52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6"/>
                <w:szCs w:val="16"/>
                <w:color w:val="auto"/>
              </w:rPr>
              <w:t>-41.0 %</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5"/>
        </w:trPr>
        <w:tc>
          <w:tcPr>
            <w:tcW w:w="52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Net earnings</w:t>
            </w:r>
          </w:p>
        </w:tc>
        <w:tc>
          <w:tcPr>
            <w:tcW w:w="280" w:type="dxa"/>
            <w:vAlign w:val="bottom"/>
            <w:tcBorders>
              <w:bottom w:val="single" w:sz="8" w:color="auto"/>
            </w:tcBorders>
            <w:shd w:val="clear" w:color="auto" w:fill="CFF0FC"/>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65.2</w:t>
            </w:r>
          </w:p>
        </w:tc>
        <w:tc>
          <w:tcPr>
            <w:tcW w:w="280" w:type="dxa"/>
            <w:vAlign w:val="bottom"/>
            <w:tcBorders>
              <w:bottom w:val="single" w:sz="8" w:color="CFF0FC"/>
            </w:tcBorders>
            <w:gridSpan w:val="2"/>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122.2</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CFF0FC"/>
            </w:tcBorders>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-46.6 %</w:t>
            </w:r>
          </w:p>
        </w:tc>
        <w:tc>
          <w:tcPr>
            <w:tcW w:w="11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-45.2 %</w:t>
            </w:r>
          </w:p>
        </w:tc>
      </w:tr>
      <w:tr>
        <w:trPr>
          <w:trHeight w:val="188"/>
        </w:trPr>
        <w:tc>
          <w:tcPr>
            <w:tcW w:w="5260" w:type="dxa"/>
            <w:vAlign w:val="bottom"/>
          </w:tcPr>
          <w:p>
            <w:pPr>
              <w:spacing w:after="0"/>
              <w:rPr>
                <w:sz w:val="20"/>
                <w:szCs w:val="20"/>
                <w:color w:val="auto"/>
              </w:rPr>
            </w:pPr>
            <w:r>
              <w:rPr>
                <w:rFonts w:ascii="Arial" w:cs="Arial" w:eastAsia="Arial" w:hAnsi="Arial"/>
                <w:sz w:val="16"/>
                <w:szCs w:val="16"/>
                <w:color w:val="auto"/>
              </w:rPr>
              <w:t>Net earnings per share - basic</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280" w:type="dxa"/>
            <w:vAlign w:val="bottom"/>
            <w:gridSpan w:val="2"/>
          </w:tcPr>
          <w:p>
            <w:pPr>
              <w:spacing w:after="0"/>
              <w:rPr>
                <w:sz w:val="16"/>
                <w:szCs w:val="16"/>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6"/>
                <w:szCs w:val="16"/>
                <w:color w:val="auto"/>
              </w:rPr>
              <w:t>-43.9 %</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228"/>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earnings per share - diluted</w:t>
            </w:r>
          </w:p>
        </w:tc>
        <w:tc>
          <w:tcPr>
            <w:tcW w:w="28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w:t>
            </w:r>
          </w:p>
        </w:tc>
        <w:tc>
          <w:tcPr>
            <w:tcW w:w="280" w:type="dxa"/>
            <w:vAlign w:val="bottom"/>
            <w:tcBorders>
              <w:bottom w:val="single" w:sz="8" w:color="CFF0FC"/>
            </w:tcBorders>
            <w:gridSpan w:val="2"/>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-43.8 %</w:t>
            </w:r>
          </w:p>
        </w:tc>
        <w:tc>
          <w:tcPr>
            <w:tcW w:w="11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-42.2 %</w:t>
            </w:r>
          </w:p>
        </w:tc>
      </w:tr>
      <w:tr>
        <w:trPr>
          <w:trHeight w:val="188"/>
        </w:trPr>
        <w:tc>
          <w:tcPr>
            <w:tcW w:w="5260" w:type="dxa"/>
            <w:vAlign w:val="bottom"/>
          </w:tcPr>
          <w:p>
            <w:pPr>
              <w:spacing w:after="0"/>
              <w:rPr>
                <w:sz w:val="20"/>
                <w:szCs w:val="20"/>
                <w:color w:val="auto"/>
              </w:rPr>
            </w:pPr>
            <w:r>
              <w:rPr>
                <w:rFonts w:ascii="Arial" w:cs="Arial" w:eastAsia="Arial" w:hAnsi="Arial"/>
                <w:sz w:val="16"/>
                <w:szCs w:val="16"/>
                <w:color w:val="auto"/>
              </w:rPr>
              <w:t>Weighted average shares - basic</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6"/>
                <w:szCs w:val="16"/>
                <w:color w:val="auto"/>
              </w:rPr>
              <w:t>-4.9 %</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8"/>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 average shares - diluted</w:t>
            </w: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50.7</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53.4</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-5.1 %</w:t>
            </w:r>
          </w:p>
        </w:tc>
        <w:tc>
          <w:tcPr>
            <w:tcW w:w="10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4137660</wp:posOffset>
            </wp:positionH>
            <wp:positionV relativeFrom="paragraph">
              <wp:posOffset>-652780</wp:posOffset>
            </wp:positionV>
            <wp:extent cx="105156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1560" cy="18034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-337185</wp:posOffset>
            </wp:positionV>
            <wp:extent cx="105156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51560" cy="18034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-21590</wp:posOffset>
            </wp:positionV>
            <wp:extent cx="8255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-6985</wp:posOffset>
            </wp:positionV>
            <wp:extent cx="8255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-21590</wp:posOffset>
            </wp:positionV>
            <wp:extent cx="8255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-6985</wp:posOffset>
            </wp:positionV>
            <wp:extent cx="8255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0" cy="7620"/>
                    </a:xfrm>
                    <a:prstGeom prst="rect">
                      <a:avLst/>
                    </a:prstGeom>
                    <a:noFill/>
                  </pic:spPr>
                </pic:pic>
              </a:graphicData>
            </a:graphic>
          </wp:anchor>
        </w:drawing>
      </w:r>
    </w:p>
    <w:p>
      <w:pPr>
        <w:jc w:val="both"/>
        <w:ind w:left="505" w:hanging="505"/>
        <w:spacing w:after="0" w:line="249" w:lineRule="auto"/>
        <w:tabs>
          <w:tab w:leader="none" w:pos="505"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$3.3 million and $3.9 million for the three months ended June 30, 2023 and 2022, respectively. These fees are primarily based on revenues generated by the franchise offices, which were $250.6 million and $275.6 million for the three months ended June 30, 2023 and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480060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316" w:right="319" w:bottom="1440" w:gutter="0" w:footer="0" w:header="0"/>
        </w:sectPr>
      </w:pPr>
    </w:p>
    <w:bookmarkStart w:id="8" w:name="page9"/>
    <w:bookmarkEnd w:id="8"/>
    <w:p>
      <w:pPr>
        <w:ind w:left="5086"/>
        <w:spacing w:after="0"/>
        <w:rPr>
          <w:sz w:val="20"/>
          <w:szCs w:val="20"/>
          <w:color w:val="auto"/>
        </w:rPr>
      </w:pPr>
      <w:r>
        <w:rPr>
          <w:rFonts w:ascii="Arial" w:cs="Arial" w:eastAsia="Arial" w:hAnsi="Arial"/>
          <w:sz w:val="16"/>
          <w:szCs w:val="16"/>
          <w:color w:val="auto"/>
        </w:rPr>
        <w:t>ManpowerGroup</w:t>
      </w:r>
    </w:p>
    <w:p>
      <w:pPr>
        <w:spacing w:after="0" w:line="41" w:lineRule="exact"/>
        <w:rPr>
          <w:sz w:val="20"/>
          <w:szCs w:val="20"/>
          <w:color w:val="auto"/>
        </w:rPr>
      </w:pPr>
    </w:p>
    <w:p>
      <w:pPr>
        <w:ind w:left="4906"/>
        <w:spacing w:after="0"/>
        <w:rPr>
          <w:sz w:val="20"/>
          <w:szCs w:val="20"/>
          <w:color w:val="auto"/>
        </w:rPr>
      </w:pPr>
      <w:r>
        <w:rPr>
          <w:rFonts w:ascii="Arial" w:cs="Arial" w:eastAsia="Arial" w:hAnsi="Arial"/>
          <w:sz w:val="16"/>
          <w:szCs w:val="16"/>
          <w:color w:val="auto"/>
        </w:rPr>
        <w:t>Operating Unit Results</w:t>
      </w:r>
    </w:p>
    <w:p>
      <w:pPr>
        <w:spacing w:after="0" w:line="29"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(In millions)</w:t>
      </w:r>
    </w:p>
    <w:p>
      <w:pPr>
        <w:spacing w:after="0" w:line="214"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5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7"/>
          </w:tcPr>
          <w:p>
            <w:pPr>
              <w:jc w:val="right"/>
              <w:ind w:right="940"/>
              <w:spacing w:after="0"/>
              <w:rPr>
                <w:sz w:val="20"/>
                <w:szCs w:val="20"/>
                <w:color w:val="auto"/>
              </w:rPr>
            </w:pPr>
            <w:r>
              <w:rPr>
                <w:rFonts w:ascii="Arial" w:cs="Arial" w:eastAsia="Arial" w:hAnsi="Arial"/>
                <w:sz w:val="16"/>
                <w:szCs w:val="16"/>
                <w:b w:val="1"/>
                <w:bCs w:val="1"/>
                <w:color w:val="auto"/>
                <w:w w:val="95"/>
              </w:rPr>
              <w:t>Three Months Ended June 30</w:t>
            </w:r>
          </w:p>
        </w:tc>
        <w:tc>
          <w:tcPr>
            <w:tcW w:w="10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 Variance</w:t>
            </w:r>
          </w:p>
        </w:tc>
        <w:tc>
          <w:tcPr>
            <w:tcW w:w="10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0"/>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ind w:right="940"/>
              <w:spacing w:after="0"/>
              <w:rPr>
                <w:sz w:val="20"/>
                <w:szCs w:val="20"/>
                <w:color w:val="auto"/>
              </w:rPr>
            </w:pPr>
            <w:r>
              <w:rPr>
                <w:rFonts w:ascii="Arial" w:cs="Arial" w:eastAsia="Arial" w:hAnsi="Arial"/>
                <w:sz w:val="16"/>
                <w:szCs w:val="16"/>
                <w:b w:val="1"/>
                <w:bCs w:val="1"/>
                <w:color w:val="auto"/>
                <w:w w:val="95"/>
              </w:rPr>
              <w:t>Amount</w:t>
            </w:r>
          </w:p>
        </w:tc>
        <w:tc>
          <w:tcPr>
            <w:tcW w:w="1000" w:type="dxa"/>
            <w:vAlign w:val="bottom"/>
          </w:tcPr>
          <w:p>
            <w:pPr>
              <w:ind w:left="20"/>
              <w:spacing w:after="0"/>
              <w:rPr>
                <w:sz w:val="20"/>
                <w:szCs w:val="20"/>
                <w:color w:val="auto"/>
              </w:rPr>
            </w:pPr>
            <w:r>
              <w:rPr>
                <w:rFonts w:ascii="Arial" w:cs="Arial" w:eastAsia="Arial" w:hAnsi="Arial"/>
                <w:sz w:val="16"/>
                <w:szCs w:val="16"/>
                <w:b w:val="1"/>
                <w:bCs w:val="1"/>
                <w:color w:val="auto"/>
              </w:rPr>
              <w:t>Constant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5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w w:val="88"/>
              </w:rPr>
              <w:t>Reported</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Currency</w:t>
            </w:r>
          </w:p>
        </w:tc>
        <w:tc>
          <w:tcPr>
            <w:tcW w:w="160" w:type="dxa"/>
            <w:vAlign w:val="bottom"/>
            <w:gridSpan w:val="2"/>
          </w:tcPr>
          <w:p>
            <w:pPr>
              <w:spacing w:after="0"/>
              <w:rPr>
                <w:sz w:val="18"/>
                <w:szCs w:val="18"/>
                <w:color w:val="auto"/>
              </w:rPr>
            </w:pPr>
          </w:p>
        </w:tc>
      </w:tr>
      <w:tr>
        <w:trPr>
          <w:trHeight w:val="205"/>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4"/>
          </w:tcPr>
          <w:p>
            <w:pPr>
              <w:ind w:left="780"/>
              <w:spacing w:after="0"/>
              <w:rPr>
                <w:sz w:val="20"/>
                <w:szCs w:val="20"/>
                <w:color w:val="auto"/>
              </w:rPr>
            </w:pPr>
            <w:r>
              <w:rPr>
                <w:rFonts w:ascii="Arial" w:cs="Arial" w:eastAsia="Arial" w:hAnsi="Arial"/>
                <w:sz w:val="16"/>
                <w:szCs w:val="16"/>
                <w:color w:val="auto"/>
                <w:w w:val="88"/>
              </w:rPr>
              <w:t>(Unaudited)</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Revenues from Services:</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0"/>
        </w:trPr>
        <w:tc>
          <w:tcPr>
            <w:tcW w:w="5260" w:type="dxa"/>
            <w:vAlign w:val="bottom"/>
          </w:tcPr>
          <w:p>
            <w:pPr>
              <w:ind w:left="160"/>
              <w:spacing w:after="0"/>
              <w:rPr>
                <w:sz w:val="20"/>
                <w:szCs w:val="20"/>
                <w:color w:val="auto"/>
              </w:rPr>
            </w:pPr>
            <w:r>
              <w:rPr>
                <w:rFonts w:ascii="Arial" w:cs="Arial" w:eastAsia="Arial" w:hAnsi="Arial"/>
                <w:sz w:val="16"/>
                <w:szCs w:val="16"/>
                <w:color w:val="auto"/>
              </w:rPr>
              <w:t>Americas: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52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United States (a)</w:t>
            </w:r>
          </w:p>
        </w:tc>
        <w:tc>
          <w:tcPr>
            <w:tcW w:w="28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736.7</w:t>
            </w:r>
          </w:p>
        </w:tc>
        <w:tc>
          <w:tcPr>
            <w:tcW w:w="1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6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903.9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-18.5 %</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-18.5 %</w:t>
            </w:r>
          </w:p>
        </w:tc>
        <w:tc>
          <w:tcPr>
            <w:tcW w:w="20" w:type="dxa"/>
            <w:vAlign w:val="bottom"/>
          </w:tcPr>
          <w:p>
            <w:pPr>
              <w:spacing w:after="0"/>
              <w:rPr>
                <w:sz w:val="19"/>
                <w:szCs w:val="19"/>
                <w:color w:val="auto"/>
              </w:rPr>
            </w:pPr>
          </w:p>
        </w:tc>
      </w:tr>
      <w:tr>
        <w:trPr>
          <w:trHeight w:val="212"/>
        </w:trPr>
        <w:tc>
          <w:tcPr>
            <w:tcW w:w="5260" w:type="dxa"/>
            <w:vAlign w:val="bottom"/>
          </w:tcPr>
          <w:p>
            <w:pPr>
              <w:ind w:left="400"/>
              <w:spacing w:after="0"/>
              <w:rPr>
                <w:sz w:val="20"/>
                <w:szCs w:val="20"/>
                <w:color w:val="auto"/>
              </w:rPr>
            </w:pPr>
            <w:r>
              <w:rPr>
                <w:rFonts w:ascii="Arial" w:cs="Arial" w:eastAsia="Arial" w:hAnsi="Arial"/>
                <w:sz w:val="16"/>
                <w:szCs w:val="16"/>
                <w:color w:val="auto"/>
              </w:rPr>
              <w:t>Other Americas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6"/>
                <w:szCs w:val="16"/>
                <w:color w:val="auto"/>
              </w:rPr>
              <w:t>0.9 %</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14.0 %</w:t>
            </w:r>
          </w:p>
        </w:tc>
      </w:tr>
      <w:tr>
        <w:trPr>
          <w:trHeight w:val="205"/>
        </w:trPr>
        <w:tc>
          <w:tcPr>
            <w:tcW w:w="5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1,098.7</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1,262.7</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CFF0FC"/>
            </w:tcBorders>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-13.0 %</w:t>
            </w:r>
          </w:p>
        </w:tc>
        <w:tc>
          <w:tcPr>
            <w:tcW w:w="11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-9.3 %</w:t>
            </w:r>
          </w:p>
        </w:tc>
        <w:tc>
          <w:tcPr>
            <w:tcW w:w="20" w:type="dxa"/>
            <w:vAlign w:val="bottom"/>
          </w:tcPr>
          <w:p>
            <w:pPr>
              <w:spacing w:after="0"/>
              <w:rPr>
                <w:sz w:val="17"/>
                <w:szCs w:val="17"/>
                <w:color w:val="auto"/>
              </w:rPr>
            </w:pPr>
          </w:p>
        </w:tc>
      </w:tr>
      <w:tr>
        <w:trPr>
          <w:trHeight w:val="193"/>
        </w:trPr>
        <w:tc>
          <w:tcPr>
            <w:tcW w:w="5260" w:type="dxa"/>
            <w:vAlign w:val="bottom"/>
          </w:tcPr>
          <w:p>
            <w:pPr>
              <w:ind w:left="160"/>
              <w:spacing w:after="0"/>
              <w:rPr>
                <w:sz w:val="20"/>
                <w:szCs w:val="20"/>
                <w:color w:val="auto"/>
              </w:rPr>
            </w:pPr>
            <w:r>
              <w:rPr>
                <w:rFonts w:ascii="Arial" w:cs="Arial" w:eastAsia="Arial" w:hAnsi="Arial"/>
                <w:sz w:val="16"/>
                <w:szCs w:val="16"/>
                <w:color w:val="auto"/>
              </w:rPr>
              <w:t>Southern Europe: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52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France</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1,278.2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1,238.2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3.2 %</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0.9 %</w:t>
            </w:r>
          </w:p>
        </w:tc>
        <w:tc>
          <w:tcPr>
            <w:tcW w:w="20" w:type="dxa"/>
            <w:vAlign w:val="bottom"/>
          </w:tcPr>
          <w:p>
            <w:pPr>
              <w:spacing w:after="0"/>
              <w:rPr>
                <w:sz w:val="19"/>
                <w:szCs w:val="19"/>
                <w:color w:val="auto"/>
              </w:rPr>
            </w:pPr>
          </w:p>
        </w:tc>
      </w:tr>
      <w:tr>
        <w:trPr>
          <w:trHeight w:val="207"/>
        </w:trPr>
        <w:tc>
          <w:tcPr>
            <w:tcW w:w="5260" w:type="dxa"/>
            <w:vAlign w:val="bottom"/>
          </w:tcPr>
          <w:p>
            <w:pPr>
              <w:ind w:left="400"/>
              <w:spacing w:after="0"/>
              <w:rPr>
                <w:sz w:val="20"/>
                <w:szCs w:val="20"/>
                <w:color w:val="auto"/>
              </w:rPr>
            </w:pPr>
            <w:r>
              <w:rPr>
                <w:rFonts w:ascii="Arial" w:cs="Arial" w:eastAsia="Arial" w:hAnsi="Arial"/>
                <w:sz w:val="16"/>
                <w:szCs w:val="16"/>
                <w:color w:val="auto"/>
              </w:rPr>
              <w:t>Italy</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457.8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454.3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6"/>
                <w:szCs w:val="16"/>
                <w:color w:val="auto"/>
              </w:rPr>
              <w:t>0.8 %</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-1.5 %</w:t>
            </w:r>
          </w:p>
        </w:tc>
        <w:tc>
          <w:tcPr>
            <w:tcW w:w="20" w:type="dxa"/>
            <w:vAlign w:val="bottom"/>
          </w:tcPr>
          <w:p>
            <w:pPr>
              <w:spacing w:after="0"/>
              <w:rPr>
                <w:sz w:val="17"/>
                <w:szCs w:val="17"/>
                <w:color w:val="auto"/>
              </w:rPr>
            </w:pPr>
          </w:p>
        </w:tc>
      </w:tr>
      <w:tr>
        <w:trPr>
          <w:trHeight w:val="218"/>
        </w:trPr>
        <w:tc>
          <w:tcPr>
            <w:tcW w:w="526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6"/>
                <w:szCs w:val="16"/>
                <w:color w:val="auto"/>
              </w:rPr>
              <w:t>Other Southern Europe</w:t>
            </w: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490.9</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508.9</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-3.5 %</w:t>
            </w:r>
          </w:p>
        </w:tc>
        <w:tc>
          <w:tcPr>
            <w:tcW w:w="11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-4.7 %</w:t>
            </w:r>
          </w:p>
        </w:tc>
        <w:tc>
          <w:tcPr>
            <w:tcW w:w="20" w:type="dxa"/>
            <w:vAlign w:val="bottom"/>
          </w:tcPr>
          <w:p>
            <w:pPr>
              <w:spacing w:after="0"/>
              <w:rPr>
                <w:sz w:val="18"/>
                <w:szCs w:val="18"/>
                <w:color w:val="auto"/>
              </w:rPr>
            </w:pPr>
          </w:p>
        </w:tc>
      </w:tr>
      <w:tr>
        <w:trPr>
          <w:trHeight w:val="205"/>
        </w:trPr>
        <w:tc>
          <w:tcPr>
            <w:tcW w:w="5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2,226.9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6"/>
                <w:szCs w:val="16"/>
                <w:color w:val="auto"/>
              </w:rPr>
              <w:t>1.2 %</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-0.9 %</w:t>
            </w:r>
          </w:p>
        </w:tc>
      </w:tr>
      <w:tr>
        <w:trPr>
          <w:trHeight w:val="205"/>
        </w:trPr>
        <w:tc>
          <w:tcPr>
            <w:tcW w:w="52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Northern Europe</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952.5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1,027.1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-7.3 %</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-6.3 %</w:t>
            </w:r>
          </w:p>
        </w:tc>
        <w:tc>
          <w:tcPr>
            <w:tcW w:w="20" w:type="dxa"/>
            <w:vAlign w:val="bottom"/>
          </w:tcPr>
          <w:p>
            <w:pPr>
              <w:spacing w:after="0"/>
              <w:rPr>
                <w:sz w:val="17"/>
                <w:szCs w:val="17"/>
                <w:color w:val="auto"/>
              </w:rPr>
            </w:pPr>
          </w:p>
        </w:tc>
      </w:tr>
      <w:tr>
        <w:trPr>
          <w:trHeight w:val="212"/>
        </w:trPr>
        <w:tc>
          <w:tcPr>
            <w:tcW w:w="5260" w:type="dxa"/>
            <w:vAlign w:val="bottom"/>
          </w:tcPr>
          <w:p>
            <w:pPr>
              <w:ind w:left="160"/>
              <w:spacing w:after="0"/>
              <w:rPr>
                <w:sz w:val="20"/>
                <w:szCs w:val="20"/>
                <w:color w:val="auto"/>
              </w:rPr>
            </w:pPr>
            <w:r>
              <w:rPr>
                <w:rFonts w:ascii="Arial" w:cs="Arial" w:eastAsia="Arial" w:hAnsi="Arial"/>
                <w:sz w:val="16"/>
                <w:szCs w:val="16"/>
                <w:color w:val="auto"/>
              </w:rPr>
              <w:t>APME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6"/>
                <w:szCs w:val="16"/>
                <w:color w:val="auto"/>
              </w:rPr>
              <w:t>-0.7 %</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4.2 %</w:t>
            </w:r>
          </w:p>
        </w:tc>
      </w:tr>
      <w:tr>
        <w:trPr>
          <w:trHeight w:val="199"/>
        </w:trPr>
        <w:tc>
          <w:tcPr>
            <w:tcW w:w="5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4,877.5</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5,094.9</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5260" w:type="dxa"/>
            <w:vAlign w:val="bottom"/>
          </w:tcPr>
          <w:p>
            <w:pPr>
              <w:ind w:left="160"/>
              <w:spacing w:after="0"/>
              <w:rPr>
                <w:sz w:val="20"/>
                <w:szCs w:val="20"/>
                <w:color w:val="auto"/>
              </w:rPr>
            </w:pPr>
            <w:r>
              <w:rPr>
                <w:rFonts w:ascii="Arial" w:cs="Arial" w:eastAsia="Arial" w:hAnsi="Arial"/>
                <w:sz w:val="16"/>
                <w:szCs w:val="16"/>
                <w:color w:val="auto"/>
              </w:rPr>
              <w:t>Intercompany Eliminations</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(21.4 )</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(20.8 )</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1"/>
        </w:trPr>
        <w:tc>
          <w:tcPr>
            <w:tcW w:w="5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4,856.1</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5,074.1</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CFF0FC"/>
            </w:tcBorders>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-4.3 %</w:t>
            </w:r>
          </w:p>
        </w:tc>
        <w:tc>
          <w:tcPr>
            <w:tcW w:w="11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-3.5 %</w:t>
            </w:r>
          </w:p>
        </w:tc>
        <w:tc>
          <w:tcPr>
            <w:tcW w:w="20" w:type="dxa"/>
            <w:vAlign w:val="bottom"/>
          </w:tcPr>
          <w:p>
            <w:pPr>
              <w:spacing w:after="0"/>
              <w:rPr>
                <w:sz w:val="21"/>
                <w:szCs w:val="21"/>
                <w:color w:val="auto"/>
              </w:rPr>
            </w:pPr>
          </w:p>
        </w:tc>
      </w:tr>
      <w:tr>
        <w:trPr>
          <w:trHeight w:val="182"/>
        </w:trPr>
        <w:tc>
          <w:tcPr>
            <w:tcW w:w="5260" w:type="dxa"/>
            <w:vAlign w:val="bottom"/>
          </w:tcPr>
          <w:p>
            <w:pPr>
              <w:spacing w:after="0" w:line="182" w:lineRule="exact"/>
              <w:rPr>
                <w:sz w:val="20"/>
                <w:szCs w:val="20"/>
                <w:color w:val="auto"/>
              </w:rPr>
            </w:pPr>
            <w:r>
              <w:rPr>
                <w:rFonts w:ascii="Arial" w:cs="Arial" w:eastAsia="Arial" w:hAnsi="Arial"/>
                <w:sz w:val="16"/>
                <w:szCs w:val="16"/>
                <w:color w:val="auto"/>
              </w:rPr>
              <w:t>Operating Unit Profit:</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9"/>
        </w:trPr>
        <w:tc>
          <w:tcPr>
            <w:tcW w:w="52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Americas:</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7"/>
        </w:trPr>
        <w:tc>
          <w:tcPr>
            <w:tcW w:w="5260" w:type="dxa"/>
            <w:vAlign w:val="bottom"/>
          </w:tcPr>
          <w:p>
            <w:pPr>
              <w:ind w:left="400"/>
              <w:spacing w:after="0"/>
              <w:rPr>
                <w:sz w:val="20"/>
                <w:szCs w:val="20"/>
                <w:color w:val="auto"/>
              </w:rPr>
            </w:pPr>
            <w:r>
              <w:rPr>
                <w:rFonts w:ascii="Arial" w:cs="Arial" w:eastAsia="Arial" w:hAnsi="Arial"/>
                <w:sz w:val="16"/>
                <w:szCs w:val="16"/>
                <w:color w:val="auto"/>
              </w:rPr>
              <w:t>United States</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17"/>
                <w:szCs w:val="17"/>
                <w:color w:val="auto"/>
              </w:rPr>
            </w:pPr>
          </w:p>
        </w:tc>
        <w:tc>
          <w:tcPr>
            <w:tcW w:w="40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64.7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6"/>
                <w:szCs w:val="16"/>
                <w:color w:val="auto"/>
              </w:rPr>
              <w:t>-59.5 %</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-59.5 %</w:t>
            </w:r>
          </w:p>
        </w:tc>
        <w:tc>
          <w:tcPr>
            <w:tcW w:w="20" w:type="dxa"/>
            <w:vAlign w:val="bottom"/>
          </w:tcPr>
          <w:p>
            <w:pPr>
              <w:spacing w:after="0"/>
              <w:rPr>
                <w:sz w:val="17"/>
                <w:szCs w:val="17"/>
                <w:color w:val="auto"/>
              </w:rPr>
            </w:pPr>
          </w:p>
        </w:tc>
      </w:tr>
      <w:tr>
        <w:trPr>
          <w:trHeight w:val="218"/>
        </w:trPr>
        <w:tc>
          <w:tcPr>
            <w:tcW w:w="526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6"/>
                <w:szCs w:val="16"/>
                <w:color w:val="auto"/>
              </w:rPr>
              <w:t>Other Americas</w:t>
            </w: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5.0 %</w:t>
            </w:r>
          </w:p>
        </w:tc>
        <w:tc>
          <w:tcPr>
            <w:tcW w:w="11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22.8 %</w:t>
            </w:r>
          </w:p>
        </w:tc>
        <w:tc>
          <w:tcPr>
            <w:tcW w:w="20" w:type="dxa"/>
            <w:vAlign w:val="bottom"/>
          </w:tcPr>
          <w:p>
            <w:pPr>
              <w:spacing w:after="0"/>
              <w:rPr>
                <w:sz w:val="18"/>
                <w:szCs w:val="18"/>
                <w:color w:val="auto"/>
              </w:rPr>
            </w:pPr>
          </w:p>
        </w:tc>
      </w:tr>
      <w:tr>
        <w:trPr>
          <w:trHeight w:val="205"/>
        </w:trPr>
        <w:tc>
          <w:tcPr>
            <w:tcW w:w="5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6"/>
                <w:szCs w:val="16"/>
                <w:color w:val="auto"/>
              </w:rPr>
              <w:t>-46.6 %</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-43.1 %</w:t>
            </w:r>
          </w:p>
        </w:tc>
      </w:tr>
      <w:tr>
        <w:trPr>
          <w:trHeight w:val="205"/>
        </w:trPr>
        <w:tc>
          <w:tcPr>
            <w:tcW w:w="52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Southern Europe:</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5260" w:type="dxa"/>
            <w:vAlign w:val="bottom"/>
          </w:tcPr>
          <w:p>
            <w:pPr>
              <w:ind w:left="400"/>
              <w:spacing w:after="0"/>
              <w:rPr>
                <w:sz w:val="20"/>
                <w:szCs w:val="20"/>
                <w:color w:val="auto"/>
              </w:rPr>
            </w:pPr>
            <w:r>
              <w:rPr>
                <w:rFonts w:ascii="Arial" w:cs="Arial" w:eastAsia="Arial" w:hAnsi="Arial"/>
                <w:sz w:val="16"/>
                <w:szCs w:val="16"/>
                <w:color w:val="auto"/>
              </w:rPr>
              <w:t>France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6"/>
                <w:szCs w:val="16"/>
                <w:color w:val="auto"/>
              </w:rPr>
              <w:t>-20.5 %</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-22.4 %</w:t>
            </w:r>
          </w:p>
        </w:tc>
        <w:tc>
          <w:tcPr>
            <w:tcW w:w="20" w:type="dxa"/>
            <w:vAlign w:val="bottom"/>
          </w:tcPr>
          <w:p>
            <w:pPr>
              <w:spacing w:after="0"/>
              <w:rPr>
                <w:sz w:val="17"/>
                <w:szCs w:val="17"/>
                <w:color w:val="auto"/>
              </w:rPr>
            </w:pPr>
          </w:p>
        </w:tc>
      </w:tr>
      <w:tr>
        <w:trPr>
          <w:trHeight w:val="225"/>
        </w:trPr>
        <w:tc>
          <w:tcPr>
            <w:tcW w:w="52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Italy</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2.1 %</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-0.3 %</w:t>
            </w:r>
          </w:p>
        </w:tc>
        <w:tc>
          <w:tcPr>
            <w:tcW w:w="20" w:type="dxa"/>
            <w:vAlign w:val="bottom"/>
          </w:tcPr>
          <w:p>
            <w:pPr>
              <w:spacing w:after="0"/>
              <w:rPr>
                <w:sz w:val="19"/>
                <w:szCs w:val="19"/>
                <w:color w:val="auto"/>
              </w:rPr>
            </w:pPr>
          </w:p>
        </w:tc>
      </w:tr>
      <w:tr>
        <w:trPr>
          <w:trHeight w:val="212"/>
        </w:trPr>
        <w:tc>
          <w:tcPr>
            <w:tcW w:w="5260" w:type="dxa"/>
            <w:vAlign w:val="bottom"/>
          </w:tcPr>
          <w:p>
            <w:pPr>
              <w:ind w:left="400"/>
              <w:spacing w:after="0"/>
              <w:rPr>
                <w:sz w:val="20"/>
                <w:szCs w:val="20"/>
                <w:color w:val="auto"/>
              </w:rPr>
            </w:pPr>
            <w:r>
              <w:rPr>
                <w:rFonts w:ascii="Arial" w:cs="Arial" w:eastAsia="Arial" w:hAnsi="Arial"/>
                <w:sz w:val="16"/>
                <w:szCs w:val="16"/>
                <w:color w:val="auto"/>
              </w:rPr>
              <w:t>Other Southern Europe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6"/>
                <w:szCs w:val="16"/>
                <w:color w:val="auto"/>
              </w:rPr>
              <w:t>-50.4 %</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-48.7 %</w:t>
            </w:r>
          </w:p>
        </w:tc>
      </w:tr>
      <w:tr>
        <w:trPr>
          <w:trHeight w:val="205"/>
        </w:trPr>
        <w:tc>
          <w:tcPr>
            <w:tcW w:w="5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92.6</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111.7</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CFF0FC"/>
            </w:tcBorders>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-17.0 %</w:t>
            </w:r>
          </w:p>
        </w:tc>
        <w:tc>
          <w:tcPr>
            <w:tcW w:w="11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-18.6 %</w:t>
            </w:r>
          </w:p>
        </w:tc>
        <w:tc>
          <w:tcPr>
            <w:tcW w:w="20" w:type="dxa"/>
            <w:vAlign w:val="bottom"/>
          </w:tcPr>
          <w:p>
            <w:pPr>
              <w:spacing w:after="0"/>
              <w:rPr>
                <w:sz w:val="17"/>
                <w:szCs w:val="17"/>
                <w:color w:val="auto"/>
              </w:rPr>
            </w:pPr>
          </w:p>
        </w:tc>
      </w:tr>
      <w:tr>
        <w:trPr>
          <w:trHeight w:val="199"/>
        </w:trPr>
        <w:tc>
          <w:tcPr>
            <w:tcW w:w="5260" w:type="dxa"/>
            <w:vAlign w:val="bottom"/>
          </w:tcPr>
          <w:p>
            <w:pPr>
              <w:ind w:left="160"/>
              <w:spacing w:after="0"/>
              <w:rPr>
                <w:sz w:val="20"/>
                <w:szCs w:val="20"/>
                <w:color w:val="auto"/>
              </w:rPr>
            </w:pPr>
            <w:r>
              <w:rPr>
                <w:rFonts w:ascii="Arial" w:cs="Arial" w:eastAsia="Arial" w:hAnsi="Arial"/>
                <w:sz w:val="16"/>
                <w:szCs w:val="16"/>
                <w:color w:val="auto"/>
              </w:rPr>
              <w:t>Northern Europe</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(9.7 )</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6"/>
                <w:szCs w:val="16"/>
                <w:color w:val="auto"/>
              </w:rPr>
              <w:t>-188.9 %</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-190.4 %</w:t>
            </w:r>
          </w:p>
        </w:tc>
        <w:tc>
          <w:tcPr>
            <w:tcW w:w="20" w:type="dxa"/>
            <w:vAlign w:val="bottom"/>
          </w:tcPr>
          <w:p>
            <w:pPr>
              <w:spacing w:after="0"/>
              <w:rPr>
                <w:sz w:val="17"/>
                <w:szCs w:val="17"/>
                <w:color w:val="auto"/>
              </w:rPr>
            </w:pPr>
          </w:p>
        </w:tc>
      </w:tr>
      <w:tr>
        <w:trPr>
          <w:trHeight w:val="218"/>
        </w:trPr>
        <w:tc>
          <w:tcPr>
            <w:tcW w:w="52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APME</w:t>
            </w: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13.9 %</w:t>
            </w:r>
          </w:p>
        </w:tc>
        <w:tc>
          <w:tcPr>
            <w:tcW w:w="11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20.0 %</w:t>
            </w:r>
          </w:p>
        </w:tc>
        <w:tc>
          <w:tcPr>
            <w:tcW w:w="20" w:type="dxa"/>
            <w:vAlign w:val="bottom"/>
          </w:tcPr>
          <w:p>
            <w:pPr>
              <w:spacing w:after="0"/>
              <w:rPr>
                <w:sz w:val="18"/>
                <w:szCs w:val="18"/>
                <w:color w:val="auto"/>
              </w:rPr>
            </w:pPr>
          </w:p>
        </w:tc>
      </w:tr>
      <w:tr>
        <w:trPr>
          <w:trHeight w:val="199"/>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Corporate expenses</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(35.5 )</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(35.8 )</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7"/>
        </w:trPr>
        <w:tc>
          <w:tcPr>
            <w:tcW w:w="5260" w:type="dxa"/>
            <w:vAlign w:val="bottom"/>
          </w:tcPr>
          <w:p>
            <w:pPr>
              <w:spacing w:after="0"/>
              <w:rPr>
                <w:sz w:val="20"/>
                <w:szCs w:val="20"/>
                <w:color w:val="auto"/>
              </w:rPr>
            </w:pPr>
            <w:r>
              <w:rPr>
                <w:rFonts w:ascii="Arial" w:cs="Arial" w:eastAsia="Arial" w:hAnsi="Arial"/>
                <w:sz w:val="16"/>
                <w:szCs w:val="16"/>
                <w:color w:val="auto"/>
              </w:rPr>
              <w:t>Intangible asset amortization expense</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(8.7 )</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(9.4 )</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1"/>
        </w:trPr>
        <w:tc>
          <w:tcPr>
            <w:tcW w:w="52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Operating profit</w:t>
            </w: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-40.4 %</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-39.1 %</w:t>
            </w:r>
          </w:p>
        </w:tc>
        <w:tc>
          <w:tcPr>
            <w:tcW w:w="20" w:type="dxa"/>
            <w:vAlign w:val="bottom"/>
          </w:tcPr>
          <w:p>
            <w:pPr>
              <w:spacing w:after="0"/>
              <w:rPr>
                <w:sz w:val="18"/>
                <w:szCs w:val="18"/>
                <w:color w:val="auto"/>
              </w:rPr>
            </w:pPr>
          </w:p>
        </w:tc>
      </w:tr>
      <w:tr>
        <w:trPr>
          <w:trHeight w:val="207"/>
        </w:trPr>
        <w:tc>
          <w:tcPr>
            <w:tcW w:w="5260" w:type="dxa"/>
            <w:vAlign w:val="bottom"/>
          </w:tcPr>
          <w:p>
            <w:pPr>
              <w:spacing w:after="0"/>
              <w:rPr>
                <w:sz w:val="20"/>
                <w:szCs w:val="20"/>
                <w:color w:val="auto"/>
              </w:rPr>
            </w:pPr>
            <w:r>
              <w:rPr>
                <w:rFonts w:ascii="Arial" w:cs="Arial" w:eastAsia="Arial" w:hAnsi="Arial"/>
                <w:sz w:val="16"/>
                <w:szCs w:val="16"/>
                <w:color w:val="auto"/>
              </w:rPr>
              <w:t>Interest and other expenses, net (b)</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(11.8 )</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(6.7 )</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5"/>
        </w:trPr>
        <w:tc>
          <w:tcPr>
            <w:tcW w:w="52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Earnings before income taxes</w:t>
            </w:r>
          </w:p>
        </w:tc>
        <w:tc>
          <w:tcPr>
            <w:tcW w:w="28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95.8</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174.0</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4138295</wp:posOffset>
            </wp:positionH>
            <wp:positionV relativeFrom="paragraph">
              <wp:posOffset>-3926840</wp:posOffset>
            </wp:positionV>
            <wp:extent cx="82550" cy="142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0" cy="142875"/>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-3926840</wp:posOffset>
            </wp:positionV>
            <wp:extent cx="82550" cy="142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0" cy="142875"/>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-3378835</wp:posOffset>
            </wp:positionV>
            <wp:extent cx="82550" cy="150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0" cy="150495"/>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-3378835</wp:posOffset>
            </wp:positionV>
            <wp:extent cx="82550" cy="150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0" cy="150495"/>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-2815590</wp:posOffset>
            </wp:positionV>
            <wp:extent cx="82550" cy="150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0" cy="150495"/>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-2815590</wp:posOffset>
            </wp:positionV>
            <wp:extent cx="82550" cy="150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0" cy="150495"/>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-2530475</wp:posOffset>
            </wp:positionV>
            <wp:extent cx="1051560" cy="157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51560" cy="157480"/>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-1967230</wp:posOffset>
            </wp:positionV>
            <wp:extent cx="82550" cy="150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0" cy="150495"/>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-1967230</wp:posOffset>
            </wp:positionV>
            <wp:extent cx="82550" cy="150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0" cy="150495"/>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-1133475</wp:posOffset>
            </wp:positionV>
            <wp:extent cx="82550" cy="142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0" cy="142875"/>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-1133475</wp:posOffset>
            </wp:positionV>
            <wp:extent cx="82550" cy="142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0" cy="142875"/>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-855345</wp:posOffset>
            </wp:positionV>
            <wp:extent cx="82550" cy="142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0" cy="142875"/>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-855345</wp:posOffset>
            </wp:positionV>
            <wp:extent cx="82550" cy="142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0" cy="142875"/>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-21590</wp:posOffset>
            </wp:positionV>
            <wp:extent cx="8255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-6985</wp:posOffset>
            </wp:positionV>
            <wp:extent cx="8255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-21590</wp:posOffset>
            </wp:positionV>
            <wp:extent cx="8255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-6985</wp:posOffset>
            </wp:positionV>
            <wp:extent cx="8255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0" cy="7620"/>
                    </a:xfrm>
                    <a:prstGeom prst="rect">
                      <a:avLst/>
                    </a:prstGeom>
                    <a:noFill/>
                  </pic:spPr>
                </pic:pic>
              </a:graphicData>
            </a:graphic>
          </wp:anchor>
        </w:drawing>
      </w:r>
    </w:p>
    <w:p>
      <w:pPr>
        <w:ind w:left="506" w:right="100" w:hanging="506"/>
        <w:spacing w:after="0" w:line="246" w:lineRule="auto"/>
        <w:tabs>
          <w:tab w:leader="none" w:pos="367"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$2.6 million and $3.1 million for the three months ended June 30, 2023 and 2022, respectively. These fees are primarily based on revenues generated by the franchise offices, which were $100.8 million and $128.1 million for the three months ended June 30, 2023 and 2022, respectively.</w:t>
      </w:r>
    </w:p>
    <w:p>
      <w:pPr>
        <w:ind w:left="386" w:hanging="386"/>
        <w:spacing w:after="0"/>
        <w:tabs>
          <w:tab w:leader="none" w:pos="38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components of interest and other expenses, net were:</w:t>
      </w:r>
    </w:p>
    <w:p>
      <w:pPr>
        <w:spacing w:after="0" w:line="25"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7260" w:type="dxa"/>
            <w:vAlign w:val="bottom"/>
          </w:tcPr>
          <w:p>
            <w:pPr>
              <w:spacing w:after="0"/>
              <w:rPr>
                <w:sz w:val="18"/>
                <w:szCs w:val="18"/>
                <w:color w:val="auto"/>
              </w:rPr>
            </w:pPr>
          </w:p>
        </w:tc>
        <w:tc>
          <w:tcPr>
            <w:tcW w:w="12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4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r>
      <w:tr>
        <w:trPr>
          <w:trHeight w:val="211"/>
        </w:trPr>
        <w:tc>
          <w:tcPr>
            <w:tcW w:w="72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Interest expense</w:t>
            </w:r>
          </w:p>
        </w:tc>
        <w:tc>
          <w:tcPr>
            <w:tcW w:w="1260" w:type="dxa"/>
            <w:vAlign w:val="bottom"/>
            <w:shd w:val="clear" w:color="auto" w:fill="CFF0FC"/>
          </w:tcPr>
          <w:p>
            <w:pPr>
              <w:jc w:val="right"/>
              <w:ind w:right="108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47"/>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w:t>
            </w:r>
          </w:p>
        </w:tc>
        <w:tc>
          <w:tcPr>
            <w:tcW w:w="140" w:type="dxa"/>
            <w:vAlign w:val="bottom"/>
            <w:shd w:val="clear" w:color="auto" w:fill="CFF0FC"/>
          </w:tcPr>
          <w:p>
            <w:pPr>
              <w:spacing w:after="0"/>
              <w:rPr>
                <w:sz w:val="18"/>
                <w:szCs w:val="18"/>
                <w:color w:val="auto"/>
              </w:rPr>
            </w:pPr>
          </w:p>
        </w:tc>
      </w:tr>
      <w:tr>
        <w:trPr>
          <w:trHeight w:val="207"/>
        </w:trPr>
        <w:tc>
          <w:tcPr>
            <w:tcW w:w="726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126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(8.4 )</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(2.8 )</w:t>
            </w:r>
          </w:p>
        </w:tc>
      </w:tr>
      <w:tr>
        <w:trPr>
          <w:trHeight w:val="219"/>
        </w:trPr>
        <w:tc>
          <w:tcPr>
            <w:tcW w:w="72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Foreign exchange loss</w:t>
            </w:r>
          </w:p>
        </w:tc>
        <w:tc>
          <w:tcPr>
            <w:tcW w:w="12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40" w:type="dxa"/>
            <w:vAlign w:val="bottom"/>
            <w:shd w:val="clear" w:color="auto" w:fill="CFF0FC"/>
          </w:tcPr>
          <w:p>
            <w:pPr>
              <w:spacing w:after="0"/>
              <w:rPr>
                <w:sz w:val="19"/>
                <w:szCs w:val="19"/>
                <w:color w:val="auto"/>
              </w:rPr>
            </w:pPr>
          </w:p>
        </w:tc>
      </w:tr>
      <w:tr>
        <w:trPr>
          <w:trHeight w:val="207"/>
        </w:trPr>
        <w:tc>
          <w:tcPr>
            <w:tcW w:w="7260" w:type="dxa"/>
            <w:vAlign w:val="bottom"/>
          </w:tcPr>
          <w:p>
            <w:pPr>
              <w:ind w:left="320"/>
              <w:spacing w:after="0"/>
              <w:rPr>
                <w:sz w:val="20"/>
                <w:szCs w:val="20"/>
                <w:color w:val="auto"/>
              </w:rPr>
            </w:pPr>
            <w:r>
              <w:rPr>
                <w:rFonts w:ascii="Arial" w:cs="Arial" w:eastAsia="Arial" w:hAnsi="Arial"/>
                <w:sz w:val="16"/>
                <w:szCs w:val="16"/>
                <w:color w:val="auto"/>
              </w:rPr>
              <w:t>Miscellaneous loss (income)</w:t>
            </w:r>
          </w:p>
        </w:tc>
        <w:tc>
          <w:tcPr>
            <w:tcW w:w="126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(4.9 )</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(4.4 )</w:t>
            </w:r>
          </w:p>
        </w:tc>
      </w:tr>
      <w:tr>
        <w:trPr>
          <w:trHeight w:val="245"/>
        </w:trPr>
        <w:tc>
          <w:tcPr>
            <w:tcW w:w="726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top w:val="single" w:sz="8" w:color="auto"/>
              <w:bottom w:val="single" w:sz="8" w:color="auto"/>
            </w:tcBorders>
            <w:shd w:val="clear" w:color="auto" w:fill="CFF0FC"/>
          </w:tcPr>
          <w:p>
            <w:pPr>
              <w:jc w:val="right"/>
              <w:ind w:right="108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387"/>
        </w:trPr>
        <w:tc>
          <w:tcPr>
            <w:tcW w:w="7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5730240</wp:posOffset>
            </wp:positionH>
            <wp:positionV relativeFrom="paragraph">
              <wp:posOffset>-292100</wp:posOffset>
            </wp:positionV>
            <wp:extent cx="8255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5730240</wp:posOffset>
            </wp:positionH>
            <wp:positionV relativeFrom="paragraph">
              <wp:posOffset>-277495</wp:posOffset>
            </wp:positionV>
            <wp:extent cx="8255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7066915</wp:posOffset>
            </wp:positionH>
            <wp:positionV relativeFrom="paragraph">
              <wp:posOffset>-292100</wp:posOffset>
            </wp:positionV>
            <wp:extent cx="8255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7066915</wp:posOffset>
            </wp:positionH>
            <wp:positionV relativeFrom="paragraph">
              <wp:posOffset>-277495</wp:posOffset>
            </wp:positionV>
            <wp:extent cx="8255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6"/>
          </w:cols>
          <w:pgMar w:left="314" w:top="316" w:right="319" w:bottom="1440" w:gutter="0" w:footer="0" w:header="0"/>
        </w:sectPr>
      </w:pPr>
    </w:p>
    <w:bookmarkStart w:id="9" w:name="page10"/>
    <w:bookmarkEnd w:id="9"/>
    <w:p>
      <w:pPr>
        <w:jc w:val="center"/>
        <w:ind w:right="-4"/>
        <w:spacing w:after="0"/>
        <w:rPr>
          <w:sz w:val="20"/>
          <w:szCs w:val="20"/>
          <w:color w:val="auto"/>
        </w:rPr>
      </w:pPr>
      <w:r>
        <w:rPr>
          <w:rFonts w:ascii="Arial" w:cs="Arial" w:eastAsia="Arial" w:hAnsi="Arial"/>
          <w:sz w:val="16"/>
          <w:szCs w:val="16"/>
          <w:color w:val="auto"/>
        </w:rPr>
        <w:t>ManpowerGroup</w:t>
      </w:r>
    </w:p>
    <w:p>
      <w:pPr>
        <w:spacing w:after="0" w:line="1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Results of Operations</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(In millions, except per share data)</w:t>
      </w:r>
    </w:p>
    <w:p>
      <w:pPr>
        <w:spacing w:after="0" w:line="215"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5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7"/>
          </w:tcPr>
          <w:p>
            <w:pPr>
              <w:jc w:val="center"/>
              <w:ind w:right="820"/>
              <w:spacing w:after="0"/>
              <w:rPr>
                <w:sz w:val="20"/>
                <w:szCs w:val="20"/>
                <w:color w:val="auto"/>
              </w:rPr>
            </w:pPr>
            <w:r>
              <w:rPr>
                <w:rFonts w:ascii="Arial" w:cs="Arial" w:eastAsia="Arial" w:hAnsi="Arial"/>
                <w:sz w:val="16"/>
                <w:szCs w:val="16"/>
                <w:b w:val="1"/>
                <w:bCs w:val="1"/>
                <w:color w:val="auto"/>
                <w:w w:val="89"/>
              </w:rPr>
              <w:t>Six Months Ended June 30</w:t>
            </w:r>
          </w:p>
        </w:tc>
        <w:tc>
          <w:tcPr>
            <w:tcW w:w="10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7"/>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 Variance</w:t>
            </w:r>
          </w:p>
        </w:tc>
        <w:tc>
          <w:tcPr>
            <w:tcW w:w="10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0"/>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center"/>
              <w:ind w:right="880"/>
              <w:spacing w:after="0"/>
              <w:rPr>
                <w:sz w:val="20"/>
                <w:szCs w:val="20"/>
                <w:color w:val="auto"/>
              </w:rPr>
            </w:pPr>
            <w:r>
              <w:rPr>
                <w:rFonts w:ascii="Arial" w:cs="Arial" w:eastAsia="Arial" w:hAnsi="Arial"/>
                <w:sz w:val="16"/>
                <w:szCs w:val="16"/>
                <w:b w:val="1"/>
                <w:bCs w:val="1"/>
                <w:color w:val="auto"/>
                <w:w w:val="89"/>
              </w:rPr>
              <w:t>Amount</w:t>
            </w:r>
          </w:p>
        </w:tc>
        <w:tc>
          <w:tcPr>
            <w:tcW w:w="1000" w:type="dxa"/>
            <w:vAlign w:val="bottom"/>
          </w:tcPr>
          <w:p>
            <w:pPr>
              <w:ind w:left="20"/>
              <w:spacing w:after="0"/>
              <w:rPr>
                <w:sz w:val="20"/>
                <w:szCs w:val="20"/>
                <w:color w:val="auto"/>
              </w:rPr>
            </w:pPr>
            <w:r>
              <w:rPr>
                <w:rFonts w:ascii="Arial" w:cs="Arial" w:eastAsia="Arial" w:hAnsi="Arial"/>
                <w:sz w:val="16"/>
                <w:szCs w:val="16"/>
                <w:b w:val="1"/>
                <w:bCs w:val="1"/>
                <w:color w:val="auto"/>
              </w:rPr>
              <w:t>Constant</w:t>
            </w:r>
          </w:p>
        </w:tc>
        <w:tc>
          <w:tcPr>
            <w:tcW w:w="140" w:type="dxa"/>
            <w:vAlign w:val="bottom"/>
          </w:tcPr>
          <w:p>
            <w:pPr>
              <w:spacing w:after="0"/>
              <w:rPr>
                <w:sz w:val="17"/>
                <w:szCs w:val="17"/>
                <w:color w:val="auto"/>
              </w:rPr>
            </w:pPr>
          </w:p>
        </w:tc>
      </w:tr>
      <w:tr>
        <w:trPr>
          <w:trHeight w:val="215"/>
        </w:trPr>
        <w:tc>
          <w:tcPr>
            <w:tcW w:w="5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201"/>
              <w:spacing w:after="0"/>
              <w:rPr>
                <w:sz w:val="20"/>
                <w:szCs w:val="20"/>
                <w:color w:val="auto"/>
              </w:rPr>
            </w:pPr>
            <w:r>
              <w:rPr>
                <w:rFonts w:ascii="Arial" w:cs="Arial" w:eastAsia="Arial" w:hAnsi="Arial"/>
                <w:sz w:val="16"/>
                <w:szCs w:val="16"/>
                <w:b w:val="1"/>
                <w:bCs w:val="1"/>
                <w:color w:val="auto"/>
                <w:w w:val="88"/>
              </w:rPr>
              <w:t>Reported</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Currency</w:t>
            </w:r>
          </w:p>
        </w:tc>
        <w:tc>
          <w:tcPr>
            <w:tcW w:w="140" w:type="dxa"/>
            <w:vAlign w:val="bottom"/>
          </w:tcPr>
          <w:p>
            <w:pPr>
              <w:spacing w:after="0"/>
              <w:rPr>
                <w:sz w:val="18"/>
                <w:szCs w:val="18"/>
                <w:color w:val="auto"/>
              </w:rPr>
            </w:pPr>
          </w:p>
        </w:tc>
      </w:tr>
      <w:tr>
        <w:trPr>
          <w:trHeight w:val="199"/>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4"/>
          </w:tcPr>
          <w:p>
            <w:pPr>
              <w:jc w:val="center"/>
              <w:ind w:left="661"/>
              <w:spacing w:after="0"/>
              <w:rPr>
                <w:sz w:val="20"/>
                <w:szCs w:val="20"/>
                <w:color w:val="auto"/>
              </w:rPr>
            </w:pPr>
            <w:r>
              <w:rPr>
                <w:rFonts w:ascii="Arial" w:cs="Arial" w:eastAsia="Arial" w:hAnsi="Arial"/>
                <w:sz w:val="16"/>
                <w:szCs w:val="16"/>
                <w:color w:val="auto"/>
                <w:w w:val="90"/>
              </w:rPr>
              <w:t>(Unaudited)</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5"/>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Revenues from services (a)</w:t>
            </w:r>
          </w:p>
        </w:tc>
        <w:tc>
          <w:tcPr>
            <w:tcW w:w="28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9,608.4</w:t>
            </w:r>
          </w:p>
        </w:tc>
        <w:tc>
          <w:tcPr>
            <w:tcW w:w="560" w:type="dxa"/>
            <w:vAlign w:val="bottom"/>
            <w:gridSpan w:val="3"/>
            <w:shd w:val="clear" w:color="auto" w:fill="CFF0FC"/>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10,217.4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-6.0 %</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-2.8 %</w:t>
            </w:r>
          </w:p>
        </w:tc>
      </w:tr>
      <w:tr>
        <w:trPr>
          <w:trHeight w:val="212"/>
        </w:trPr>
        <w:tc>
          <w:tcPr>
            <w:tcW w:w="5260" w:type="dxa"/>
            <w:vAlign w:val="bottom"/>
          </w:tcPr>
          <w:p>
            <w:pPr>
              <w:spacing w:after="0"/>
              <w:rPr>
                <w:sz w:val="20"/>
                <w:szCs w:val="20"/>
                <w:color w:val="auto"/>
              </w:rPr>
            </w:pPr>
            <w:r>
              <w:rPr>
                <w:rFonts w:ascii="Arial" w:cs="Arial" w:eastAsia="Arial" w:hAnsi="Arial"/>
                <w:sz w:val="16"/>
                <w:szCs w:val="16"/>
                <w:color w:val="auto"/>
              </w:rPr>
              <w:t>Cost of services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6"/>
                <w:szCs w:val="16"/>
                <w:color w:val="auto"/>
              </w:rPr>
              <w:t>-6.1 %</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-2.9 %</w:t>
            </w:r>
          </w:p>
        </w:tc>
      </w:tr>
      <w:tr>
        <w:trPr>
          <w:trHeight w:val="205"/>
        </w:trPr>
        <w:tc>
          <w:tcPr>
            <w:tcW w:w="5260" w:type="dxa"/>
            <w:vAlign w:val="bottom"/>
            <w:shd w:val="clear" w:color="auto" w:fill="CFF0FC"/>
          </w:tcPr>
          <w:p>
            <w:pPr>
              <w:ind w:left="8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1,725.4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1,818.3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-5.1 %</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-2.2 %</w:t>
            </w:r>
          </w:p>
        </w:tc>
      </w:tr>
      <w:tr>
        <w:trPr>
          <w:trHeight w:val="212"/>
        </w:trPr>
        <w:tc>
          <w:tcPr>
            <w:tcW w:w="526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6"/>
                <w:szCs w:val="16"/>
                <w:color w:val="auto"/>
              </w:rPr>
              <w:t>0.1 %</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2.7 %</w:t>
            </w:r>
          </w:p>
        </w:tc>
      </w:tr>
      <w:tr>
        <w:trPr>
          <w:trHeight w:val="205"/>
        </w:trPr>
        <w:tc>
          <w:tcPr>
            <w:tcW w:w="5260" w:type="dxa"/>
            <w:vAlign w:val="bottom"/>
            <w:shd w:val="clear" w:color="auto" w:fill="CFF0FC"/>
          </w:tcPr>
          <w:p>
            <w:pPr>
              <w:ind w:left="80"/>
              <w:spacing w:after="0"/>
              <w:rPr>
                <w:sz w:val="20"/>
                <w:szCs w:val="20"/>
                <w:color w:val="auto"/>
              </w:rPr>
            </w:pPr>
            <w:r>
              <w:rPr>
                <w:rFonts w:ascii="Arial" w:cs="Arial" w:eastAsia="Arial" w:hAnsi="Arial"/>
                <w:sz w:val="16"/>
                <w:szCs w:val="16"/>
                <w:color w:val="auto"/>
              </w:rPr>
              <w:t>Operating profit</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319.4</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-29.4 %</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-25.4 %</w:t>
            </w:r>
          </w:p>
        </w:tc>
      </w:tr>
      <w:tr>
        <w:trPr>
          <w:trHeight w:val="212"/>
        </w:trPr>
        <w:tc>
          <w:tcPr>
            <w:tcW w:w="5260" w:type="dxa"/>
            <w:vAlign w:val="bottom"/>
          </w:tcPr>
          <w:p>
            <w:pPr>
              <w:spacing w:after="0"/>
              <w:rPr>
                <w:sz w:val="20"/>
                <w:szCs w:val="20"/>
                <w:color w:val="auto"/>
              </w:rPr>
            </w:pPr>
            <w:r>
              <w:rPr>
                <w:rFonts w:ascii="Arial" w:cs="Arial" w:eastAsia="Arial" w:hAnsi="Arial"/>
                <w:sz w:val="16"/>
                <w:szCs w:val="16"/>
                <w:color w:val="auto"/>
              </w:rPr>
              <w:t>Interest and other expenses, net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6"/>
                <w:szCs w:val="16"/>
                <w:color w:val="auto"/>
              </w:rPr>
              <w:t>106.1 %</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5"/>
        </w:trPr>
        <w:tc>
          <w:tcPr>
            <w:tcW w:w="5260" w:type="dxa"/>
            <w:vAlign w:val="bottom"/>
            <w:shd w:val="clear" w:color="auto" w:fill="CFF0FC"/>
          </w:tcPr>
          <w:p>
            <w:pPr>
              <w:ind w:left="80"/>
              <w:spacing w:after="0"/>
              <w:rPr>
                <w:sz w:val="20"/>
                <w:szCs w:val="20"/>
                <w:color w:val="auto"/>
              </w:rPr>
            </w:pPr>
            <w:r>
              <w:rPr>
                <w:rFonts w:ascii="Arial" w:cs="Arial" w:eastAsia="Arial" w:hAnsi="Arial"/>
                <w:sz w:val="16"/>
                <w:szCs w:val="16"/>
                <w:color w:val="auto"/>
              </w:rPr>
              <w:t>Earnings before income taxes</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206.2</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-33.5 %</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-29.4 %</w:t>
            </w:r>
          </w:p>
        </w:tc>
      </w:tr>
      <w:tr>
        <w:trPr>
          <w:trHeight w:val="212"/>
        </w:trPr>
        <w:tc>
          <w:tcPr>
            <w:tcW w:w="52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6"/>
                <w:szCs w:val="16"/>
                <w:color w:val="auto"/>
              </w:rPr>
              <w:t>-34.3 %</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5"/>
        </w:trPr>
        <w:tc>
          <w:tcPr>
            <w:tcW w:w="52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Net earnings</w:t>
            </w:r>
          </w:p>
        </w:tc>
        <w:tc>
          <w:tcPr>
            <w:tcW w:w="280" w:type="dxa"/>
            <w:vAlign w:val="bottom"/>
            <w:tcBorders>
              <w:bottom w:val="single" w:sz="8" w:color="auto"/>
            </w:tcBorders>
            <w:shd w:val="clear" w:color="auto" w:fill="CFF0FC"/>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143.0</w:t>
            </w:r>
          </w:p>
        </w:tc>
        <w:tc>
          <w:tcPr>
            <w:tcW w:w="280" w:type="dxa"/>
            <w:vAlign w:val="bottom"/>
            <w:tcBorders>
              <w:bottom w:val="single" w:sz="8" w:color="CFF0FC"/>
            </w:tcBorders>
            <w:gridSpan w:val="2"/>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213.8</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CFF0FC"/>
            </w:tcBorders>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-33.1 %</w:t>
            </w:r>
          </w:p>
        </w:tc>
        <w:tc>
          <w:tcPr>
            <w:tcW w:w="11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-29.0 %</w:t>
            </w:r>
          </w:p>
        </w:tc>
      </w:tr>
      <w:tr>
        <w:trPr>
          <w:trHeight w:val="188"/>
        </w:trPr>
        <w:tc>
          <w:tcPr>
            <w:tcW w:w="5260" w:type="dxa"/>
            <w:vAlign w:val="bottom"/>
          </w:tcPr>
          <w:p>
            <w:pPr>
              <w:spacing w:after="0"/>
              <w:rPr>
                <w:sz w:val="20"/>
                <w:szCs w:val="20"/>
                <w:color w:val="auto"/>
              </w:rPr>
            </w:pPr>
            <w:r>
              <w:rPr>
                <w:rFonts w:ascii="Arial" w:cs="Arial" w:eastAsia="Arial" w:hAnsi="Arial"/>
                <w:sz w:val="16"/>
                <w:szCs w:val="16"/>
                <w:color w:val="auto"/>
              </w:rPr>
              <w:t>Net earnings per share - basic</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280" w:type="dxa"/>
            <w:vAlign w:val="bottom"/>
            <w:gridSpan w:val="2"/>
          </w:tcPr>
          <w:p>
            <w:pPr>
              <w:spacing w:after="0"/>
              <w:rPr>
                <w:sz w:val="16"/>
                <w:szCs w:val="16"/>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6"/>
                <w:szCs w:val="16"/>
                <w:color w:val="auto"/>
              </w:rPr>
              <w:t>-29.5 %</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228"/>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earnings per share - diluted</w:t>
            </w:r>
          </w:p>
        </w:tc>
        <w:tc>
          <w:tcPr>
            <w:tcW w:w="28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2.80</w:t>
            </w:r>
          </w:p>
        </w:tc>
        <w:tc>
          <w:tcPr>
            <w:tcW w:w="280" w:type="dxa"/>
            <w:vAlign w:val="bottom"/>
            <w:tcBorders>
              <w:bottom w:val="single" w:sz="8" w:color="CFF0FC"/>
            </w:tcBorders>
            <w:gridSpan w:val="2"/>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-29.4 %</w:t>
            </w:r>
          </w:p>
        </w:tc>
        <w:tc>
          <w:tcPr>
            <w:tcW w:w="11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-25.1 %</w:t>
            </w:r>
          </w:p>
        </w:tc>
      </w:tr>
      <w:tr>
        <w:trPr>
          <w:trHeight w:val="188"/>
        </w:trPr>
        <w:tc>
          <w:tcPr>
            <w:tcW w:w="5260" w:type="dxa"/>
            <w:vAlign w:val="bottom"/>
          </w:tcPr>
          <w:p>
            <w:pPr>
              <w:spacing w:after="0"/>
              <w:rPr>
                <w:sz w:val="20"/>
                <w:szCs w:val="20"/>
                <w:color w:val="auto"/>
              </w:rPr>
            </w:pPr>
            <w:r>
              <w:rPr>
                <w:rFonts w:ascii="Arial" w:cs="Arial" w:eastAsia="Arial" w:hAnsi="Arial"/>
                <w:sz w:val="16"/>
                <w:szCs w:val="16"/>
                <w:color w:val="auto"/>
              </w:rPr>
              <w:t>Weighted average shares - basic</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6"/>
                <w:szCs w:val="16"/>
                <w:color w:val="auto"/>
              </w:rPr>
              <w:t>-5.1 %</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8"/>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 average shares - diluted</w:t>
            </w: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53.8</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-5.3 %</w:t>
            </w:r>
          </w:p>
        </w:tc>
        <w:tc>
          <w:tcPr>
            <w:tcW w:w="10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4137660</wp:posOffset>
            </wp:positionH>
            <wp:positionV relativeFrom="paragraph">
              <wp:posOffset>-652780</wp:posOffset>
            </wp:positionV>
            <wp:extent cx="1051560"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51560" cy="18034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-337185</wp:posOffset>
            </wp:positionV>
            <wp:extent cx="105156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51560" cy="18034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-21590</wp:posOffset>
            </wp:positionV>
            <wp:extent cx="8255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-6985</wp:posOffset>
            </wp:positionV>
            <wp:extent cx="8255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-21590</wp:posOffset>
            </wp:positionV>
            <wp:extent cx="8255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-6985</wp:posOffset>
            </wp:positionV>
            <wp:extent cx="8255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0" cy="7620"/>
                    </a:xfrm>
                    <a:prstGeom prst="rect">
                      <a:avLst/>
                    </a:prstGeom>
                    <a:noFill/>
                  </pic:spPr>
                </pic:pic>
              </a:graphicData>
            </a:graphic>
          </wp:anchor>
        </w:drawing>
      </w:r>
    </w:p>
    <w:p>
      <w:pPr>
        <w:jc w:val="both"/>
        <w:ind w:left="505" w:hanging="505"/>
        <w:spacing w:after="0" w:line="249" w:lineRule="auto"/>
        <w:tabs>
          <w:tab w:leader="none" w:pos="505"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$7.2 million and $7.5 million for the six months ended June 30, 2023 and 2022, respectively. These fees are primarily based on revenues generated by the franchise offices, which were $500.8 million and $540.8 million for the six months ended June 30, 2023 and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359410</wp:posOffset>
            </wp:positionV>
            <wp:extent cx="717486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316" w:right="319" w:bottom="1440" w:gutter="0" w:footer="0" w:header="0"/>
        </w:sectPr>
      </w:pPr>
    </w:p>
    <w:bookmarkStart w:id="10" w:name="page11"/>
    <w:bookmarkEnd w:id="10"/>
    <w:p>
      <w:pPr>
        <w:ind w:left="5086"/>
        <w:spacing w:after="0"/>
        <w:rPr>
          <w:sz w:val="20"/>
          <w:szCs w:val="20"/>
          <w:color w:val="auto"/>
        </w:rPr>
      </w:pPr>
      <w:r>
        <w:rPr>
          <w:rFonts w:ascii="Arial" w:cs="Arial" w:eastAsia="Arial" w:hAnsi="Arial"/>
          <w:sz w:val="16"/>
          <w:szCs w:val="16"/>
          <w:color w:val="auto"/>
        </w:rPr>
        <w:t>ManpowerGroup</w:t>
      </w:r>
    </w:p>
    <w:p>
      <w:pPr>
        <w:spacing w:after="0" w:line="41" w:lineRule="exact"/>
        <w:rPr>
          <w:sz w:val="20"/>
          <w:szCs w:val="20"/>
          <w:color w:val="auto"/>
        </w:rPr>
      </w:pPr>
    </w:p>
    <w:p>
      <w:pPr>
        <w:ind w:left="4906"/>
        <w:spacing w:after="0"/>
        <w:rPr>
          <w:sz w:val="20"/>
          <w:szCs w:val="20"/>
          <w:color w:val="auto"/>
        </w:rPr>
      </w:pPr>
      <w:r>
        <w:rPr>
          <w:rFonts w:ascii="Arial" w:cs="Arial" w:eastAsia="Arial" w:hAnsi="Arial"/>
          <w:sz w:val="16"/>
          <w:szCs w:val="16"/>
          <w:color w:val="auto"/>
        </w:rPr>
        <w:t>Operating Unit Results</w:t>
      </w:r>
    </w:p>
    <w:p>
      <w:pPr>
        <w:spacing w:after="0" w:line="29"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(In millions)</w:t>
      </w:r>
    </w:p>
    <w:p>
      <w:pPr>
        <w:spacing w:after="0" w:line="261"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5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7"/>
          </w:tcPr>
          <w:p>
            <w:pPr>
              <w:jc w:val="center"/>
              <w:ind w:right="820"/>
              <w:spacing w:after="0"/>
              <w:rPr>
                <w:sz w:val="20"/>
                <w:szCs w:val="20"/>
                <w:color w:val="auto"/>
              </w:rPr>
            </w:pPr>
            <w:r>
              <w:rPr>
                <w:rFonts w:ascii="Arial" w:cs="Arial" w:eastAsia="Arial" w:hAnsi="Arial"/>
                <w:sz w:val="16"/>
                <w:szCs w:val="16"/>
                <w:b w:val="1"/>
                <w:bCs w:val="1"/>
                <w:color w:val="auto"/>
                <w:w w:val="89"/>
              </w:rPr>
              <w:t>Six Months Ended June 30</w:t>
            </w:r>
          </w:p>
        </w:tc>
        <w:tc>
          <w:tcPr>
            <w:tcW w:w="10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 Variance</w:t>
            </w:r>
          </w:p>
        </w:tc>
        <w:tc>
          <w:tcPr>
            <w:tcW w:w="10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0"/>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center"/>
              <w:ind w:right="880"/>
              <w:spacing w:after="0"/>
              <w:rPr>
                <w:sz w:val="20"/>
                <w:szCs w:val="20"/>
                <w:color w:val="auto"/>
              </w:rPr>
            </w:pPr>
            <w:r>
              <w:rPr>
                <w:rFonts w:ascii="Arial" w:cs="Arial" w:eastAsia="Arial" w:hAnsi="Arial"/>
                <w:sz w:val="16"/>
                <w:szCs w:val="16"/>
                <w:b w:val="1"/>
                <w:bCs w:val="1"/>
                <w:color w:val="auto"/>
                <w:w w:val="89"/>
              </w:rPr>
              <w:t>Amount</w:t>
            </w:r>
          </w:p>
        </w:tc>
        <w:tc>
          <w:tcPr>
            <w:tcW w:w="1000" w:type="dxa"/>
            <w:vAlign w:val="bottom"/>
          </w:tcPr>
          <w:p>
            <w:pPr>
              <w:ind w:left="20"/>
              <w:spacing w:after="0"/>
              <w:rPr>
                <w:sz w:val="20"/>
                <w:szCs w:val="20"/>
                <w:color w:val="auto"/>
              </w:rPr>
            </w:pPr>
            <w:r>
              <w:rPr>
                <w:rFonts w:ascii="Arial" w:cs="Arial" w:eastAsia="Arial" w:hAnsi="Arial"/>
                <w:sz w:val="16"/>
                <w:szCs w:val="16"/>
                <w:b w:val="1"/>
                <w:bCs w:val="1"/>
                <w:color w:val="auto"/>
              </w:rPr>
              <w:t>Constant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5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201"/>
              <w:spacing w:after="0"/>
              <w:rPr>
                <w:sz w:val="20"/>
                <w:szCs w:val="20"/>
                <w:color w:val="auto"/>
              </w:rPr>
            </w:pPr>
            <w:r>
              <w:rPr>
                <w:rFonts w:ascii="Arial" w:cs="Arial" w:eastAsia="Arial" w:hAnsi="Arial"/>
                <w:sz w:val="16"/>
                <w:szCs w:val="16"/>
                <w:b w:val="1"/>
                <w:bCs w:val="1"/>
                <w:color w:val="auto"/>
                <w:w w:val="88"/>
              </w:rPr>
              <w:t>Reported</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Currency</w:t>
            </w:r>
          </w:p>
        </w:tc>
        <w:tc>
          <w:tcPr>
            <w:tcW w:w="160" w:type="dxa"/>
            <w:vAlign w:val="bottom"/>
            <w:gridSpan w:val="2"/>
          </w:tcPr>
          <w:p>
            <w:pPr>
              <w:spacing w:after="0"/>
              <w:rPr>
                <w:sz w:val="18"/>
                <w:szCs w:val="18"/>
                <w:color w:val="auto"/>
              </w:rPr>
            </w:pPr>
          </w:p>
        </w:tc>
      </w:tr>
      <w:tr>
        <w:trPr>
          <w:trHeight w:val="205"/>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4"/>
          </w:tcPr>
          <w:p>
            <w:pPr>
              <w:jc w:val="center"/>
              <w:ind w:left="661"/>
              <w:spacing w:after="0"/>
              <w:rPr>
                <w:sz w:val="20"/>
                <w:szCs w:val="20"/>
                <w:color w:val="auto"/>
              </w:rPr>
            </w:pPr>
            <w:r>
              <w:rPr>
                <w:rFonts w:ascii="Arial" w:cs="Arial" w:eastAsia="Arial" w:hAnsi="Arial"/>
                <w:sz w:val="16"/>
                <w:szCs w:val="16"/>
                <w:color w:val="auto"/>
                <w:w w:val="90"/>
              </w:rPr>
              <w:t>(Unaudited)</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Revenues from Services:</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0"/>
        </w:trPr>
        <w:tc>
          <w:tcPr>
            <w:tcW w:w="5260" w:type="dxa"/>
            <w:vAlign w:val="bottom"/>
          </w:tcPr>
          <w:p>
            <w:pPr>
              <w:ind w:left="160"/>
              <w:spacing w:after="0"/>
              <w:rPr>
                <w:sz w:val="20"/>
                <w:szCs w:val="20"/>
                <w:color w:val="auto"/>
              </w:rPr>
            </w:pPr>
            <w:r>
              <w:rPr>
                <w:rFonts w:ascii="Arial" w:cs="Arial" w:eastAsia="Arial" w:hAnsi="Arial"/>
                <w:sz w:val="16"/>
                <w:szCs w:val="16"/>
                <w:color w:val="auto"/>
              </w:rPr>
              <w:t>Americas: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52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United States (a)</w:t>
            </w:r>
          </w:p>
        </w:tc>
        <w:tc>
          <w:tcPr>
            <w:tcW w:w="28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1,506.7</w:t>
            </w: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1,793.3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-16.0 %</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-16.0 %</w:t>
            </w:r>
          </w:p>
        </w:tc>
        <w:tc>
          <w:tcPr>
            <w:tcW w:w="20" w:type="dxa"/>
            <w:vAlign w:val="bottom"/>
          </w:tcPr>
          <w:p>
            <w:pPr>
              <w:spacing w:after="0"/>
              <w:rPr>
                <w:sz w:val="19"/>
                <w:szCs w:val="19"/>
                <w:color w:val="auto"/>
              </w:rPr>
            </w:pPr>
          </w:p>
        </w:tc>
      </w:tr>
      <w:tr>
        <w:trPr>
          <w:trHeight w:val="212"/>
        </w:trPr>
        <w:tc>
          <w:tcPr>
            <w:tcW w:w="5260" w:type="dxa"/>
            <w:vAlign w:val="bottom"/>
          </w:tcPr>
          <w:p>
            <w:pPr>
              <w:ind w:left="400"/>
              <w:spacing w:after="0"/>
              <w:rPr>
                <w:sz w:val="20"/>
                <w:szCs w:val="20"/>
                <w:color w:val="auto"/>
              </w:rPr>
            </w:pPr>
            <w:r>
              <w:rPr>
                <w:rFonts w:ascii="Arial" w:cs="Arial" w:eastAsia="Arial" w:hAnsi="Arial"/>
                <w:sz w:val="16"/>
                <w:szCs w:val="16"/>
                <w:color w:val="auto"/>
              </w:rPr>
              <w:t>Other Americas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6"/>
                <w:szCs w:val="16"/>
                <w:color w:val="auto"/>
              </w:rPr>
              <w:t>0.2 %</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12.9 %</w:t>
            </w:r>
          </w:p>
        </w:tc>
      </w:tr>
      <w:tr>
        <w:trPr>
          <w:trHeight w:val="205"/>
        </w:trPr>
        <w:tc>
          <w:tcPr>
            <w:tcW w:w="5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2,228.9</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2,513.9</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CFF0FC"/>
            </w:tcBorders>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-11.3 %</w:t>
            </w:r>
          </w:p>
        </w:tc>
        <w:tc>
          <w:tcPr>
            <w:tcW w:w="11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-7.7 %</w:t>
            </w:r>
          </w:p>
        </w:tc>
        <w:tc>
          <w:tcPr>
            <w:tcW w:w="20" w:type="dxa"/>
            <w:vAlign w:val="bottom"/>
          </w:tcPr>
          <w:p>
            <w:pPr>
              <w:spacing w:after="0"/>
              <w:rPr>
                <w:sz w:val="17"/>
                <w:szCs w:val="17"/>
                <w:color w:val="auto"/>
              </w:rPr>
            </w:pPr>
          </w:p>
        </w:tc>
      </w:tr>
      <w:tr>
        <w:trPr>
          <w:trHeight w:val="193"/>
        </w:trPr>
        <w:tc>
          <w:tcPr>
            <w:tcW w:w="5260" w:type="dxa"/>
            <w:vAlign w:val="bottom"/>
          </w:tcPr>
          <w:p>
            <w:pPr>
              <w:ind w:left="160"/>
              <w:spacing w:after="0"/>
              <w:rPr>
                <w:sz w:val="20"/>
                <w:szCs w:val="20"/>
                <w:color w:val="auto"/>
              </w:rPr>
            </w:pPr>
            <w:r>
              <w:rPr>
                <w:rFonts w:ascii="Arial" w:cs="Arial" w:eastAsia="Arial" w:hAnsi="Arial"/>
                <w:sz w:val="16"/>
                <w:szCs w:val="16"/>
                <w:color w:val="auto"/>
              </w:rPr>
              <w:t>Southern Europe: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52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France</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2,447.5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2,430.6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0.7 %</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1.7 %</w:t>
            </w:r>
          </w:p>
        </w:tc>
        <w:tc>
          <w:tcPr>
            <w:tcW w:w="20" w:type="dxa"/>
            <w:vAlign w:val="bottom"/>
          </w:tcPr>
          <w:p>
            <w:pPr>
              <w:spacing w:after="0"/>
              <w:rPr>
                <w:sz w:val="19"/>
                <w:szCs w:val="19"/>
                <w:color w:val="auto"/>
              </w:rPr>
            </w:pPr>
          </w:p>
        </w:tc>
      </w:tr>
      <w:tr>
        <w:trPr>
          <w:trHeight w:val="207"/>
        </w:trPr>
        <w:tc>
          <w:tcPr>
            <w:tcW w:w="5260" w:type="dxa"/>
            <w:vAlign w:val="bottom"/>
          </w:tcPr>
          <w:p>
            <w:pPr>
              <w:ind w:left="400"/>
              <w:spacing w:after="0"/>
              <w:rPr>
                <w:sz w:val="20"/>
                <w:szCs w:val="20"/>
                <w:color w:val="auto"/>
              </w:rPr>
            </w:pPr>
            <w:r>
              <w:rPr>
                <w:rFonts w:ascii="Arial" w:cs="Arial" w:eastAsia="Arial" w:hAnsi="Arial"/>
                <w:sz w:val="16"/>
                <w:szCs w:val="16"/>
                <w:color w:val="auto"/>
              </w:rPr>
              <w:t>Italy</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899.3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6"/>
                <w:szCs w:val="16"/>
                <w:color w:val="auto"/>
              </w:rPr>
              <w:t>-2.1 %</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20" w:type="dxa"/>
            <w:vAlign w:val="bottom"/>
          </w:tcPr>
          <w:p>
            <w:pPr>
              <w:spacing w:after="0"/>
              <w:rPr>
                <w:sz w:val="17"/>
                <w:szCs w:val="17"/>
                <w:color w:val="auto"/>
              </w:rPr>
            </w:pPr>
          </w:p>
        </w:tc>
      </w:tr>
      <w:tr>
        <w:trPr>
          <w:trHeight w:val="218"/>
        </w:trPr>
        <w:tc>
          <w:tcPr>
            <w:tcW w:w="526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6"/>
                <w:szCs w:val="16"/>
                <w:color w:val="auto"/>
              </w:rPr>
              <w:t>Other Southern Europe</w:t>
            </w: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967.3</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1,065.4</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-9.2 %</w:t>
            </w:r>
          </w:p>
        </w:tc>
        <w:tc>
          <w:tcPr>
            <w:tcW w:w="11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-7.6 %</w:t>
            </w:r>
          </w:p>
        </w:tc>
        <w:tc>
          <w:tcPr>
            <w:tcW w:w="20" w:type="dxa"/>
            <w:vAlign w:val="bottom"/>
          </w:tcPr>
          <w:p>
            <w:pPr>
              <w:spacing w:after="0"/>
              <w:rPr>
                <w:sz w:val="18"/>
                <w:szCs w:val="18"/>
                <w:color w:val="auto"/>
              </w:rPr>
            </w:pPr>
          </w:p>
        </w:tc>
      </w:tr>
      <w:tr>
        <w:trPr>
          <w:trHeight w:val="205"/>
        </w:trPr>
        <w:tc>
          <w:tcPr>
            <w:tcW w:w="5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4,294.8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4,395.3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6"/>
                <w:szCs w:val="16"/>
                <w:color w:val="auto"/>
              </w:rPr>
              <w:t>-2.3 %</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-1.2 %</w:t>
            </w:r>
          </w:p>
        </w:tc>
      </w:tr>
      <w:tr>
        <w:trPr>
          <w:trHeight w:val="205"/>
        </w:trPr>
        <w:tc>
          <w:tcPr>
            <w:tcW w:w="52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Northern Europe</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1,920.1</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2,121.6</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-9.5 %</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-5.1 %</w:t>
            </w:r>
          </w:p>
        </w:tc>
        <w:tc>
          <w:tcPr>
            <w:tcW w:w="20" w:type="dxa"/>
            <w:vAlign w:val="bottom"/>
          </w:tcPr>
          <w:p>
            <w:pPr>
              <w:spacing w:after="0"/>
              <w:rPr>
                <w:sz w:val="17"/>
                <w:szCs w:val="17"/>
                <w:color w:val="auto"/>
              </w:rPr>
            </w:pPr>
          </w:p>
        </w:tc>
      </w:tr>
      <w:tr>
        <w:trPr>
          <w:trHeight w:val="212"/>
        </w:trPr>
        <w:tc>
          <w:tcPr>
            <w:tcW w:w="5260" w:type="dxa"/>
            <w:vAlign w:val="bottom"/>
          </w:tcPr>
          <w:p>
            <w:pPr>
              <w:ind w:left="160"/>
              <w:spacing w:after="0"/>
              <w:rPr>
                <w:sz w:val="20"/>
                <w:szCs w:val="20"/>
                <w:color w:val="auto"/>
              </w:rPr>
            </w:pPr>
            <w:r>
              <w:rPr>
                <w:rFonts w:ascii="Arial" w:cs="Arial" w:eastAsia="Arial" w:hAnsi="Arial"/>
                <w:sz w:val="16"/>
                <w:szCs w:val="16"/>
                <w:color w:val="auto"/>
              </w:rPr>
              <w:t>APME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6"/>
                <w:szCs w:val="16"/>
                <w:color w:val="auto"/>
              </w:rPr>
              <w:t>-1.4 %</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5.8 %</w:t>
            </w:r>
          </w:p>
        </w:tc>
      </w:tr>
      <w:tr>
        <w:trPr>
          <w:trHeight w:val="199"/>
        </w:trPr>
        <w:tc>
          <w:tcPr>
            <w:tcW w:w="5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9,649.1</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10,252.7</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5260" w:type="dxa"/>
            <w:vAlign w:val="bottom"/>
          </w:tcPr>
          <w:p>
            <w:pPr>
              <w:ind w:left="160"/>
              <w:spacing w:after="0"/>
              <w:rPr>
                <w:sz w:val="20"/>
                <w:szCs w:val="20"/>
                <w:color w:val="auto"/>
              </w:rPr>
            </w:pPr>
            <w:r>
              <w:rPr>
                <w:rFonts w:ascii="Arial" w:cs="Arial" w:eastAsia="Arial" w:hAnsi="Arial"/>
                <w:sz w:val="16"/>
                <w:szCs w:val="16"/>
                <w:color w:val="auto"/>
              </w:rPr>
              <w:t>Intercompany Eliminations</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(40.7 )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(35.3 )</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1"/>
        </w:trPr>
        <w:tc>
          <w:tcPr>
            <w:tcW w:w="5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9,608.4</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10,217.4</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CFF0FC"/>
            </w:tcBorders>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-6.0 %</w:t>
            </w:r>
          </w:p>
        </w:tc>
        <w:tc>
          <w:tcPr>
            <w:tcW w:w="11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-2.8 %</w:t>
            </w:r>
          </w:p>
        </w:tc>
        <w:tc>
          <w:tcPr>
            <w:tcW w:w="20" w:type="dxa"/>
            <w:vAlign w:val="bottom"/>
          </w:tcPr>
          <w:p>
            <w:pPr>
              <w:spacing w:after="0"/>
              <w:rPr>
                <w:sz w:val="21"/>
                <w:szCs w:val="21"/>
                <w:color w:val="auto"/>
              </w:rPr>
            </w:pPr>
          </w:p>
        </w:tc>
      </w:tr>
      <w:tr>
        <w:trPr>
          <w:trHeight w:val="182"/>
        </w:trPr>
        <w:tc>
          <w:tcPr>
            <w:tcW w:w="5260" w:type="dxa"/>
            <w:vAlign w:val="bottom"/>
          </w:tcPr>
          <w:p>
            <w:pPr>
              <w:spacing w:after="0" w:line="182" w:lineRule="exact"/>
              <w:rPr>
                <w:sz w:val="20"/>
                <w:szCs w:val="20"/>
                <w:color w:val="auto"/>
              </w:rPr>
            </w:pPr>
            <w:r>
              <w:rPr>
                <w:rFonts w:ascii="Arial" w:cs="Arial" w:eastAsia="Arial" w:hAnsi="Arial"/>
                <w:sz w:val="16"/>
                <w:szCs w:val="16"/>
                <w:color w:val="auto"/>
              </w:rPr>
              <w:t>Operating Unit Profit:</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9"/>
        </w:trPr>
        <w:tc>
          <w:tcPr>
            <w:tcW w:w="52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Americas:</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7"/>
        </w:trPr>
        <w:tc>
          <w:tcPr>
            <w:tcW w:w="5260" w:type="dxa"/>
            <w:vAlign w:val="bottom"/>
          </w:tcPr>
          <w:p>
            <w:pPr>
              <w:ind w:left="400"/>
              <w:spacing w:after="0"/>
              <w:rPr>
                <w:sz w:val="20"/>
                <w:szCs w:val="20"/>
                <w:color w:val="auto"/>
              </w:rPr>
            </w:pPr>
            <w:r>
              <w:rPr>
                <w:rFonts w:ascii="Arial" w:cs="Arial" w:eastAsia="Arial" w:hAnsi="Arial"/>
                <w:sz w:val="16"/>
                <w:szCs w:val="16"/>
                <w:color w:val="auto"/>
              </w:rPr>
              <w:t>United States</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57.3</w:t>
            </w:r>
          </w:p>
        </w:tc>
        <w:tc>
          <w:tcPr>
            <w:tcW w:w="120" w:type="dxa"/>
            <w:vAlign w:val="bottom"/>
          </w:tcPr>
          <w:p>
            <w:pPr>
              <w:spacing w:after="0"/>
              <w:rPr>
                <w:sz w:val="17"/>
                <w:szCs w:val="17"/>
                <w:color w:val="auto"/>
              </w:rPr>
            </w:pPr>
          </w:p>
        </w:tc>
        <w:tc>
          <w:tcPr>
            <w:tcW w:w="440" w:type="dxa"/>
            <w:vAlign w:val="bottom"/>
            <w:gridSpan w:val="2"/>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6"/>
                <w:szCs w:val="16"/>
                <w:color w:val="auto"/>
              </w:rPr>
              <w:t>-53.4 %</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-53.4 %</w:t>
            </w:r>
          </w:p>
        </w:tc>
        <w:tc>
          <w:tcPr>
            <w:tcW w:w="20" w:type="dxa"/>
            <w:vAlign w:val="bottom"/>
          </w:tcPr>
          <w:p>
            <w:pPr>
              <w:spacing w:after="0"/>
              <w:rPr>
                <w:sz w:val="17"/>
                <w:szCs w:val="17"/>
                <w:color w:val="auto"/>
              </w:rPr>
            </w:pPr>
          </w:p>
        </w:tc>
      </w:tr>
      <w:tr>
        <w:trPr>
          <w:trHeight w:val="218"/>
        </w:trPr>
        <w:tc>
          <w:tcPr>
            <w:tcW w:w="526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6"/>
                <w:szCs w:val="16"/>
                <w:color w:val="auto"/>
              </w:rPr>
              <w:t>Other Americas</w:t>
            </w: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12.6 %</w:t>
            </w:r>
          </w:p>
        </w:tc>
        <w:tc>
          <w:tcPr>
            <w:tcW w:w="11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29.6 %</w:t>
            </w:r>
          </w:p>
        </w:tc>
        <w:tc>
          <w:tcPr>
            <w:tcW w:w="20" w:type="dxa"/>
            <w:vAlign w:val="bottom"/>
          </w:tcPr>
          <w:p>
            <w:pPr>
              <w:spacing w:after="0"/>
              <w:rPr>
                <w:sz w:val="18"/>
                <w:szCs w:val="18"/>
                <w:color w:val="auto"/>
              </w:rPr>
            </w:pPr>
          </w:p>
        </w:tc>
      </w:tr>
      <w:tr>
        <w:trPr>
          <w:trHeight w:val="205"/>
        </w:trPr>
        <w:tc>
          <w:tcPr>
            <w:tcW w:w="5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6"/>
                <w:szCs w:val="16"/>
                <w:color w:val="auto"/>
              </w:rPr>
              <w:t>-40.3 %</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-36.9 %</w:t>
            </w:r>
          </w:p>
        </w:tc>
      </w:tr>
      <w:tr>
        <w:trPr>
          <w:trHeight w:val="205"/>
        </w:trPr>
        <w:tc>
          <w:tcPr>
            <w:tcW w:w="52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Southern Europe:</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5260" w:type="dxa"/>
            <w:vAlign w:val="bottom"/>
          </w:tcPr>
          <w:p>
            <w:pPr>
              <w:ind w:left="400"/>
              <w:spacing w:after="0"/>
              <w:rPr>
                <w:sz w:val="20"/>
                <w:szCs w:val="20"/>
                <w:color w:val="auto"/>
              </w:rPr>
            </w:pPr>
            <w:r>
              <w:rPr>
                <w:rFonts w:ascii="Arial" w:cs="Arial" w:eastAsia="Arial" w:hAnsi="Arial"/>
                <w:sz w:val="16"/>
                <w:szCs w:val="16"/>
                <w:color w:val="auto"/>
              </w:rPr>
              <w:t>France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6"/>
                <w:szCs w:val="16"/>
                <w:color w:val="auto"/>
              </w:rPr>
              <w:t>-15.6 %</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-15.0 %</w:t>
            </w:r>
          </w:p>
        </w:tc>
        <w:tc>
          <w:tcPr>
            <w:tcW w:w="20" w:type="dxa"/>
            <w:vAlign w:val="bottom"/>
          </w:tcPr>
          <w:p>
            <w:pPr>
              <w:spacing w:after="0"/>
              <w:rPr>
                <w:sz w:val="17"/>
                <w:szCs w:val="17"/>
                <w:color w:val="auto"/>
              </w:rPr>
            </w:pPr>
          </w:p>
        </w:tc>
      </w:tr>
      <w:tr>
        <w:trPr>
          <w:trHeight w:val="225"/>
        </w:trPr>
        <w:tc>
          <w:tcPr>
            <w:tcW w:w="52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Italy</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3.8 %</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4.6 %</w:t>
            </w:r>
          </w:p>
        </w:tc>
        <w:tc>
          <w:tcPr>
            <w:tcW w:w="20" w:type="dxa"/>
            <w:vAlign w:val="bottom"/>
          </w:tcPr>
          <w:p>
            <w:pPr>
              <w:spacing w:after="0"/>
              <w:rPr>
                <w:sz w:val="19"/>
                <w:szCs w:val="19"/>
                <w:color w:val="auto"/>
              </w:rPr>
            </w:pPr>
          </w:p>
        </w:tc>
      </w:tr>
      <w:tr>
        <w:trPr>
          <w:trHeight w:val="212"/>
        </w:trPr>
        <w:tc>
          <w:tcPr>
            <w:tcW w:w="5260" w:type="dxa"/>
            <w:vAlign w:val="bottom"/>
          </w:tcPr>
          <w:p>
            <w:pPr>
              <w:ind w:left="400"/>
              <w:spacing w:after="0"/>
              <w:rPr>
                <w:sz w:val="20"/>
                <w:szCs w:val="20"/>
                <w:color w:val="auto"/>
              </w:rPr>
            </w:pPr>
            <w:r>
              <w:rPr>
                <w:rFonts w:ascii="Arial" w:cs="Arial" w:eastAsia="Arial" w:hAnsi="Arial"/>
                <w:sz w:val="16"/>
                <w:szCs w:val="16"/>
                <w:color w:val="auto"/>
              </w:rPr>
              <w:t>Other Southern Europe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6"/>
                <w:szCs w:val="16"/>
                <w:color w:val="auto"/>
              </w:rPr>
              <w:t>-30.7 %</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-27.1 %</w:t>
            </w:r>
          </w:p>
        </w:tc>
      </w:tr>
      <w:tr>
        <w:trPr>
          <w:trHeight w:val="205"/>
        </w:trPr>
        <w:tc>
          <w:tcPr>
            <w:tcW w:w="5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182.5</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206.9</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CFF0FC"/>
            </w:tcBorders>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-11.8 %</w:t>
            </w:r>
          </w:p>
        </w:tc>
        <w:tc>
          <w:tcPr>
            <w:tcW w:w="11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-10.6 %</w:t>
            </w:r>
          </w:p>
        </w:tc>
        <w:tc>
          <w:tcPr>
            <w:tcW w:w="20" w:type="dxa"/>
            <w:vAlign w:val="bottom"/>
          </w:tcPr>
          <w:p>
            <w:pPr>
              <w:spacing w:after="0"/>
              <w:rPr>
                <w:sz w:val="17"/>
                <w:szCs w:val="17"/>
                <w:color w:val="auto"/>
              </w:rPr>
            </w:pPr>
          </w:p>
        </w:tc>
      </w:tr>
      <w:tr>
        <w:trPr>
          <w:trHeight w:val="199"/>
        </w:trPr>
        <w:tc>
          <w:tcPr>
            <w:tcW w:w="5260" w:type="dxa"/>
            <w:vAlign w:val="bottom"/>
          </w:tcPr>
          <w:p>
            <w:pPr>
              <w:ind w:left="160"/>
              <w:spacing w:after="0"/>
              <w:rPr>
                <w:sz w:val="20"/>
                <w:szCs w:val="20"/>
                <w:color w:val="auto"/>
              </w:rPr>
            </w:pPr>
            <w:r>
              <w:rPr>
                <w:rFonts w:ascii="Arial" w:cs="Arial" w:eastAsia="Arial" w:hAnsi="Arial"/>
                <w:sz w:val="16"/>
                <w:szCs w:val="16"/>
                <w:color w:val="auto"/>
              </w:rPr>
              <w:t>Northern Europe</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(4.7 )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6"/>
                <w:szCs w:val="16"/>
                <w:color w:val="auto"/>
              </w:rPr>
              <w:t>-133.0 %</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-121.7 %</w:t>
            </w:r>
          </w:p>
        </w:tc>
        <w:tc>
          <w:tcPr>
            <w:tcW w:w="20" w:type="dxa"/>
            <w:vAlign w:val="bottom"/>
          </w:tcPr>
          <w:p>
            <w:pPr>
              <w:spacing w:after="0"/>
              <w:rPr>
                <w:sz w:val="17"/>
                <w:szCs w:val="17"/>
                <w:color w:val="auto"/>
              </w:rPr>
            </w:pPr>
          </w:p>
        </w:tc>
      </w:tr>
      <w:tr>
        <w:trPr>
          <w:trHeight w:val="218"/>
        </w:trPr>
        <w:tc>
          <w:tcPr>
            <w:tcW w:w="52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APME</w:t>
            </w: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46.8</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41.5</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12.8 %</w:t>
            </w:r>
          </w:p>
        </w:tc>
        <w:tc>
          <w:tcPr>
            <w:tcW w:w="11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21.8 %</w:t>
            </w:r>
          </w:p>
        </w:tc>
        <w:tc>
          <w:tcPr>
            <w:tcW w:w="20" w:type="dxa"/>
            <w:vAlign w:val="bottom"/>
          </w:tcPr>
          <w:p>
            <w:pPr>
              <w:spacing w:after="0"/>
              <w:rPr>
                <w:sz w:val="18"/>
                <w:szCs w:val="18"/>
                <w:color w:val="auto"/>
              </w:rPr>
            </w:pPr>
          </w:p>
        </w:tc>
      </w:tr>
      <w:tr>
        <w:trPr>
          <w:trHeight w:val="199"/>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316.4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416.2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Corporate expenses</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(73.4 )</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(77.8 )</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7"/>
        </w:trPr>
        <w:tc>
          <w:tcPr>
            <w:tcW w:w="5260" w:type="dxa"/>
            <w:vAlign w:val="bottom"/>
          </w:tcPr>
          <w:p>
            <w:pPr>
              <w:spacing w:after="0"/>
              <w:rPr>
                <w:sz w:val="20"/>
                <w:szCs w:val="20"/>
                <w:color w:val="auto"/>
              </w:rPr>
            </w:pPr>
            <w:r>
              <w:rPr>
                <w:rFonts w:ascii="Arial" w:cs="Arial" w:eastAsia="Arial" w:hAnsi="Arial"/>
                <w:sz w:val="16"/>
                <w:szCs w:val="16"/>
                <w:color w:val="auto"/>
              </w:rPr>
              <w:t>Intangible asset amortization expense</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(17.5 )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(19.0 )</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1"/>
        </w:trPr>
        <w:tc>
          <w:tcPr>
            <w:tcW w:w="52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Operating profit</w:t>
            </w: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225.5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319.4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gridSpan w:val="3"/>
            <w:shd w:val="clear" w:color="auto" w:fill="CFF0FC"/>
          </w:tcPr>
          <w:p>
            <w:pPr>
              <w:jc w:val="right"/>
              <w:ind w:right="460"/>
              <w:spacing w:after="0"/>
              <w:rPr>
                <w:sz w:val="20"/>
                <w:szCs w:val="20"/>
                <w:color w:val="auto"/>
              </w:rPr>
            </w:pPr>
            <w:r>
              <w:rPr>
                <w:rFonts w:ascii="Arial" w:cs="Arial" w:eastAsia="Arial" w:hAnsi="Arial"/>
                <w:sz w:val="16"/>
                <w:szCs w:val="16"/>
                <w:color w:val="auto"/>
              </w:rPr>
              <w:t>-29.4 %</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-25.4 %</w:t>
            </w:r>
          </w:p>
        </w:tc>
        <w:tc>
          <w:tcPr>
            <w:tcW w:w="20" w:type="dxa"/>
            <w:vAlign w:val="bottom"/>
          </w:tcPr>
          <w:p>
            <w:pPr>
              <w:spacing w:after="0"/>
              <w:rPr>
                <w:sz w:val="18"/>
                <w:szCs w:val="18"/>
                <w:color w:val="auto"/>
              </w:rPr>
            </w:pPr>
          </w:p>
        </w:tc>
      </w:tr>
      <w:tr>
        <w:trPr>
          <w:trHeight w:val="207"/>
        </w:trPr>
        <w:tc>
          <w:tcPr>
            <w:tcW w:w="5260" w:type="dxa"/>
            <w:vAlign w:val="bottom"/>
          </w:tcPr>
          <w:p>
            <w:pPr>
              <w:spacing w:after="0"/>
              <w:rPr>
                <w:sz w:val="20"/>
                <w:szCs w:val="20"/>
                <w:color w:val="auto"/>
              </w:rPr>
            </w:pPr>
            <w:r>
              <w:rPr>
                <w:rFonts w:ascii="Arial" w:cs="Arial" w:eastAsia="Arial" w:hAnsi="Arial"/>
                <w:sz w:val="16"/>
                <w:szCs w:val="16"/>
                <w:color w:val="auto"/>
              </w:rPr>
              <w:t>Interest and other expenses, net (b)</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(19.3 )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(9.4 )</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5"/>
        </w:trPr>
        <w:tc>
          <w:tcPr>
            <w:tcW w:w="52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Earnings before income taxes</w:t>
            </w:r>
          </w:p>
        </w:tc>
        <w:tc>
          <w:tcPr>
            <w:tcW w:w="28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206.2</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310.0</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4138295</wp:posOffset>
            </wp:positionH>
            <wp:positionV relativeFrom="paragraph">
              <wp:posOffset>-3926840</wp:posOffset>
            </wp:positionV>
            <wp:extent cx="82550" cy="142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0" cy="142875"/>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-3926840</wp:posOffset>
            </wp:positionV>
            <wp:extent cx="82550" cy="142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0" cy="142875"/>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-3378835</wp:posOffset>
            </wp:positionV>
            <wp:extent cx="82550" cy="150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0" cy="150495"/>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-3378835</wp:posOffset>
            </wp:positionV>
            <wp:extent cx="82550" cy="150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0" cy="150495"/>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-2815590</wp:posOffset>
            </wp:positionV>
            <wp:extent cx="82550" cy="150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0" cy="150495"/>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-2815590</wp:posOffset>
            </wp:positionV>
            <wp:extent cx="82550" cy="150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0" cy="150495"/>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-2530475</wp:posOffset>
            </wp:positionV>
            <wp:extent cx="1051560" cy="157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51560" cy="157480"/>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-1967230</wp:posOffset>
            </wp:positionV>
            <wp:extent cx="82550" cy="150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0" cy="150495"/>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-1967230</wp:posOffset>
            </wp:positionV>
            <wp:extent cx="82550" cy="150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0" cy="150495"/>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-1133475</wp:posOffset>
            </wp:positionV>
            <wp:extent cx="82550" cy="142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0" cy="142875"/>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-1133475</wp:posOffset>
            </wp:positionV>
            <wp:extent cx="82550" cy="142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0" cy="142875"/>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-855345</wp:posOffset>
            </wp:positionV>
            <wp:extent cx="82550" cy="142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0" cy="142875"/>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-855345</wp:posOffset>
            </wp:positionV>
            <wp:extent cx="82550" cy="142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0" cy="142875"/>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-21590</wp:posOffset>
            </wp:positionV>
            <wp:extent cx="8255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-6985</wp:posOffset>
            </wp:positionV>
            <wp:extent cx="8255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-21590</wp:posOffset>
            </wp:positionV>
            <wp:extent cx="8255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-6985</wp:posOffset>
            </wp:positionV>
            <wp:extent cx="8255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0" cy="7620"/>
                    </a:xfrm>
                    <a:prstGeom prst="rect">
                      <a:avLst/>
                    </a:prstGeom>
                    <a:noFill/>
                  </pic:spPr>
                </pic:pic>
              </a:graphicData>
            </a:graphic>
          </wp:anchor>
        </w:drawing>
      </w:r>
    </w:p>
    <w:p>
      <w:pPr>
        <w:ind w:left="506" w:right="40" w:hanging="506"/>
        <w:spacing w:after="0" w:line="246" w:lineRule="auto"/>
        <w:tabs>
          <w:tab w:leader="none" w:pos="367"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$5.8 million and $6.0 million for the six months ended June 30, 2023 and 2022, respectively. These fees are primarily based on revenues generated by the franchise offices, which were $200.1 million and $238.9 million for the six months ended June 30, 2023 and 2022, respectively.</w:t>
      </w:r>
    </w:p>
    <w:p>
      <w:pPr>
        <w:ind w:left="386" w:hanging="386"/>
        <w:spacing w:after="0"/>
        <w:tabs>
          <w:tab w:leader="none" w:pos="38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components of interest and other expenses, net were:</w:t>
      </w:r>
    </w:p>
    <w:p>
      <w:pPr>
        <w:spacing w:after="0" w:line="25"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7260" w:type="dxa"/>
            <w:vAlign w:val="bottom"/>
          </w:tcPr>
          <w:p>
            <w:pPr>
              <w:spacing w:after="0"/>
              <w:rPr>
                <w:sz w:val="18"/>
                <w:szCs w:val="18"/>
                <w:color w:val="auto"/>
              </w:rPr>
            </w:pPr>
          </w:p>
        </w:tc>
        <w:tc>
          <w:tcPr>
            <w:tcW w:w="12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4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r>
      <w:tr>
        <w:trPr>
          <w:trHeight w:val="211"/>
        </w:trPr>
        <w:tc>
          <w:tcPr>
            <w:tcW w:w="72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Interest expense</w:t>
            </w:r>
          </w:p>
        </w:tc>
        <w:tc>
          <w:tcPr>
            <w:tcW w:w="1220" w:type="dxa"/>
            <w:vAlign w:val="bottom"/>
            <w:shd w:val="clear" w:color="auto" w:fill="CFF0FC"/>
          </w:tcPr>
          <w:p>
            <w:pPr>
              <w:jc w:val="right"/>
              <w:ind w:right="104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w:t>
            </w:r>
          </w:p>
        </w:tc>
        <w:tc>
          <w:tcPr>
            <w:tcW w:w="1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47"/>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140" w:type="dxa"/>
            <w:vAlign w:val="bottom"/>
            <w:shd w:val="clear" w:color="auto" w:fill="CFF0FC"/>
          </w:tcPr>
          <w:p>
            <w:pPr>
              <w:spacing w:after="0"/>
              <w:rPr>
                <w:sz w:val="18"/>
                <w:szCs w:val="18"/>
                <w:color w:val="auto"/>
              </w:rPr>
            </w:pPr>
          </w:p>
        </w:tc>
      </w:tr>
      <w:tr>
        <w:trPr>
          <w:trHeight w:val="207"/>
        </w:trPr>
        <w:tc>
          <w:tcPr>
            <w:tcW w:w="726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12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(16.5 )</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(5.6 )</w:t>
            </w:r>
          </w:p>
        </w:tc>
      </w:tr>
      <w:tr>
        <w:trPr>
          <w:trHeight w:val="219"/>
        </w:trPr>
        <w:tc>
          <w:tcPr>
            <w:tcW w:w="72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Foreign exchange loss</w:t>
            </w:r>
          </w:p>
        </w:tc>
        <w:tc>
          <w:tcPr>
            <w:tcW w:w="1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40" w:type="dxa"/>
            <w:vAlign w:val="bottom"/>
            <w:shd w:val="clear" w:color="auto" w:fill="CFF0FC"/>
          </w:tcPr>
          <w:p>
            <w:pPr>
              <w:spacing w:after="0"/>
              <w:rPr>
                <w:sz w:val="19"/>
                <w:szCs w:val="19"/>
                <w:color w:val="auto"/>
              </w:rPr>
            </w:pPr>
          </w:p>
        </w:tc>
      </w:tr>
      <w:tr>
        <w:trPr>
          <w:trHeight w:val="207"/>
        </w:trPr>
        <w:tc>
          <w:tcPr>
            <w:tcW w:w="7260" w:type="dxa"/>
            <w:vAlign w:val="bottom"/>
          </w:tcPr>
          <w:p>
            <w:pPr>
              <w:ind w:left="320"/>
              <w:spacing w:after="0"/>
              <w:rPr>
                <w:sz w:val="20"/>
                <w:szCs w:val="20"/>
                <w:color w:val="auto"/>
              </w:rPr>
            </w:pPr>
            <w:r>
              <w:rPr>
                <w:rFonts w:ascii="Arial" w:cs="Arial" w:eastAsia="Arial" w:hAnsi="Arial"/>
                <w:sz w:val="16"/>
                <w:szCs w:val="16"/>
                <w:color w:val="auto"/>
              </w:rPr>
              <w:t>Miscellaneous income</w:t>
            </w:r>
          </w:p>
        </w:tc>
        <w:tc>
          <w:tcPr>
            <w:tcW w:w="12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(11.1 )</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(11.1 )</w:t>
            </w:r>
          </w:p>
        </w:tc>
      </w:tr>
      <w:tr>
        <w:trPr>
          <w:trHeight w:val="245"/>
        </w:trPr>
        <w:tc>
          <w:tcPr>
            <w:tcW w:w="7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ind w:right="1041"/>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387"/>
        </w:trPr>
        <w:tc>
          <w:tcPr>
            <w:tcW w:w="7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5730240</wp:posOffset>
            </wp:positionH>
            <wp:positionV relativeFrom="paragraph">
              <wp:posOffset>-292100</wp:posOffset>
            </wp:positionV>
            <wp:extent cx="8255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5730240</wp:posOffset>
            </wp:positionH>
            <wp:positionV relativeFrom="paragraph">
              <wp:posOffset>-277495</wp:posOffset>
            </wp:positionV>
            <wp:extent cx="8255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7066915</wp:posOffset>
            </wp:positionH>
            <wp:positionV relativeFrom="paragraph">
              <wp:posOffset>-292100</wp:posOffset>
            </wp:positionV>
            <wp:extent cx="8255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7066915</wp:posOffset>
            </wp:positionH>
            <wp:positionV relativeFrom="paragraph">
              <wp:posOffset>-277495</wp:posOffset>
            </wp:positionV>
            <wp:extent cx="8255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6"/>
          </w:cols>
          <w:pgMar w:left="314" w:top="316" w:right="319" w:bottom="1440" w:gutter="0" w:footer="0" w:header="0"/>
        </w:sectPr>
      </w:pPr>
    </w:p>
    <w:bookmarkStart w:id="11" w:name="page12"/>
    <w:bookmarkEnd w:id="11"/>
    <w:p>
      <w:pPr>
        <w:ind w:left="5080"/>
        <w:spacing w:after="0"/>
        <w:rPr>
          <w:sz w:val="20"/>
          <w:szCs w:val="20"/>
          <w:color w:val="auto"/>
        </w:rPr>
      </w:pPr>
      <w:r>
        <w:rPr>
          <w:rFonts w:ascii="Arial" w:cs="Arial" w:eastAsia="Arial" w:hAnsi="Arial"/>
          <w:sz w:val="16"/>
          <w:szCs w:val="16"/>
          <w:color w:val="auto"/>
        </w:rPr>
        <w:t>ManpowerGroup</w:t>
      </w:r>
    </w:p>
    <w:p>
      <w:pPr>
        <w:spacing w:after="0" w:line="41"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Consolidated Balance Sheets</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w w:val="96"/>
              </w:rPr>
              <w:t>December 31,</w:t>
            </w:r>
          </w:p>
        </w:tc>
      </w:tr>
      <w:tr>
        <w:trPr>
          <w:trHeight w:val="219"/>
        </w:trPr>
        <w:tc>
          <w:tcPr>
            <w:tcW w:w="7260" w:type="dxa"/>
            <w:vAlign w:val="bottom"/>
          </w:tcPr>
          <w:p>
            <w:pPr>
              <w:spacing w:after="0"/>
              <w:rPr>
                <w:sz w:val="19"/>
                <w:szCs w:val="19"/>
                <w:color w:val="auto"/>
              </w:rPr>
            </w:pPr>
          </w:p>
        </w:tc>
        <w:tc>
          <w:tcPr>
            <w:tcW w:w="11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4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r>
      <w:tr>
        <w:trPr>
          <w:trHeight w:val="205"/>
        </w:trPr>
        <w:tc>
          <w:tcPr>
            <w:tcW w:w="7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40" w:type="dxa"/>
            <w:vAlign w:val="bottom"/>
            <w:gridSpan w:val="4"/>
          </w:tcPr>
          <w:p>
            <w:pPr>
              <w:jc w:val="right"/>
              <w:ind w:right="27"/>
              <w:spacing w:after="0"/>
              <w:rPr>
                <w:sz w:val="20"/>
                <w:szCs w:val="20"/>
                <w:color w:val="auto"/>
              </w:rPr>
            </w:pPr>
            <w:r>
              <w:rPr>
                <w:rFonts w:ascii="Arial" w:cs="Arial" w:eastAsia="Arial" w:hAnsi="Arial"/>
                <w:sz w:val="16"/>
                <w:szCs w:val="16"/>
                <w:color w:val="auto"/>
              </w:rPr>
              <w:t>(Unaudited)</w:t>
            </w: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9"/>
        </w:trPr>
        <w:tc>
          <w:tcPr>
            <w:tcW w:w="7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9"/>
        </w:trPr>
        <w:tc>
          <w:tcPr>
            <w:tcW w:w="726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7"/>
        </w:trPr>
        <w:tc>
          <w:tcPr>
            <w:tcW w:w="72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Cash and cash equivalents</w:t>
            </w:r>
          </w:p>
        </w:tc>
        <w:tc>
          <w:tcPr>
            <w:tcW w:w="1180" w:type="dxa"/>
            <w:vAlign w:val="bottom"/>
            <w:shd w:val="clear" w:color="auto" w:fill="CFF0FC"/>
          </w:tcPr>
          <w:p>
            <w:pPr>
              <w:jc w:val="right"/>
              <w:ind w:right="100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407.6</w:t>
            </w:r>
          </w:p>
        </w:tc>
        <w:tc>
          <w:tcPr>
            <w:tcW w:w="1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7"/>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639.0</w:t>
            </w:r>
          </w:p>
        </w:tc>
        <w:tc>
          <w:tcPr>
            <w:tcW w:w="140" w:type="dxa"/>
            <w:vAlign w:val="bottom"/>
            <w:shd w:val="clear" w:color="auto" w:fill="CFF0FC"/>
          </w:tcPr>
          <w:p>
            <w:pPr>
              <w:spacing w:after="0"/>
              <w:rPr>
                <w:sz w:val="18"/>
                <w:szCs w:val="18"/>
                <w:color w:val="auto"/>
              </w:rPr>
            </w:pPr>
          </w:p>
        </w:tc>
      </w:tr>
      <w:tr>
        <w:trPr>
          <w:trHeight w:val="207"/>
        </w:trPr>
        <w:tc>
          <w:tcPr>
            <w:tcW w:w="7260" w:type="dxa"/>
            <w:vAlign w:val="bottom"/>
          </w:tcPr>
          <w:p>
            <w:pPr>
              <w:ind w:left="240"/>
              <w:spacing w:after="0"/>
              <w:rPr>
                <w:sz w:val="20"/>
                <w:szCs w:val="20"/>
                <w:color w:val="auto"/>
              </w:rPr>
            </w:pPr>
            <w:r>
              <w:rPr>
                <w:rFonts w:ascii="Arial" w:cs="Arial" w:eastAsia="Arial" w:hAnsi="Arial"/>
                <w:sz w:val="16"/>
                <w:szCs w:val="16"/>
                <w:color w:val="auto"/>
              </w:rPr>
              <w:t>Accounts receivable, net</w:t>
            </w:r>
          </w:p>
        </w:tc>
        <w:tc>
          <w:tcPr>
            <w:tcW w:w="1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4,995.2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5,137.4</w:t>
            </w:r>
          </w:p>
        </w:tc>
        <w:tc>
          <w:tcPr>
            <w:tcW w:w="140" w:type="dxa"/>
            <w:vAlign w:val="bottom"/>
          </w:tcPr>
          <w:p>
            <w:pPr>
              <w:spacing w:after="0"/>
              <w:rPr>
                <w:sz w:val="17"/>
                <w:szCs w:val="17"/>
                <w:color w:val="auto"/>
              </w:rPr>
            </w:pPr>
          </w:p>
        </w:tc>
      </w:tr>
      <w:tr>
        <w:trPr>
          <w:trHeight w:val="213"/>
        </w:trPr>
        <w:tc>
          <w:tcPr>
            <w:tcW w:w="72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Prepaid expenses and other assets</w:t>
            </w:r>
          </w:p>
        </w:tc>
        <w:tc>
          <w:tcPr>
            <w:tcW w:w="11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188.1</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158.0</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5"/>
        </w:trPr>
        <w:tc>
          <w:tcPr>
            <w:tcW w:w="7260" w:type="dxa"/>
            <w:vAlign w:val="bottom"/>
          </w:tcPr>
          <w:p>
            <w:pPr>
              <w:ind w:left="400"/>
              <w:spacing w:after="0"/>
              <w:rPr>
                <w:sz w:val="20"/>
                <w:szCs w:val="20"/>
                <w:color w:val="auto"/>
              </w:rPr>
            </w:pPr>
            <w:r>
              <w:rPr>
                <w:rFonts w:ascii="Arial" w:cs="Arial" w:eastAsia="Arial" w:hAnsi="Arial"/>
                <w:sz w:val="16"/>
                <w:szCs w:val="16"/>
                <w:color w:val="auto"/>
              </w:rPr>
              <w:t>Total current assets</w:t>
            </w:r>
          </w:p>
        </w:tc>
        <w:tc>
          <w:tcPr>
            <w:tcW w:w="1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5,590.9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5,934.4</w:t>
            </w:r>
          </w:p>
        </w:tc>
        <w:tc>
          <w:tcPr>
            <w:tcW w:w="140" w:type="dxa"/>
            <w:vAlign w:val="bottom"/>
          </w:tcPr>
          <w:p>
            <w:pPr>
              <w:spacing w:after="0"/>
              <w:rPr>
                <w:sz w:val="17"/>
                <w:szCs w:val="17"/>
                <w:color w:val="auto"/>
              </w:rPr>
            </w:pPr>
          </w:p>
        </w:tc>
      </w:tr>
      <w:tr>
        <w:trPr>
          <w:trHeight w:val="219"/>
        </w:trPr>
        <w:tc>
          <w:tcPr>
            <w:tcW w:w="7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Other assets:</w:t>
            </w: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7"/>
        </w:trPr>
        <w:tc>
          <w:tcPr>
            <w:tcW w:w="7260" w:type="dxa"/>
            <w:vAlign w:val="bottom"/>
          </w:tcPr>
          <w:p>
            <w:pPr>
              <w:ind w:left="240"/>
              <w:spacing w:after="0"/>
              <w:rPr>
                <w:sz w:val="20"/>
                <w:szCs w:val="20"/>
                <w:color w:val="auto"/>
              </w:rPr>
            </w:pPr>
            <w:r>
              <w:rPr>
                <w:rFonts w:ascii="Arial" w:cs="Arial" w:eastAsia="Arial" w:hAnsi="Arial"/>
                <w:sz w:val="16"/>
                <w:szCs w:val="16"/>
                <w:color w:val="auto"/>
              </w:rPr>
              <w:t>Goodwill</w:t>
            </w:r>
          </w:p>
        </w:tc>
        <w:tc>
          <w:tcPr>
            <w:tcW w:w="1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1,635.2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1,628.1</w:t>
            </w:r>
          </w:p>
        </w:tc>
        <w:tc>
          <w:tcPr>
            <w:tcW w:w="140" w:type="dxa"/>
            <w:vAlign w:val="bottom"/>
          </w:tcPr>
          <w:p>
            <w:pPr>
              <w:spacing w:after="0"/>
              <w:rPr>
                <w:sz w:val="17"/>
                <w:szCs w:val="17"/>
                <w:color w:val="auto"/>
              </w:rPr>
            </w:pPr>
          </w:p>
        </w:tc>
      </w:tr>
      <w:tr>
        <w:trPr>
          <w:trHeight w:val="219"/>
        </w:trPr>
        <w:tc>
          <w:tcPr>
            <w:tcW w:w="72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Intangible assets, net</w:t>
            </w: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549.5</w:t>
            </w:r>
          </w:p>
        </w:tc>
        <w:tc>
          <w:tcPr>
            <w:tcW w:w="140" w:type="dxa"/>
            <w:vAlign w:val="bottom"/>
            <w:shd w:val="clear" w:color="auto" w:fill="CFF0FC"/>
          </w:tcPr>
          <w:p>
            <w:pPr>
              <w:spacing w:after="0"/>
              <w:rPr>
                <w:sz w:val="19"/>
                <w:szCs w:val="19"/>
                <w:color w:val="auto"/>
              </w:rPr>
            </w:pPr>
          </w:p>
        </w:tc>
      </w:tr>
      <w:tr>
        <w:trPr>
          <w:trHeight w:val="207"/>
        </w:trPr>
        <w:tc>
          <w:tcPr>
            <w:tcW w:w="7260" w:type="dxa"/>
            <w:vAlign w:val="bottom"/>
          </w:tcPr>
          <w:p>
            <w:pPr>
              <w:ind w:left="240"/>
              <w:spacing w:after="0"/>
              <w:rPr>
                <w:sz w:val="20"/>
                <w:szCs w:val="20"/>
                <w:color w:val="auto"/>
              </w:rPr>
            </w:pPr>
            <w:r>
              <w:rPr>
                <w:rFonts w:ascii="Arial" w:cs="Arial" w:eastAsia="Arial" w:hAnsi="Arial"/>
                <w:sz w:val="16"/>
                <w:szCs w:val="16"/>
                <w:color w:val="auto"/>
              </w:rPr>
              <w:t>Operating lease right-of-use asset</w:t>
            </w:r>
          </w:p>
        </w:tc>
        <w:tc>
          <w:tcPr>
            <w:tcW w:w="1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404.7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365.7</w:t>
            </w:r>
          </w:p>
        </w:tc>
        <w:tc>
          <w:tcPr>
            <w:tcW w:w="140" w:type="dxa"/>
            <w:vAlign w:val="bottom"/>
          </w:tcPr>
          <w:p>
            <w:pPr>
              <w:spacing w:after="0"/>
              <w:rPr>
                <w:sz w:val="17"/>
                <w:szCs w:val="17"/>
                <w:color w:val="auto"/>
              </w:rPr>
            </w:pPr>
          </w:p>
        </w:tc>
      </w:tr>
      <w:tr>
        <w:trPr>
          <w:trHeight w:val="213"/>
        </w:trPr>
        <w:tc>
          <w:tcPr>
            <w:tcW w:w="72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Other assets</w:t>
            </w:r>
          </w:p>
        </w:tc>
        <w:tc>
          <w:tcPr>
            <w:tcW w:w="11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588.3</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540.5</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5"/>
        </w:trPr>
        <w:tc>
          <w:tcPr>
            <w:tcW w:w="7260" w:type="dxa"/>
            <w:vAlign w:val="bottom"/>
          </w:tcPr>
          <w:p>
            <w:pPr>
              <w:ind w:left="400"/>
              <w:spacing w:after="0"/>
              <w:rPr>
                <w:sz w:val="20"/>
                <w:szCs w:val="20"/>
                <w:color w:val="auto"/>
              </w:rPr>
            </w:pPr>
            <w:r>
              <w:rPr>
                <w:rFonts w:ascii="Arial" w:cs="Arial" w:eastAsia="Arial" w:hAnsi="Arial"/>
                <w:sz w:val="16"/>
                <w:szCs w:val="16"/>
                <w:color w:val="auto"/>
              </w:rPr>
              <w:t>Total other assets</w:t>
            </w:r>
          </w:p>
        </w:tc>
        <w:tc>
          <w:tcPr>
            <w:tcW w:w="1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3,162.0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3,083.8</w:t>
            </w:r>
          </w:p>
        </w:tc>
        <w:tc>
          <w:tcPr>
            <w:tcW w:w="140" w:type="dxa"/>
            <w:vAlign w:val="bottom"/>
          </w:tcPr>
          <w:p>
            <w:pPr>
              <w:spacing w:after="0"/>
              <w:rPr>
                <w:sz w:val="17"/>
                <w:szCs w:val="17"/>
                <w:color w:val="auto"/>
              </w:rPr>
            </w:pPr>
          </w:p>
        </w:tc>
      </w:tr>
      <w:tr>
        <w:trPr>
          <w:trHeight w:val="219"/>
        </w:trPr>
        <w:tc>
          <w:tcPr>
            <w:tcW w:w="7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Property and equipment:</w:t>
            </w: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7"/>
        </w:trPr>
        <w:tc>
          <w:tcPr>
            <w:tcW w:w="7260" w:type="dxa"/>
            <w:vAlign w:val="bottom"/>
          </w:tcPr>
          <w:p>
            <w:pPr>
              <w:ind w:left="240"/>
              <w:spacing w:after="0"/>
              <w:rPr>
                <w:sz w:val="20"/>
                <w:szCs w:val="20"/>
                <w:color w:val="auto"/>
              </w:rPr>
            </w:pPr>
            <w:r>
              <w:rPr>
                <w:rFonts w:ascii="Arial" w:cs="Arial" w:eastAsia="Arial" w:hAnsi="Arial"/>
                <w:sz w:val="16"/>
                <w:szCs w:val="16"/>
                <w:color w:val="auto"/>
              </w:rPr>
              <w:t>Land, buildings, leasehold improvements and equipment</w:t>
            </w:r>
          </w:p>
        </w:tc>
        <w:tc>
          <w:tcPr>
            <w:tcW w:w="1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516.8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584.9</w:t>
            </w:r>
          </w:p>
        </w:tc>
        <w:tc>
          <w:tcPr>
            <w:tcW w:w="140" w:type="dxa"/>
            <w:vAlign w:val="bottom"/>
          </w:tcPr>
          <w:p>
            <w:pPr>
              <w:spacing w:after="0"/>
              <w:rPr>
                <w:sz w:val="17"/>
                <w:szCs w:val="17"/>
                <w:color w:val="auto"/>
              </w:rPr>
            </w:pPr>
          </w:p>
        </w:tc>
      </w:tr>
      <w:tr>
        <w:trPr>
          <w:trHeight w:val="213"/>
        </w:trPr>
        <w:tc>
          <w:tcPr>
            <w:tcW w:w="72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Less: accumulated depreciation and amortization</w:t>
            </w:r>
          </w:p>
        </w:tc>
        <w:tc>
          <w:tcPr>
            <w:tcW w:w="11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400.5</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472.7</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5"/>
        </w:trPr>
        <w:tc>
          <w:tcPr>
            <w:tcW w:w="7260" w:type="dxa"/>
            <w:vAlign w:val="bottom"/>
          </w:tcPr>
          <w:p>
            <w:pPr>
              <w:ind w:left="400"/>
              <w:spacing w:after="0"/>
              <w:rPr>
                <w:sz w:val="20"/>
                <w:szCs w:val="20"/>
                <w:color w:val="auto"/>
              </w:rPr>
            </w:pPr>
            <w:r>
              <w:rPr>
                <w:rFonts w:ascii="Arial" w:cs="Arial" w:eastAsia="Arial" w:hAnsi="Arial"/>
                <w:sz w:val="16"/>
                <w:szCs w:val="16"/>
                <w:color w:val="auto"/>
              </w:rPr>
              <w:t>Net property and equipment</w:t>
            </w:r>
          </w:p>
        </w:tc>
        <w:tc>
          <w:tcPr>
            <w:tcW w:w="1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112.2</w:t>
            </w:r>
          </w:p>
        </w:tc>
        <w:tc>
          <w:tcPr>
            <w:tcW w:w="140" w:type="dxa"/>
            <w:vAlign w:val="bottom"/>
          </w:tcPr>
          <w:p>
            <w:pPr>
              <w:spacing w:after="0"/>
              <w:rPr>
                <w:sz w:val="17"/>
                <w:szCs w:val="17"/>
                <w:color w:val="auto"/>
              </w:rPr>
            </w:pPr>
          </w:p>
        </w:tc>
      </w:tr>
      <w:tr>
        <w:trPr>
          <w:trHeight w:val="245"/>
        </w:trPr>
        <w:tc>
          <w:tcPr>
            <w:tcW w:w="726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Total assets</w:t>
            </w:r>
          </w:p>
        </w:tc>
        <w:tc>
          <w:tcPr>
            <w:tcW w:w="1180" w:type="dxa"/>
            <w:vAlign w:val="bottom"/>
            <w:tcBorders>
              <w:bottom w:val="single" w:sz="8" w:color="auto"/>
            </w:tcBorders>
            <w:shd w:val="clear" w:color="auto" w:fill="CFF0FC"/>
          </w:tcPr>
          <w:p>
            <w:pPr>
              <w:jc w:val="right"/>
              <w:ind w:right="100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8,869.2</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9,130.4</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190"/>
        </w:trPr>
        <w:tc>
          <w:tcPr>
            <w:tcW w:w="7260" w:type="dxa"/>
            <w:vAlign w:val="bottom"/>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7"/>
        </w:trPr>
        <w:tc>
          <w:tcPr>
            <w:tcW w:w="7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Current liabilities:</w:t>
            </w:r>
          </w:p>
        </w:tc>
        <w:tc>
          <w:tcPr>
            <w:tcW w:w="1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7"/>
        </w:trPr>
        <w:tc>
          <w:tcPr>
            <w:tcW w:w="726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1180" w:type="dxa"/>
            <w:vAlign w:val="bottom"/>
          </w:tcPr>
          <w:p>
            <w:pPr>
              <w:jc w:val="right"/>
              <w:ind w:right="100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2,727.6</w:t>
            </w:r>
          </w:p>
        </w:tc>
        <w:tc>
          <w:tcPr>
            <w:tcW w:w="120" w:type="dxa"/>
            <w:vAlign w:val="bottom"/>
          </w:tcPr>
          <w:p>
            <w:pPr>
              <w:spacing w:after="0"/>
              <w:rPr>
                <w:sz w:val="17"/>
                <w:szCs w:val="17"/>
                <w:color w:val="auto"/>
              </w:rPr>
            </w:pPr>
          </w:p>
        </w:tc>
        <w:tc>
          <w:tcPr>
            <w:tcW w:w="54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2,831.4</w:t>
            </w:r>
          </w:p>
        </w:tc>
        <w:tc>
          <w:tcPr>
            <w:tcW w:w="140" w:type="dxa"/>
            <w:vAlign w:val="bottom"/>
          </w:tcPr>
          <w:p>
            <w:pPr>
              <w:spacing w:after="0"/>
              <w:rPr>
                <w:sz w:val="17"/>
                <w:szCs w:val="17"/>
                <w:color w:val="auto"/>
              </w:rPr>
            </w:pPr>
          </w:p>
        </w:tc>
      </w:tr>
      <w:tr>
        <w:trPr>
          <w:trHeight w:val="219"/>
        </w:trPr>
        <w:tc>
          <w:tcPr>
            <w:tcW w:w="72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Employee compensation payable</w:t>
            </w: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271.7</w:t>
            </w:r>
          </w:p>
        </w:tc>
        <w:tc>
          <w:tcPr>
            <w:tcW w:w="140" w:type="dxa"/>
            <w:vAlign w:val="bottom"/>
            <w:shd w:val="clear" w:color="auto" w:fill="CFF0FC"/>
          </w:tcPr>
          <w:p>
            <w:pPr>
              <w:spacing w:after="0"/>
              <w:rPr>
                <w:sz w:val="19"/>
                <w:szCs w:val="19"/>
                <w:color w:val="auto"/>
              </w:rPr>
            </w:pPr>
          </w:p>
        </w:tc>
      </w:tr>
      <w:tr>
        <w:trPr>
          <w:trHeight w:val="207"/>
        </w:trPr>
        <w:tc>
          <w:tcPr>
            <w:tcW w:w="7260" w:type="dxa"/>
            <w:vAlign w:val="bottom"/>
          </w:tcPr>
          <w:p>
            <w:pPr>
              <w:ind w:left="240"/>
              <w:spacing w:after="0"/>
              <w:rPr>
                <w:sz w:val="20"/>
                <w:szCs w:val="20"/>
                <w:color w:val="auto"/>
              </w:rPr>
            </w:pPr>
            <w:r>
              <w:rPr>
                <w:rFonts w:ascii="Arial" w:cs="Arial" w:eastAsia="Arial" w:hAnsi="Arial"/>
                <w:sz w:val="16"/>
                <w:szCs w:val="16"/>
                <w:color w:val="auto"/>
              </w:rPr>
              <w:t>Accrued liabilities</w:t>
            </w:r>
          </w:p>
        </w:tc>
        <w:tc>
          <w:tcPr>
            <w:tcW w:w="1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545.4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572.6</w:t>
            </w:r>
          </w:p>
        </w:tc>
        <w:tc>
          <w:tcPr>
            <w:tcW w:w="140" w:type="dxa"/>
            <w:vAlign w:val="bottom"/>
          </w:tcPr>
          <w:p>
            <w:pPr>
              <w:spacing w:after="0"/>
              <w:rPr>
                <w:sz w:val="17"/>
                <w:szCs w:val="17"/>
                <w:color w:val="auto"/>
              </w:rPr>
            </w:pPr>
          </w:p>
        </w:tc>
      </w:tr>
      <w:tr>
        <w:trPr>
          <w:trHeight w:val="219"/>
        </w:trPr>
        <w:tc>
          <w:tcPr>
            <w:tcW w:w="72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Accrued payroll taxes and insurance</w:t>
            </w: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686.3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746.7</w:t>
            </w:r>
          </w:p>
        </w:tc>
        <w:tc>
          <w:tcPr>
            <w:tcW w:w="140" w:type="dxa"/>
            <w:vAlign w:val="bottom"/>
            <w:shd w:val="clear" w:color="auto" w:fill="CFF0FC"/>
          </w:tcPr>
          <w:p>
            <w:pPr>
              <w:spacing w:after="0"/>
              <w:rPr>
                <w:sz w:val="19"/>
                <w:szCs w:val="19"/>
                <w:color w:val="auto"/>
              </w:rPr>
            </w:pPr>
          </w:p>
        </w:tc>
      </w:tr>
      <w:tr>
        <w:trPr>
          <w:trHeight w:val="207"/>
        </w:trPr>
        <w:tc>
          <w:tcPr>
            <w:tcW w:w="7260" w:type="dxa"/>
            <w:vAlign w:val="bottom"/>
          </w:tcPr>
          <w:p>
            <w:pPr>
              <w:ind w:left="240"/>
              <w:spacing w:after="0"/>
              <w:rPr>
                <w:sz w:val="20"/>
                <w:szCs w:val="20"/>
                <w:color w:val="auto"/>
              </w:rPr>
            </w:pPr>
            <w:r>
              <w:rPr>
                <w:rFonts w:ascii="Arial" w:cs="Arial" w:eastAsia="Arial" w:hAnsi="Arial"/>
                <w:sz w:val="16"/>
                <w:szCs w:val="16"/>
                <w:color w:val="auto"/>
              </w:rPr>
              <w:t>Value added taxes payable</w:t>
            </w:r>
          </w:p>
        </w:tc>
        <w:tc>
          <w:tcPr>
            <w:tcW w:w="1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429.9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462.7</w:t>
            </w:r>
          </w:p>
        </w:tc>
        <w:tc>
          <w:tcPr>
            <w:tcW w:w="140" w:type="dxa"/>
            <w:vAlign w:val="bottom"/>
          </w:tcPr>
          <w:p>
            <w:pPr>
              <w:spacing w:after="0"/>
              <w:rPr>
                <w:sz w:val="17"/>
                <w:szCs w:val="17"/>
                <w:color w:val="auto"/>
              </w:rPr>
            </w:pPr>
          </w:p>
        </w:tc>
      </w:tr>
      <w:tr>
        <w:trPr>
          <w:trHeight w:val="213"/>
        </w:trPr>
        <w:tc>
          <w:tcPr>
            <w:tcW w:w="72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Short-term borrowings and current maturities of long-term debt</w:t>
            </w:r>
          </w:p>
        </w:tc>
        <w:tc>
          <w:tcPr>
            <w:tcW w:w="11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26.6</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5"/>
        </w:trPr>
        <w:tc>
          <w:tcPr>
            <w:tcW w:w="7260" w:type="dxa"/>
            <w:vAlign w:val="bottom"/>
          </w:tcPr>
          <w:p>
            <w:pPr>
              <w:ind w:left="560"/>
              <w:spacing w:after="0"/>
              <w:rPr>
                <w:sz w:val="20"/>
                <w:szCs w:val="20"/>
                <w:color w:val="auto"/>
              </w:rPr>
            </w:pPr>
            <w:r>
              <w:rPr>
                <w:rFonts w:ascii="Arial" w:cs="Arial" w:eastAsia="Arial" w:hAnsi="Arial"/>
                <w:sz w:val="16"/>
                <w:szCs w:val="16"/>
                <w:color w:val="auto"/>
              </w:rPr>
              <w:t>Total current liabilities</w:t>
            </w:r>
          </w:p>
        </w:tc>
        <w:tc>
          <w:tcPr>
            <w:tcW w:w="1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4,616.4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4,911.7</w:t>
            </w:r>
          </w:p>
        </w:tc>
        <w:tc>
          <w:tcPr>
            <w:tcW w:w="140" w:type="dxa"/>
            <w:vAlign w:val="bottom"/>
          </w:tcPr>
          <w:p>
            <w:pPr>
              <w:spacing w:after="0"/>
              <w:rPr>
                <w:sz w:val="17"/>
                <w:szCs w:val="17"/>
                <w:color w:val="auto"/>
              </w:rPr>
            </w:pPr>
          </w:p>
        </w:tc>
      </w:tr>
      <w:tr>
        <w:trPr>
          <w:trHeight w:val="219"/>
        </w:trPr>
        <w:tc>
          <w:tcPr>
            <w:tcW w:w="7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Other liabilities:</w:t>
            </w: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7"/>
        </w:trPr>
        <w:tc>
          <w:tcPr>
            <w:tcW w:w="7260" w:type="dxa"/>
            <w:vAlign w:val="bottom"/>
          </w:tcPr>
          <w:p>
            <w:pPr>
              <w:ind w:left="240"/>
              <w:spacing w:after="0"/>
              <w:rPr>
                <w:sz w:val="20"/>
                <w:szCs w:val="20"/>
                <w:color w:val="auto"/>
              </w:rPr>
            </w:pPr>
            <w:r>
              <w:rPr>
                <w:rFonts w:ascii="Arial" w:cs="Arial" w:eastAsia="Arial" w:hAnsi="Arial"/>
                <w:sz w:val="16"/>
                <w:szCs w:val="16"/>
                <w:color w:val="auto"/>
              </w:rPr>
              <w:t>Long-term debt</w:t>
            </w:r>
          </w:p>
        </w:tc>
        <w:tc>
          <w:tcPr>
            <w:tcW w:w="1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978.8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959.9</w:t>
            </w:r>
          </w:p>
        </w:tc>
        <w:tc>
          <w:tcPr>
            <w:tcW w:w="140" w:type="dxa"/>
            <w:vAlign w:val="bottom"/>
          </w:tcPr>
          <w:p>
            <w:pPr>
              <w:spacing w:after="0"/>
              <w:rPr>
                <w:sz w:val="17"/>
                <w:szCs w:val="17"/>
                <w:color w:val="auto"/>
              </w:rPr>
            </w:pPr>
          </w:p>
        </w:tc>
      </w:tr>
      <w:tr>
        <w:trPr>
          <w:trHeight w:val="219"/>
        </w:trPr>
        <w:tc>
          <w:tcPr>
            <w:tcW w:w="72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Long-term operating lease liability</w:t>
            </w: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266.6</w:t>
            </w:r>
          </w:p>
        </w:tc>
        <w:tc>
          <w:tcPr>
            <w:tcW w:w="140" w:type="dxa"/>
            <w:vAlign w:val="bottom"/>
            <w:shd w:val="clear" w:color="auto" w:fill="CFF0FC"/>
          </w:tcPr>
          <w:p>
            <w:pPr>
              <w:spacing w:after="0"/>
              <w:rPr>
                <w:sz w:val="19"/>
                <w:szCs w:val="19"/>
                <w:color w:val="auto"/>
              </w:rPr>
            </w:pPr>
          </w:p>
        </w:tc>
      </w:tr>
      <w:tr>
        <w:trPr>
          <w:trHeight w:val="207"/>
        </w:trPr>
        <w:tc>
          <w:tcPr>
            <w:tcW w:w="7260" w:type="dxa"/>
            <w:vAlign w:val="bottom"/>
          </w:tcPr>
          <w:p>
            <w:pPr>
              <w:ind w:left="240"/>
              <w:spacing w:after="0"/>
              <w:rPr>
                <w:sz w:val="20"/>
                <w:szCs w:val="20"/>
                <w:color w:val="auto"/>
              </w:rPr>
            </w:pPr>
            <w:r>
              <w:rPr>
                <w:rFonts w:ascii="Arial" w:cs="Arial" w:eastAsia="Arial" w:hAnsi="Arial"/>
                <w:sz w:val="16"/>
                <w:szCs w:val="16"/>
                <w:color w:val="auto"/>
              </w:rPr>
              <w:t>Other long-term liabilities</w:t>
            </w:r>
          </w:p>
        </w:tc>
        <w:tc>
          <w:tcPr>
            <w:tcW w:w="1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534.1</w:t>
            </w:r>
          </w:p>
        </w:tc>
        <w:tc>
          <w:tcPr>
            <w:tcW w:w="140" w:type="dxa"/>
            <w:vAlign w:val="bottom"/>
          </w:tcPr>
          <w:p>
            <w:pPr>
              <w:spacing w:after="0"/>
              <w:rPr>
                <w:sz w:val="17"/>
                <w:szCs w:val="17"/>
                <w:color w:val="auto"/>
              </w:rPr>
            </w:pPr>
          </w:p>
        </w:tc>
      </w:tr>
      <w:tr>
        <w:trPr>
          <w:trHeight w:val="211"/>
        </w:trPr>
        <w:tc>
          <w:tcPr>
            <w:tcW w:w="7260" w:type="dxa"/>
            <w:vAlign w:val="bottom"/>
            <w:shd w:val="clear" w:color="auto" w:fill="CFF0FC"/>
          </w:tcPr>
          <w:p>
            <w:pPr>
              <w:ind w:left="560"/>
              <w:spacing w:after="0"/>
              <w:rPr>
                <w:sz w:val="20"/>
                <w:szCs w:val="20"/>
                <w:color w:val="auto"/>
              </w:rPr>
            </w:pPr>
            <w:r>
              <w:rPr>
                <w:rFonts w:ascii="Arial" w:cs="Arial" w:eastAsia="Arial" w:hAnsi="Arial"/>
                <w:sz w:val="16"/>
                <w:szCs w:val="16"/>
                <w:color w:val="auto"/>
              </w:rPr>
              <w:t>Total other liabilities</w:t>
            </w:r>
          </w:p>
        </w:tc>
        <w:tc>
          <w:tcPr>
            <w:tcW w:w="1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1,803.0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1,760.6</w:t>
            </w:r>
          </w:p>
        </w:tc>
        <w:tc>
          <w:tcPr>
            <w:tcW w:w="140" w:type="dxa"/>
            <w:vAlign w:val="bottom"/>
            <w:shd w:val="clear" w:color="auto" w:fill="CFF0FC"/>
          </w:tcPr>
          <w:p>
            <w:pPr>
              <w:spacing w:after="0"/>
              <w:rPr>
                <w:sz w:val="18"/>
                <w:szCs w:val="18"/>
                <w:color w:val="auto"/>
              </w:rPr>
            </w:pPr>
          </w:p>
        </w:tc>
      </w:tr>
      <w:tr>
        <w:trPr>
          <w:trHeight w:val="209"/>
        </w:trPr>
        <w:tc>
          <w:tcPr>
            <w:tcW w:w="726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7"/>
        </w:trPr>
        <w:tc>
          <w:tcPr>
            <w:tcW w:w="7260" w:type="dxa"/>
            <w:vAlign w:val="bottom"/>
            <w:shd w:val="clear" w:color="auto" w:fill="CFF0FC"/>
          </w:tcPr>
          <w:p>
            <w:pPr>
              <w:ind w:left="80"/>
              <w:spacing w:after="0"/>
              <w:rPr>
                <w:sz w:val="20"/>
                <w:szCs w:val="20"/>
                <w:color w:val="auto"/>
              </w:rPr>
            </w:pPr>
            <w:r>
              <w:rPr>
                <w:rFonts w:ascii="Arial" w:cs="Arial" w:eastAsia="Arial" w:hAnsi="Arial"/>
                <w:sz w:val="16"/>
                <w:szCs w:val="16"/>
                <w:color w:val="auto"/>
              </w:rPr>
              <w:t>ManpowerGroup shareholders' equity</w:t>
            </w:r>
          </w:p>
        </w:tc>
        <w:tc>
          <w:tcPr>
            <w:tcW w:w="1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7"/>
        </w:trPr>
        <w:tc>
          <w:tcPr>
            <w:tcW w:w="7260" w:type="dxa"/>
            <w:vAlign w:val="bottom"/>
          </w:tcPr>
          <w:p>
            <w:pPr>
              <w:ind w:left="320"/>
              <w:spacing w:after="0"/>
              <w:rPr>
                <w:sz w:val="20"/>
                <w:szCs w:val="20"/>
                <w:color w:val="auto"/>
              </w:rPr>
            </w:pPr>
            <w:r>
              <w:rPr>
                <w:rFonts w:ascii="Arial" w:cs="Arial" w:eastAsia="Arial" w:hAnsi="Arial"/>
                <w:sz w:val="16"/>
                <w:szCs w:val="16"/>
                <w:color w:val="auto"/>
              </w:rPr>
              <w:t>Common stock</w:t>
            </w:r>
          </w:p>
        </w:tc>
        <w:tc>
          <w:tcPr>
            <w:tcW w:w="1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7"/>
                <w:szCs w:val="17"/>
                <w:color w:val="auto"/>
              </w:rPr>
            </w:pPr>
          </w:p>
        </w:tc>
      </w:tr>
      <w:tr>
        <w:trPr>
          <w:trHeight w:val="219"/>
        </w:trPr>
        <w:tc>
          <w:tcPr>
            <w:tcW w:w="72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Capital in excess of par value</w:t>
            </w: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3,497.3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3,484.2</w:t>
            </w:r>
          </w:p>
        </w:tc>
        <w:tc>
          <w:tcPr>
            <w:tcW w:w="140" w:type="dxa"/>
            <w:vAlign w:val="bottom"/>
            <w:shd w:val="clear" w:color="auto" w:fill="CFF0FC"/>
          </w:tcPr>
          <w:p>
            <w:pPr>
              <w:spacing w:after="0"/>
              <w:rPr>
                <w:sz w:val="19"/>
                <w:szCs w:val="19"/>
                <w:color w:val="auto"/>
              </w:rPr>
            </w:pPr>
          </w:p>
        </w:tc>
      </w:tr>
      <w:tr>
        <w:trPr>
          <w:trHeight w:val="207"/>
        </w:trPr>
        <w:tc>
          <w:tcPr>
            <w:tcW w:w="7260" w:type="dxa"/>
            <w:vAlign w:val="bottom"/>
          </w:tcPr>
          <w:p>
            <w:pPr>
              <w:ind w:left="320"/>
              <w:spacing w:after="0"/>
              <w:rPr>
                <w:sz w:val="20"/>
                <w:szCs w:val="20"/>
                <w:color w:val="auto"/>
              </w:rPr>
            </w:pPr>
            <w:r>
              <w:rPr>
                <w:rFonts w:ascii="Arial" w:cs="Arial" w:eastAsia="Arial" w:hAnsi="Arial"/>
                <w:sz w:val="16"/>
                <w:szCs w:val="16"/>
                <w:color w:val="auto"/>
              </w:rPr>
              <w:t>Retained earnings</w:t>
            </w:r>
          </w:p>
        </w:tc>
        <w:tc>
          <w:tcPr>
            <w:tcW w:w="1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3,938.4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3,868.5</w:t>
            </w:r>
          </w:p>
        </w:tc>
        <w:tc>
          <w:tcPr>
            <w:tcW w:w="140" w:type="dxa"/>
            <w:vAlign w:val="bottom"/>
          </w:tcPr>
          <w:p>
            <w:pPr>
              <w:spacing w:after="0"/>
              <w:rPr>
                <w:sz w:val="17"/>
                <w:szCs w:val="17"/>
                <w:color w:val="auto"/>
              </w:rPr>
            </w:pPr>
          </w:p>
        </w:tc>
      </w:tr>
      <w:tr>
        <w:trPr>
          <w:trHeight w:val="219"/>
        </w:trPr>
        <w:tc>
          <w:tcPr>
            <w:tcW w:w="72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Accumulated other comprehensive loss</w:t>
            </w:r>
          </w:p>
        </w:tc>
        <w:tc>
          <w:tcPr>
            <w:tcW w:w="1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(459.5 )</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(458.7 )</w:t>
            </w:r>
          </w:p>
        </w:tc>
      </w:tr>
      <w:tr>
        <w:trPr>
          <w:trHeight w:val="207"/>
        </w:trPr>
        <w:tc>
          <w:tcPr>
            <w:tcW w:w="7260" w:type="dxa"/>
            <w:vAlign w:val="bottom"/>
          </w:tcPr>
          <w:p>
            <w:pPr>
              <w:ind w:left="320"/>
              <w:spacing w:after="0"/>
              <w:rPr>
                <w:sz w:val="20"/>
                <w:szCs w:val="20"/>
                <w:color w:val="auto"/>
              </w:rPr>
            </w:pPr>
            <w:r>
              <w:rPr>
                <w:rFonts w:ascii="Arial" w:cs="Arial" w:eastAsia="Arial" w:hAnsi="Arial"/>
                <w:sz w:val="16"/>
                <w:szCs w:val="16"/>
                <w:color w:val="auto"/>
              </w:rPr>
              <w:t>Treasury stock, at cost</w:t>
            </w:r>
          </w:p>
        </w:tc>
        <w:tc>
          <w:tcPr>
            <w:tcW w:w="11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(4,538.2 )</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6"/>
                <w:szCs w:val="16"/>
                <w:color w:val="auto"/>
              </w:rPr>
              <w:t>(4,447.9 )</w:t>
            </w:r>
          </w:p>
        </w:tc>
      </w:tr>
      <w:tr>
        <w:trPr>
          <w:trHeight w:val="205"/>
        </w:trPr>
        <w:tc>
          <w:tcPr>
            <w:tcW w:w="7260" w:type="dxa"/>
            <w:vAlign w:val="bottom"/>
            <w:tcBorders>
              <w:bottom w:val="single" w:sz="8" w:color="CFF0FC"/>
            </w:tcBorders>
            <w:shd w:val="clear" w:color="auto" w:fill="CFF0FC"/>
          </w:tcPr>
          <w:p>
            <w:pPr>
              <w:jc w:val="right"/>
              <w:ind w:right="4001"/>
              <w:spacing w:after="0"/>
              <w:rPr>
                <w:sz w:val="20"/>
                <w:szCs w:val="20"/>
                <w:color w:val="auto"/>
              </w:rPr>
            </w:pPr>
            <w:r>
              <w:rPr>
                <w:rFonts w:ascii="Arial" w:cs="Arial" w:eastAsia="Arial" w:hAnsi="Arial"/>
                <w:sz w:val="16"/>
                <w:szCs w:val="16"/>
                <w:color w:val="auto"/>
              </w:rPr>
              <w:t>Total ManpowerGroup shareholders' equity</w:t>
            </w:r>
          </w:p>
        </w:tc>
        <w:tc>
          <w:tcPr>
            <w:tcW w:w="118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2,439.2</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2,447.3</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205"/>
        </w:trPr>
        <w:tc>
          <w:tcPr>
            <w:tcW w:w="7260" w:type="dxa"/>
            <w:vAlign w:val="bottom"/>
          </w:tcPr>
          <w:p>
            <w:pPr>
              <w:ind w:left="80"/>
              <w:spacing w:after="0"/>
              <w:rPr>
                <w:sz w:val="20"/>
                <w:szCs w:val="20"/>
                <w:color w:val="auto"/>
              </w:rPr>
            </w:pPr>
            <w:r>
              <w:rPr>
                <w:rFonts w:ascii="Arial" w:cs="Arial" w:eastAsia="Arial" w:hAnsi="Arial"/>
                <w:sz w:val="16"/>
                <w:szCs w:val="16"/>
                <w:color w:val="auto"/>
              </w:rPr>
              <w:t>Noncontrolling interests</w:t>
            </w:r>
          </w:p>
        </w:tc>
        <w:tc>
          <w:tcPr>
            <w:tcW w:w="1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40" w:type="dxa"/>
            <w:vAlign w:val="bottom"/>
          </w:tcPr>
          <w:p>
            <w:pPr>
              <w:spacing w:after="0"/>
              <w:rPr>
                <w:sz w:val="17"/>
                <w:szCs w:val="17"/>
                <w:color w:val="auto"/>
              </w:rPr>
            </w:pPr>
          </w:p>
        </w:tc>
      </w:tr>
      <w:tr>
        <w:trPr>
          <w:trHeight w:val="205"/>
        </w:trPr>
        <w:tc>
          <w:tcPr>
            <w:tcW w:w="72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Total shareholders' equity</w:t>
            </w:r>
          </w:p>
        </w:tc>
        <w:tc>
          <w:tcPr>
            <w:tcW w:w="11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2,449.8</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2,458.1</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205"/>
        </w:trPr>
        <w:tc>
          <w:tcPr>
            <w:tcW w:w="7260" w:type="dxa"/>
            <w:vAlign w:val="bottom"/>
          </w:tcPr>
          <w:p>
            <w:pPr>
              <w:jc w:val="right"/>
              <w:ind w:right="4001"/>
              <w:spacing w:after="0"/>
              <w:rPr>
                <w:sz w:val="20"/>
                <w:szCs w:val="20"/>
                <w:color w:val="auto"/>
              </w:rPr>
            </w:pPr>
            <w:r>
              <w:rPr>
                <w:rFonts w:ascii="Arial" w:cs="Arial" w:eastAsia="Arial" w:hAnsi="Arial"/>
                <w:sz w:val="16"/>
                <w:szCs w:val="16"/>
                <w:color w:val="auto"/>
              </w:rPr>
              <w:t>Total liabilities and shareholders' equity</w:t>
            </w:r>
          </w:p>
        </w:tc>
        <w:tc>
          <w:tcPr>
            <w:tcW w:w="1180" w:type="dxa"/>
            <w:vAlign w:val="bottom"/>
          </w:tcPr>
          <w:p>
            <w:pPr>
              <w:jc w:val="right"/>
              <w:ind w:right="100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8,869.2</w:t>
            </w:r>
          </w:p>
        </w:tc>
        <w:tc>
          <w:tcPr>
            <w:tcW w:w="120" w:type="dxa"/>
            <w:vAlign w:val="bottom"/>
          </w:tcPr>
          <w:p>
            <w:pPr>
              <w:spacing w:after="0"/>
              <w:rPr>
                <w:sz w:val="17"/>
                <w:szCs w:val="17"/>
                <w:color w:val="auto"/>
              </w:rPr>
            </w:pPr>
          </w:p>
        </w:tc>
        <w:tc>
          <w:tcPr>
            <w:tcW w:w="54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9,130.4</w:t>
            </w:r>
          </w:p>
        </w:tc>
        <w:tc>
          <w:tcPr>
            <w:tcW w:w="140" w:type="dxa"/>
            <w:vAlign w:val="bottom"/>
          </w:tcPr>
          <w:p>
            <w:pPr>
              <w:spacing w:after="0"/>
              <w:rPr>
                <w:sz w:val="17"/>
                <w:szCs w:val="17"/>
                <w:color w:val="auto"/>
              </w:rPr>
            </w:pPr>
          </w:p>
        </w:tc>
      </w:tr>
      <w:tr>
        <w:trPr>
          <w:trHeight w:val="20"/>
        </w:trPr>
        <w:tc>
          <w:tcPr>
            <w:tcW w:w="7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87"/>
        </w:trPr>
        <w:tc>
          <w:tcPr>
            <w:tcW w:w="7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5726430</wp:posOffset>
            </wp:positionH>
            <wp:positionV relativeFrom="paragraph">
              <wp:posOffset>-5391150</wp:posOffset>
            </wp:positionV>
            <wp:extent cx="82550" cy="142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0" cy="14287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-5391150</wp:posOffset>
            </wp:positionV>
            <wp:extent cx="82550" cy="142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0" cy="142875"/>
                    </a:xfrm>
                    <a:prstGeom prst="rect">
                      <a:avLst/>
                    </a:prstGeom>
                    <a:noFill/>
                  </pic:spPr>
                </pic:pic>
              </a:graphicData>
            </a:graphic>
          </wp:anchor>
        </w:drawing>
        <w:drawing>
          <wp:anchor simplePos="0" relativeHeight="251657728" behindDoc="1" locked="0" layoutInCell="0" allowOverlap="1">
            <wp:simplePos x="0" y="0"/>
            <wp:positionH relativeFrom="column">
              <wp:posOffset>5726430</wp:posOffset>
            </wp:positionH>
            <wp:positionV relativeFrom="paragraph">
              <wp:posOffset>-4572635</wp:posOffset>
            </wp:positionV>
            <wp:extent cx="82550" cy="142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0" cy="14287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-4572635</wp:posOffset>
            </wp:positionV>
            <wp:extent cx="82550" cy="142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0" cy="142875"/>
                    </a:xfrm>
                    <a:prstGeom prst="rect">
                      <a:avLst/>
                    </a:prstGeom>
                    <a:noFill/>
                  </pic:spPr>
                </pic:pic>
              </a:graphicData>
            </a:graphic>
          </wp:anchor>
        </w:drawing>
        <w:drawing>
          <wp:anchor simplePos="0" relativeHeight="251657728" behindDoc="1" locked="0" layoutInCell="0" allowOverlap="1">
            <wp:simplePos x="0" y="0"/>
            <wp:positionH relativeFrom="column">
              <wp:posOffset>5726430</wp:posOffset>
            </wp:positionH>
            <wp:positionV relativeFrom="paragraph">
              <wp:posOffset>-4024630</wp:posOffset>
            </wp:positionV>
            <wp:extent cx="82550" cy="1504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0" cy="15049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-4024630</wp:posOffset>
            </wp:positionV>
            <wp:extent cx="82550" cy="1504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0" cy="150495"/>
                    </a:xfrm>
                    <a:prstGeom prst="rect">
                      <a:avLst/>
                    </a:prstGeom>
                    <a:noFill/>
                  </pic:spPr>
                </pic:pic>
              </a:graphicData>
            </a:graphic>
          </wp:anchor>
        </w:drawing>
        <w:drawing>
          <wp:anchor simplePos="0" relativeHeight="251657728" behindDoc="1" locked="0" layoutInCell="0" allowOverlap="1">
            <wp:simplePos x="0" y="0"/>
            <wp:positionH relativeFrom="column">
              <wp:posOffset>5726430</wp:posOffset>
            </wp:positionH>
            <wp:positionV relativeFrom="paragraph">
              <wp:posOffset>-3739515</wp:posOffset>
            </wp:positionV>
            <wp:extent cx="1419225" cy="157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19225" cy="157480"/>
                    </a:xfrm>
                    <a:prstGeom prst="rect">
                      <a:avLst/>
                    </a:prstGeom>
                    <a:noFill/>
                  </pic:spPr>
                </pic:pic>
              </a:graphicData>
            </a:graphic>
          </wp:anchor>
        </w:drawing>
        <w:drawing>
          <wp:anchor simplePos="0" relativeHeight="251657728" behindDoc="1" locked="0" layoutInCell="0" allowOverlap="1">
            <wp:simplePos x="0" y="0"/>
            <wp:positionH relativeFrom="column">
              <wp:posOffset>5726430</wp:posOffset>
            </wp:positionH>
            <wp:positionV relativeFrom="paragraph">
              <wp:posOffset>-2635250</wp:posOffset>
            </wp:positionV>
            <wp:extent cx="82550" cy="142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0" cy="14287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-2635250</wp:posOffset>
            </wp:positionV>
            <wp:extent cx="82550" cy="142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0" cy="142875"/>
                    </a:xfrm>
                    <a:prstGeom prst="rect">
                      <a:avLst/>
                    </a:prstGeom>
                    <a:noFill/>
                  </pic:spPr>
                </pic:pic>
              </a:graphicData>
            </a:graphic>
          </wp:anchor>
        </w:drawing>
        <w:drawing>
          <wp:anchor simplePos="0" relativeHeight="251657728" behindDoc="1" locked="0" layoutInCell="0" allowOverlap="1">
            <wp:simplePos x="0" y="0"/>
            <wp:positionH relativeFrom="column">
              <wp:posOffset>5726430</wp:posOffset>
            </wp:positionH>
            <wp:positionV relativeFrom="paragraph">
              <wp:posOffset>-720090</wp:posOffset>
            </wp:positionV>
            <wp:extent cx="82550" cy="1504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0" cy="15049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-720090</wp:posOffset>
            </wp:positionV>
            <wp:extent cx="82550" cy="1504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0" cy="150495"/>
                    </a:xfrm>
                    <a:prstGeom prst="rect">
                      <a:avLst/>
                    </a:prstGeom>
                    <a:noFill/>
                  </pic:spPr>
                </pic:pic>
              </a:graphicData>
            </a:graphic>
          </wp:anchor>
        </w:drawing>
        <w:drawing>
          <wp:anchor simplePos="0" relativeHeight="251657728" behindDoc="1" locked="0" layoutInCell="0" allowOverlap="1">
            <wp:simplePos x="0" y="0"/>
            <wp:positionH relativeFrom="column">
              <wp:posOffset>5726430</wp:posOffset>
            </wp:positionH>
            <wp:positionV relativeFrom="paragraph">
              <wp:posOffset>-434975</wp:posOffset>
            </wp:positionV>
            <wp:extent cx="82550" cy="165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0" cy="165100"/>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-434975</wp:posOffset>
            </wp:positionV>
            <wp:extent cx="82550" cy="165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0" cy="16510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16" w:right="319" w:bottom="1440" w:gutter="0" w:footer="0" w:header="0"/>
        </w:sectPr>
      </w:pPr>
    </w:p>
    <w:bookmarkStart w:id="12" w:name="page13"/>
    <w:bookmarkEnd w:id="12"/>
    <w:p>
      <w:pPr>
        <w:ind w:left="5080"/>
        <w:spacing w:after="0"/>
        <w:rPr>
          <w:sz w:val="20"/>
          <w:szCs w:val="20"/>
          <w:color w:val="auto"/>
        </w:rPr>
      </w:pPr>
      <w:r>
        <w:rPr>
          <w:rFonts w:ascii="Arial" w:cs="Arial" w:eastAsia="Arial" w:hAnsi="Arial"/>
          <w:sz w:val="16"/>
          <w:szCs w:val="16"/>
          <w:color w:val="auto"/>
        </w:rPr>
        <w:t>ManpowerGroup</w:t>
      </w:r>
    </w:p>
    <w:p>
      <w:pPr>
        <w:spacing w:after="0" w:line="41"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Consolidated Statements of Cash Flows</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Six Months Ended</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9"/>
        </w:trPr>
        <w:tc>
          <w:tcPr>
            <w:tcW w:w="75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7"/>
              </w:rPr>
              <w:t>June 30,</w:t>
            </w: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7"/>
        </w:trPr>
        <w:tc>
          <w:tcPr>
            <w:tcW w:w="7520" w:type="dxa"/>
            <w:vAlign w:val="bottom"/>
          </w:tcPr>
          <w:p>
            <w:pPr>
              <w:spacing w:after="0"/>
              <w:rPr>
                <w:sz w:val="18"/>
                <w:szCs w:val="18"/>
                <w:color w:val="auto"/>
              </w:rPr>
            </w:pPr>
          </w:p>
        </w:tc>
        <w:tc>
          <w:tcPr>
            <w:tcW w:w="106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r>
      <w:tr>
        <w:trPr>
          <w:trHeight w:val="203"/>
        </w:trPr>
        <w:tc>
          <w:tcPr>
            <w:tcW w:w="7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color w:val="auto"/>
                <w:w w:val="90"/>
              </w:rPr>
              <w:t>(Unaudited)</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9"/>
        </w:trPr>
        <w:tc>
          <w:tcPr>
            <w:tcW w:w="7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7"/>
        </w:trPr>
        <w:tc>
          <w:tcPr>
            <w:tcW w:w="7520" w:type="dxa"/>
            <w:vAlign w:val="bottom"/>
          </w:tcPr>
          <w:p>
            <w:pPr>
              <w:ind w:left="80"/>
              <w:spacing w:after="0"/>
              <w:rPr>
                <w:sz w:val="20"/>
                <w:szCs w:val="20"/>
                <w:color w:val="auto"/>
              </w:rPr>
            </w:pPr>
            <w:r>
              <w:rPr>
                <w:rFonts w:ascii="Arial" w:cs="Arial" w:eastAsia="Arial" w:hAnsi="Arial"/>
                <w:sz w:val="16"/>
                <w:szCs w:val="16"/>
                <w:color w:val="auto"/>
              </w:rPr>
              <w:t>Net earnings</w:t>
            </w:r>
          </w:p>
        </w:tc>
        <w:tc>
          <w:tcPr>
            <w:tcW w:w="1060" w:type="dxa"/>
            <w:vAlign w:val="bottom"/>
          </w:tcPr>
          <w:p>
            <w:pPr>
              <w:jc w:val="right"/>
              <w:ind w:right="90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143.0</w:t>
            </w:r>
          </w:p>
        </w:tc>
        <w:tc>
          <w:tcPr>
            <w:tcW w:w="140" w:type="dxa"/>
            <w:vAlign w:val="bottom"/>
          </w:tcPr>
          <w:p>
            <w:pPr>
              <w:spacing w:after="0"/>
              <w:rPr>
                <w:sz w:val="17"/>
                <w:szCs w:val="17"/>
                <w:color w:val="auto"/>
              </w:rPr>
            </w:pPr>
          </w:p>
        </w:tc>
        <w:tc>
          <w:tcPr>
            <w:tcW w:w="760" w:type="dxa"/>
            <w:vAlign w:val="bottom"/>
            <w:gridSpan w:val="2"/>
          </w:tcPr>
          <w:p>
            <w:pPr>
              <w:jc w:val="right"/>
              <w:ind w:right="387"/>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213.8</w:t>
            </w:r>
          </w:p>
        </w:tc>
        <w:tc>
          <w:tcPr>
            <w:tcW w:w="140" w:type="dxa"/>
            <w:vAlign w:val="bottom"/>
          </w:tcPr>
          <w:p>
            <w:pPr>
              <w:spacing w:after="0"/>
              <w:rPr>
                <w:sz w:val="17"/>
                <w:szCs w:val="17"/>
                <w:color w:val="auto"/>
              </w:rPr>
            </w:pPr>
          </w:p>
        </w:tc>
      </w:tr>
      <w:tr>
        <w:trPr>
          <w:trHeight w:val="219"/>
        </w:trPr>
        <w:tc>
          <w:tcPr>
            <w:tcW w:w="7520" w:type="dxa"/>
            <w:vAlign w:val="bottom"/>
            <w:shd w:val="clear" w:color="auto" w:fill="CFF0FC"/>
          </w:tcPr>
          <w:p>
            <w:pPr>
              <w:ind w:left="8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10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7"/>
        </w:trPr>
        <w:tc>
          <w:tcPr>
            <w:tcW w:w="752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42.5</w:t>
            </w:r>
          </w:p>
        </w:tc>
        <w:tc>
          <w:tcPr>
            <w:tcW w:w="140" w:type="dxa"/>
            <w:vAlign w:val="bottom"/>
          </w:tcPr>
          <w:p>
            <w:pPr>
              <w:spacing w:after="0"/>
              <w:rPr>
                <w:sz w:val="17"/>
                <w:szCs w:val="17"/>
                <w:color w:val="auto"/>
              </w:rPr>
            </w:pPr>
          </w:p>
        </w:tc>
      </w:tr>
      <w:tr>
        <w:trPr>
          <w:trHeight w:val="219"/>
        </w:trPr>
        <w:tc>
          <w:tcPr>
            <w:tcW w:w="75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Loss on sale of a subsidiary, net</w:t>
            </w:r>
          </w:p>
        </w:tc>
        <w:tc>
          <w:tcPr>
            <w:tcW w:w="10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40" w:type="dxa"/>
            <w:vAlign w:val="bottom"/>
            <w:shd w:val="clear" w:color="auto" w:fill="CFF0FC"/>
          </w:tcPr>
          <w:p>
            <w:pPr>
              <w:spacing w:after="0"/>
              <w:rPr>
                <w:sz w:val="19"/>
                <w:szCs w:val="19"/>
                <w:color w:val="auto"/>
              </w:rPr>
            </w:pPr>
          </w:p>
        </w:tc>
      </w:tr>
      <w:tr>
        <w:trPr>
          <w:trHeight w:val="207"/>
        </w:trPr>
        <w:tc>
          <w:tcPr>
            <w:tcW w:w="7520" w:type="dxa"/>
            <w:vAlign w:val="bottom"/>
          </w:tcPr>
          <w:p>
            <w:pPr>
              <w:ind w:left="48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17"/>
                <w:szCs w:val="17"/>
                <w:color w:val="auto"/>
              </w:rPr>
            </w:pPr>
          </w:p>
        </w:tc>
      </w:tr>
      <w:tr>
        <w:trPr>
          <w:trHeight w:val="219"/>
        </w:trPr>
        <w:tc>
          <w:tcPr>
            <w:tcW w:w="75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Provision for doubtful accounts</w:t>
            </w:r>
          </w:p>
        </w:tc>
        <w:tc>
          <w:tcPr>
            <w:tcW w:w="10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140" w:type="dxa"/>
            <w:vAlign w:val="bottom"/>
            <w:shd w:val="clear" w:color="auto" w:fill="CFF0FC"/>
          </w:tcPr>
          <w:p>
            <w:pPr>
              <w:spacing w:after="0"/>
              <w:rPr>
                <w:sz w:val="19"/>
                <w:szCs w:val="19"/>
                <w:color w:val="auto"/>
              </w:rPr>
            </w:pPr>
          </w:p>
        </w:tc>
      </w:tr>
      <w:tr>
        <w:trPr>
          <w:trHeight w:val="207"/>
        </w:trPr>
        <w:tc>
          <w:tcPr>
            <w:tcW w:w="7520" w:type="dxa"/>
            <w:vAlign w:val="bottom"/>
          </w:tcPr>
          <w:p>
            <w:pPr>
              <w:ind w:left="480"/>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21.6</w:t>
            </w:r>
          </w:p>
        </w:tc>
        <w:tc>
          <w:tcPr>
            <w:tcW w:w="140" w:type="dxa"/>
            <w:vAlign w:val="bottom"/>
          </w:tcPr>
          <w:p>
            <w:pPr>
              <w:spacing w:after="0"/>
              <w:rPr>
                <w:sz w:val="17"/>
                <w:szCs w:val="17"/>
                <w:color w:val="auto"/>
              </w:rPr>
            </w:pPr>
          </w:p>
        </w:tc>
      </w:tr>
      <w:tr>
        <w:trPr>
          <w:trHeight w:val="219"/>
        </w:trPr>
        <w:tc>
          <w:tcPr>
            <w:tcW w:w="7520" w:type="dxa"/>
            <w:vAlign w:val="bottom"/>
            <w:shd w:val="clear" w:color="auto" w:fill="CFF0FC"/>
          </w:tcPr>
          <w:p>
            <w:pPr>
              <w:ind w:left="80"/>
              <w:spacing w:after="0"/>
              <w:rPr>
                <w:sz w:val="20"/>
                <w:szCs w:val="20"/>
                <w:color w:val="auto"/>
              </w:rPr>
            </w:pPr>
            <w:r>
              <w:rPr>
                <w:rFonts w:ascii="Arial" w:cs="Arial" w:eastAsia="Arial" w:hAnsi="Arial"/>
                <w:sz w:val="16"/>
                <w:szCs w:val="16"/>
                <w:color w:val="auto"/>
              </w:rPr>
              <w:t>Changes in operating assets and liabilities:</w:t>
            </w:r>
          </w:p>
        </w:tc>
        <w:tc>
          <w:tcPr>
            <w:tcW w:w="10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7"/>
        </w:trPr>
        <w:tc>
          <w:tcPr>
            <w:tcW w:w="7520" w:type="dxa"/>
            <w:vAlign w:val="bottom"/>
          </w:tcPr>
          <w:p>
            <w:pPr>
              <w:ind w:left="480"/>
              <w:spacing w:after="0"/>
              <w:rPr>
                <w:sz w:val="20"/>
                <w:szCs w:val="20"/>
                <w:color w:val="auto"/>
              </w:rPr>
            </w:pPr>
            <w:r>
              <w:rPr>
                <w:rFonts w:ascii="Arial" w:cs="Arial" w:eastAsia="Arial" w:hAnsi="Arial"/>
                <w:sz w:val="16"/>
                <w:szCs w:val="16"/>
                <w:color w:val="auto"/>
              </w:rPr>
              <w:t>Accounts receivable</w:t>
            </w: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186.3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6"/>
                <w:szCs w:val="16"/>
                <w:color w:val="auto"/>
              </w:rPr>
              <w:t>(218.3 )</w:t>
            </w:r>
          </w:p>
        </w:tc>
      </w:tr>
      <w:tr>
        <w:trPr>
          <w:trHeight w:val="219"/>
        </w:trPr>
        <w:tc>
          <w:tcPr>
            <w:tcW w:w="75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Other assets</w:t>
            </w:r>
          </w:p>
        </w:tc>
        <w:tc>
          <w:tcPr>
            <w:tcW w:w="10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
              <w:spacing w:after="0"/>
              <w:rPr>
                <w:sz w:val="20"/>
                <w:szCs w:val="20"/>
                <w:color w:val="auto"/>
              </w:rPr>
            </w:pPr>
            <w:r>
              <w:rPr>
                <w:rFonts w:ascii="Arial" w:cs="Arial" w:eastAsia="Arial" w:hAnsi="Arial"/>
                <w:sz w:val="16"/>
                <w:szCs w:val="16"/>
                <w:color w:val="auto"/>
              </w:rPr>
              <w:t>(63.2 )</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
              <w:spacing w:after="0"/>
              <w:rPr>
                <w:sz w:val="20"/>
                <w:szCs w:val="20"/>
                <w:color w:val="auto"/>
              </w:rPr>
            </w:pPr>
            <w:r>
              <w:rPr>
                <w:rFonts w:ascii="Arial" w:cs="Arial" w:eastAsia="Arial" w:hAnsi="Arial"/>
                <w:sz w:val="16"/>
                <w:szCs w:val="16"/>
                <w:color w:val="auto"/>
              </w:rPr>
              <w:t>(18.0 )</w:t>
            </w:r>
          </w:p>
        </w:tc>
      </w:tr>
      <w:tr>
        <w:trPr>
          <w:trHeight w:val="207"/>
        </w:trPr>
        <w:tc>
          <w:tcPr>
            <w:tcW w:w="7520" w:type="dxa"/>
            <w:vAlign w:val="bottom"/>
          </w:tcPr>
          <w:p>
            <w:pPr>
              <w:ind w:left="480"/>
              <w:spacing w:after="0"/>
              <w:rPr>
                <w:sz w:val="20"/>
                <w:szCs w:val="20"/>
                <w:color w:val="auto"/>
              </w:rPr>
            </w:pPr>
            <w:r>
              <w:rPr>
                <w:rFonts w:ascii="Arial" w:cs="Arial" w:eastAsia="Arial" w:hAnsi="Arial"/>
                <w:sz w:val="16"/>
                <w:szCs w:val="16"/>
                <w:color w:val="auto"/>
              </w:rPr>
              <w:t>Other liabilities</w:t>
            </w:r>
          </w:p>
        </w:tc>
        <w:tc>
          <w:tcPr>
            <w:tcW w:w="1060" w:type="dxa"/>
            <w:vAlign w:val="bottom"/>
          </w:tcPr>
          <w:p>
            <w:pPr>
              <w:spacing w:after="0"/>
              <w:rPr>
                <w:sz w:val="17"/>
                <w:szCs w:val="17"/>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6"/>
                <w:szCs w:val="16"/>
                <w:color w:val="auto"/>
              </w:rPr>
              <w:t>(369.1 )</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6"/>
                <w:szCs w:val="16"/>
                <w:color w:val="auto"/>
              </w:rPr>
              <w:t>(37.2 )</w:t>
            </w:r>
          </w:p>
        </w:tc>
      </w:tr>
      <w:tr>
        <w:trPr>
          <w:trHeight w:val="205"/>
        </w:trPr>
        <w:tc>
          <w:tcPr>
            <w:tcW w:w="7520" w:type="dxa"/>
            <w:vAlign w:val="bottom"/>
            <w:tcBorders>
              <w:bottom w:val="single" w:sz="8" w:color="CFF0FC"/>
            </w:tcBorders>
            <w:shd w:val="clear" w:color="auto" w:fill="CFF0FC"/>
          </w:tcPr>
          <w:p>
            <w:pPr>
              <w:ind w:left="960"/>
              <w:spacing w:after="0"/>
              <w:rPr>
                <w:sz w:val="20"/>
                <w:szCs w:val="20"/>
                <w:color w:val="auto"/>
              </w:rPr>
            </w:pPr>
            <w:r>
              <w:rPr>
                <w:rFonts w:ascii="Arial" w:cs="Arial" w:eastAsia="Arial" w:hAnsi="Arial"/>
                <w:sz w:val="16"/>
                <w:szCs w:val="16"/>
                <w:color w:val="auto"/>
              </w:rPr>
              <w:t>Cash provided by (used in) operating activities</w:t>
            </w:r>
          </w:p>
        </w:tc>
        <w:tc>
          <w:tcPr>
            <w:tcW w:w="1060" w:type="dxa"/>
            <w:vAlign w:val="bottom"/>
            <w:tcBorders>
              <w:top w:val="single" w:sz="8" w:color="auto"/>
              <w:bottom w:val="single" w:sz="8" w:color="auto"/>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(31.2</w:t>
            </w:r>
          </w:p>
        </w:tc>
        <w:tc>
          <w:tcPr>
            <w:tcW w:w="14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207"/>
        </w:trPr>
        <w:tc>
          <w:tcPr>
            <w:tcW w:w="75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7"/>
        </w:trPr>
        <w:tc>
          <w:tcPr>
            <w:tcW w:w="7520" w:type="dxa"/>
            <w:vAlign w:val="bottom"/>
            <w:shd w:val="clear" w:color="auto" w:fill="CFF0FC"/>
          </w:tcPr>
          <w:p>
            <w:pPr>
              <w:ind w:left="400"/>
              <w:spacing w:after="0"/>
              <w:rPr>
                <w:sz w:val="20"/>
                <w:szCs w:val="20"/>
                <w:color w:val="auto"/>
              </w:rPr>
            </w:pPr>
            <w:r>
              <w:rPr>
                <w:rFonts w:ascii="Arial" w:cs="Arial" w:eastAsia="Arial" w:hAnsi="Arial"/>
                <w:sz w:val="16"/>
                <w:szCs w:val="16"/>
                <w:color w:val="auto"/>
              </w:rPr>
              <w:t>Capital expenditures</w:t>
            </w:r>
          </w:p>
        </w:tc>
        <w:tc>
          <w:tcPr>
            <w:tcW w:w="10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
              <w:spacing w:after="0"/>
              <w:rPr>
                <w:sz w:val="20"/>
                <w:szCs w:val="20"/>
                <w:color w:val="auto"/>
              </w:rPr>
            </w:pPr>
            <w:r>
              <w:rPr>
                <w:rFonts w:ascii="Arial" w:cs="Arial" w:eastAsia="Arial" w:hAnsi="Arial"/>
                <w:sz w:val="16"/>
                <w:szCs w:val="16"/>
                <w:color w:val="auto"/>
              </w:rPr>
              <w:t>(34.6 )</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
              <w:spacing w:after="0"/>
              <w:rPr>
                <w:sz w:val="20"/>
                <w:szCs w:val="20"/>
                <w:color w:val="auto"/>
              </w:rPr>
            </w:pPr>
            <w:r>
              <w:rPr>
                <w:rFonts w:ascii="Arial" w:cs="Arial" w:eastAsia="Arial" w:hAnsi="Arial"/>
                <w:sz w:val="16"/>
                <w:szCs w:val="16"/>
                <w:color w:val="auto"/>
              </w:rPr>
              <w:t>(41.7 )</w:t>
            </w:r>
          </w:p>
        </w:tc>
      </w:tr>
      <w:tr>
        <w:trPr>
          <w:trHeight w:val="207"/>
        </w:trPr>
        <w:tc>
          <w:tcPr>
            <w:tcW w:w="7520" w:type="dxa"/>
            <w:vAlign w:val="bottom"/>
          </w:tcPr>
          <w:p>
            <w:pPr>
              <w:ind w:left="400"/>
              <w:spacing w:after="0"/>
              <w:rPr>
                <w:sz w:val="20"/>
                <w:szCs w:val="20"/>
                <w:color w:val="auto"/>
              </w:rPr>
            </w:pPr>
            <w:r>
              <w:rPr>
                <w:rFonts w:ascii="Arial" w:cs="Arial" w:eastAsia="Arial" w:hAnsi="Arial"/>
                <w:sz w:val="16"/>
                <w:szCs w:val="16"/>
                <w:color w:val="auto"/>
              </w:rPr>
              <w:t>Proceeds from the sales of subsidiaries and property and equipment</w:t>
            </w:r>
          </w:p>
        </w:tc>
        <w:tc>
          <w:tcPr>
            <w:tcW w:w="10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7"/>
                <w:szCs w:val="17"/>
                <w:color w:val="auto"/>
              </w:rPr>
            </w:pPr>
          </w:p>
        </w:tc>
      </w:tr>
      <w:tr>
        <w:trPr>
          <w:trHeight w:val="205"/>
        </w:trPr>
        <w:tc>
          <w:tcPr>
            <w:tcW w:w="7520" w:type="dxa"/>
            <w:vAlign w:val="bottom"/>
            <w:tcBorders>
              <w:bottom w:val="single" w:sz="8" w:color="CFF0FC"/>
            </w:tcBorders>
            <w:shd w:val="clear" w:color="auto" w:fill="CFF0FC"/>
          </w:tcPr>
          <w:p>
            <w:pPr>
              <w:ind w:left="960"/>
              <w:spacing w:after="0"/>
              <w:rPr>
                <w:sz w:val="20"/>
                <w:szCs w:val="20"/>
                <w:color w:val="auto"/>
              </w:rPr>
            </w:pPr>
            <w:r>
              <w:rPr>
                <w:rFonts w:ascii="Arial" w:cs="Arial" w:eastAsia="Arial" w:hAnsi="Arial"/>
                <w:sz w:val="16"/>
                <w:szCs w:val="16"/>
                <w:color w:val="auto"/>
              </w:rPr>
              <w:t>Cash used in investing activities</w:t>
            </w:r>
          </w:p>
        </w:tc>
        <w:tc>
          <w:tcPr>
            <w:tcW w:w="106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(34.5</w:t>
            </w:r>
          </w:p>
        </w:tc>
        <w:tc>
          <w:tcPr>
            <w:tcW w:w="14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(40.7</w:t>
            </w:r>
          </w:p>
        </w:tc>
        <w:tc>
          <w:tcPr>
            <w:tcW w:w="14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r>
      <w:tr>
        <w:trPr>
          <w:trHeight w:val="207"/>
        </w:trPr>
        <w:tc>
          <w:tcPr>
            <w:tcW w:w="75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7"/>
        </w:trPr>
        <w:tc>
          <w:tcPr>
            <w:tcW w:w="7520" w:type="dxa"/>
            <w:vAlign w:val="bottom"/>
            <w:shd w:val="clear" w:color="auto" w:fill="CFF0FC"/>
          </w:tcPr>
          <w:p>
            <w:pPr>
              <w:ind w:left="400"/>
              <w:spacing w:after="0"/>
              <w:rPr>
                <w:sz w:val="20"/>
                <w:szCs w:val="20"/>
                <w:color w:val="auto"/>
              </w:rPr>
            </w:pPr>
            <w:r>
              <w:rPr>
                <w:rFonts w:ascii="Arial" w:cs="Arial" w:eastAsia="Arial" w:hAnsi="Arial"/>
                <w:sz w:val="16"/>
                <w:szCs w:val="16"/>
                <w:color w:val="auto"/>
              </w:rPr>
              <w:t>Net change in short-term borrowings</w:t>
            </w:r>
          </w:p>
        </w:tc>
        <w:tc>
          <w:tcPr>
            <w:tcW w:w="10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
              <w:spacing w:after="0"/>
              <w:rPr>
                <w:sz w:val="20"/>
                <w:szCs w:val="20"/>
                <w:color w:val="auto"/>
              </w:rPr>
            </w:pPr>
            <w:r>
              <w:rPr>
                <w:rFonts w:ascii="Arial" w:cs="Arial" w:eastAsia="Arial" w:hAnsi="Arial"/>
                <w:sz w:val="16"/>
                <w:szCs w:val="16"/>
                <w:color w:val="auto"/>
              </w:rPr>
              <w:t>(9.5 )</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
              <w:spacing w:after="0"/>
              <w:rPr>
                <w:sz w:val="20"/>
                <w:szCs w:val="20"/>
                <w:color w:val="auto"/>
              </w:rPr>
            </w:pPr>
            <w:r>
              <w:rPr>
                <w:rFonts w:ascii="Arial" w:cs="Arial" w:eastAsia="Arial" w:hAnsi="Arial"/>
                <w:sz w:val="16"/>
                <w:szCs w:val="16"/>
                <w:color w:val="auto"/>
              </w:rPr>
              <w:t>(3.9 )</w:t>
            </w:r>
          </w:p>
        </w:tc>
      </w:tr>
      <w:tr>
        <w:trPr>
          <w:trHeight w:val="207"/>
        </w:trPr>
        <w:tc>
          <w:tcPr>
            <w:tcW w:w="7520" w:type="dxa"/>
            <w:vAlign w:val="bottom"/>
          </w:tcPr>
          <w:p>
            <w:pPr>
              <w:ind w:left="400"/>
              <w:spacing w:after="0"/>
              <w:rPr>
                <w:sz w:val="20"/>
                <w:szCs w:val="20"/>
                <w:color w:val="auto"/>
              </w:rPr>
            </w:pPr>
            <w:r>
              <w:rPr>
                <w:rFonts w:ascii="Arial" w:cs="Arial" w:eastAsia="Arial" w:hAnsi="Arial"/>
                <w:sz w:val="16"/>
                <w:szCs w:val="16"/>
                <w:color w:val="auto"/>
              </w:rPr>
              <w:t>Net proceeds (repayments) of revolving debt facility</w:t>
            </w: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6"/>
                <w:szCs w:val="16"/>
                <w:color w:val="auto"/>
              </w:rPr>
              <w:t>(25.0 )</w:t>
            </w:r>
          </w:p>
        </w:tc>
      </w:tr>
      <w:tr>
        <w:trPr>
          <w:trHeight w:val="219"/>
        </w:trPr>
        <w:tc>
          <w:tcPr>
            <w:tcW w:w="7520" w:type="dxa"/>
            <w:vAlign w:val="bottom"/>
            <w:shd w:val="clear" w:color="auto" w:fill="CFF0FC"/>
          </w:tcPr>
          <w:p>
            <w:pPr>
              <w:ind w:left="400"/>
              <w:spacing w:after="0"/>
              <w:rPr>
                <w:sz w:val="20"/>
                <w:szCs w:val="20"/>
                <w:color w:val="auto"/>
              </w:rPr>
            </w:pPr>
            <w:r>
              <w:rPr>
                <w:rFonts w:ascii="Arial" w:cs="Arial" w:eastAsia="Arial" w:hAnsi="Arial"/>
                <w:sz w:val="16"/>
                <w:szCs w:val="16"/>
                <w:color w:val="auto"/>
              </w:rPr>
              <w:t>Proceeds from long-term debt</w:t>
            </w:r>
          </w:p>
        </w:tc>
        <w:tc>
          <w:tcPr>
            <w:tcW w:w="10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416.1</w:t>
            </w:r>
          </w:p>
        </w:tc>
        <w:tc>
          <w:tcPr>
            <w:tcW w:w="140" w:type="dxa"/>
            <w:vAlign w:val="bottom"/>
            <w:shd w:val="clear" w:color="auto" w:fill="CFF0FC"/>
          </w:tcPr>
          <w:p>
            <w:pPr>
              <w:spacing w:after="0"/>
              <w:rPr>
                <w:sz w:val="19"/>
                <w:szCs w:val="19"/>
                <w:color w:val="auto"/>
              </w:rPr>
            </w:pPr>
          </w:p>
        </w:tc>
      </w:tr>
      <w:tr>
        <w:trPr>
          <w:trHeight w:val="207"/>
        </w:trPr>
        <w:tc>
          <w:tcPr>
            <w:tcW w:w="7520" w:type="dxa"/>
            <w:vAlign w:val="bottom"/>
          </w:tcPr>
          <w:p>
            <w:pPr>
              <w:ind w:left="400"/>
              <w:spacing w:after="0"/>
              <w:rPr>
                <w:sz w:val="20"/>
                <w:szCs w:val="20"/>
                <w:color w:val="auto"/>
              </w:rPr>
            </w:pPr>
            <w:r>
              <w:rPr>
                <w:rFonts w:ascii="Arial" w:cs="Arial" w:eastAsia="Arial" w:hAnsi="Arial"/>
                <w:sz w:val="16"/>
                <w:szCs w:val="16"/>
                <w:color w:val="auto"/>
              </w:rPr>
              <w:t>Repayments of long-term debt</w:t>
            </w:r>
          </w:p>
        </w:tc>
        <w:tc>
          <w:tcPr>
            <w:tcW w:w="1060" w:type="dxa"/>
            <w:vAlign w:val="bottom"/>
          </w:tcPr>
          <w:p>
            <w:pPr>
              <w:spacing w:after="0"/>
              <w:rPr>
                <w:sz w:val="17"/>
                <w:szCs w:val="17"/>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6"/>
                <w:szCs w:val="16"/>
                <w:color w:val="auto"/>
              </w:rPr>
              <w:t>(0.5 )</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6"/>
                <w:szCs w:val="16"/>
                <w:color w:val="auto"/>
              </w:rPr>
              <w:t>(2.5 )</w:t>
            </w:r>
          </w:p>
        </w:tc>
      </w:tr>
      <w:tr>
        <w:trPr>
          <w:trHeight w:val="219"/>
        </w:trPr>
        <w:tc>
          <w:tcPr>
            <w:tcW w:w="7520" w:type="dxa"/>
            <w:vAlign w:val="bottom"/>
            <w:shd w:val="clear" w:color="auto" w:fill="CFF0FC"/>
          </w:tcPr>
          <w:p>
            <w:pPr>
              <w:ind w:left="400"/>
              <w:spacing w:after="0"/>
              <w:rPr>
                <w:sz w:val="20"/>
                <w:szCs w:val="20"/>
                <w:color w:val="auto"/>
              </w:rPr>
            </w:pPr>
            <w:r>
              <w:rPr>
                <w:rFonts w:ascii="Arial" w:cs="Arial" w:eastAsia="Arial" w:hAnsi="Arial"/>
                <w:sz w:val="16"/>
                <w:szCs w:val="16"/>
                <w:color w:val="auto"/>
              </w:rPr>
              <w:t>Payments for debt issuance costs</w:t>
            </w:r>
          </w:p>
        </w:tc>
        <w:tc>
          <w:tcPr>
            <w:tcW w:w="10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
              <w:spacing w:after="0"/>
              <w:rPr>
                <w:sz w:val="20"/>
                <w:szCs w:val="20"/>
                <w:color w:val="auto"/>
              </w:rPr>
            </w:pPr>
            <w:r>
              <w:rPr>
                <w:rFonts w:ascii="Arial" w:cs="Arial" w:eastAsia="Arial" w:hAnsi="Arial"/>
                <w:sz w:val="16"/>
                <w:szCs w:val="16"/>
                <w:color w:val="auto"/>
              </w:rPr>
              <w:t>(1.5 )</w:t>
            </w:r>
          </w:p>
        </w:tc>
      </w:tr>
      <w:tr>
        <w:trPr>
          <w:trHeight w:val="207"/>
        </w:trPr>
        <w:tc>
          <w:tcPr>
            <w:tcW w:w="7520" w:type="dxa"/>
            <w:vAlign w:val="bottom"/>
          </w:tcPr>
          <w:p>
            <w:pPr>
              <w:ind w:left="400"/>
              <w:spacing w:after="0"/>
              <w:rPr>
                <w:sz w:val="20"/>
                <w:szCs w:val="20"/>
                <w:color w:val="auto"/>
              </w:rPr>
            </w:pPr>
            <w:r>
              <w:rPr>
                <w:rFonts w:ascii="Arial" w:cs="Arial" w:eastAsia="Arial" w:hAnsi="Arial"/>
                <w:sz w:val="16"/>
                <w:szCs w:val="16"/>
                <w:color w:val="auto"/>
              </w:rPr>
              <w:t>Proceeds from derivative settlement</w:t>
            </w:r>
          </w:p>
        </w:tc>
        <w:tc>
          <w:tcPr>
            <w:tcW w:w="1060" w:type="dxa"/>
            <w:vAlign w:val="bottom"/>
          </w:tcPr>
          <w:p>
            <w:pPr>
              <w:spacing w:after="0"/>
              <w:rPr>
                <w:sz w:val="17"/>
                <w:szCs w:val="17"/>
                <w:color w:val="auto"/>
              </w:rPr>
            </w:pPr>
          </w:p>
        </w:tc>
        <w:tc>
          <w:tcPr>
            <w:tcW w:w="70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7"/>
                <w:szCs w:val="17"/>
                <w:color w:val="auto"/>
              </w:rPr>
            </w:pPr>
          </w:p>
        </w:tc>
      </w:tr>
      <w:tr>
        <w:trPr>
          <w:trHeight w:val="219"/>
        </w:trPr>
        <w:tc>
          <w:tcPr>
            <w:tcW w:w="7520" w:type="dxa"/>
            <w:vAlign w:val="bottom"/>
            <w:shd w:val="clear" w:color="auto" w:fill="CFF0FC"/>
          </w:tcPr>
          <w:p>
            <w:pPr>
              <w:ind w:left="400"/>
              <w:spacing w:after="0"/>
              <w:rPr>
                <w:sz w:val="20"/>
                <w:szCs w:val="20"/>
                <w:color w:val="auto"/>
              </w:rPr>
            </w:pPr>
            <w:r>
              <w:rPr>
                <w:rFonts w:ascii="Arial" w:cs="Arial" w:eastAsia="Arial" w:hAnsi="Arial"/>
                <w:sz w:val="16"/>
                <w:szCs w:val="16"/>
                <w:color w:val="auto"/>
              </w:rPr>
              <w:t>Payments of contingent consideration for acquisitions</w:t>
            </w:r>
          </w:p>
        </w:tc>
        <w:tc>
          <w:tcPr>
            <w:tcW w:w="10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
              <w:spacing w:after="0"/>
              <w:rPr>
                <w:sz w:val="20"/>
                <w:szCs w:val="20"/>
                <w:color w:val="auto"/>
              </w:rPr>
            </w:pPr>
            <w:r>
              <w:rPr>
                <w:rFonts w:ascii="Arial" w:cs="Arial" w:eastAsia="Arial" w:hAnsi="Arial"/>
                <w:sz w:val="16"/>
                <w:szCs w:val="16"/>
                <w:color w:val="auto"/>
              </w:rPr>
              <w:t>(1.4 )</w:t>
            </w:r>
          </w:p>
        </w:tc>
      </w:tr>
      <w:tr>
        <w:trPr>
          <w:trHeight w:val="207"/>
        </w:trPr>
        <w:tc>
          <w:tcPr>
            <w:tcW w:w="7520" w:type="dxa"/>
            <w:vAlign w:val="bottom"/>
          </w:tcPr>
          <w:p>
            <w:pPr>
              <w:ind w:left="400"/>
              <w:spacing w:after="0"/>
              <w:rPr>
                <w:sz w:val="20"/>
                <w:szCs w:val="20"/>
                <w:color w:val="auto"/>
              </w:rPr>
            </w:pPr>
            <w:r>
              <w:rPr>
                <w:rFonts w:ascii="Arial" w:cs="Arial" w:eastAsia="Arial" w:hAnsi="Arial"/>
                <w:sz w:val="16"/>
                <w:szCs w:val="16"/>
                <w:color w:val="auto"/>
              </w:rPr>
              <w:t>Proceeds from share-based awards</w:t>
            </w: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0.3</w:t>
            </w:r>
          </w:p>
        </w:tc>
        <w:tc>
          <w:tcPr>
            <w:tcW w:w="140" w:type="dxa"/>
            <w:vAlign w:val="bottom"/>
          </w:tcPr>
          <w:p>
            <w:pPr>
              <w:spacing w:after="0"/>
              <w:rPr>
                <w:sz w:val="17"/>
                <w:szCs w:val="17"/>
                <w:color w:val="auto"/>
              </w:rPr>
            </w:pPr>
          </w:p>
        </w:tc>
      </w:tr>
      <w:tr>
        <w:trPr>
          <w:trHeight w:val="219"/>
        </w:trPr>
        <w:tc>
          <w:tcPr>
            <w:tcW w:w="7520" w:type="dxa"/>
            <w:vAlign w:val="bottom"/>
            <w:shd w:val="clear" w:color="auto" w:fill="CFF0FC"/>
          </w:tcPr>
          <w:p>
            <w:pPr>
              <w:ind w:left="400"/>
              <w:spacing w:after="0"/>
              <w:rPr>
                <w:sz w:val="20"/>
                <w:szCs w:val="20"/>
                <w:color w:val="auto"/>
              </w:rPr>
            </w:pPr>
            <w:r>
              <w:rPr>
                <w:rFonts w:ascii="Arial" w:cs="Arial" w:eastAsia="Arial" w:hAnsi="Arial"/>
                <w:sz w:val="16"/>
                <w:szCs w:val="16"/>
                <w:color w:val="auto"/>
              </w:rPr>
              <w:t>Payments to noncontrolling interests</w:t>
            </w:r>
          </w:p>
        </w:tc>
        <w:tc>
          <w:tcPr>
            <w:tcW w:w="10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
              <w:spacing w:after="0"/>
              <w:rPr>
                <w:sz w:val="20"/>
                <w:szCs w:val="20"/>
                <w:color w:val="auto"/>
              </w:rPr>
            </w:pPr>
            <w:r>
              <w:rPr>
                <w:rFonts w:ascii="Arial" w:cs="Arial" w:eastAsia="Arial" w:hAnsi="Arial"/>
                <w:sz w:val="16"/>
                <w:szCs w:val="16"/>
                <w:color w:val="auto"/>
              </w:rPr>
              <w:t>(0.6 )</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
              <w:spacing w:after="0"/>
              <w:rPr>
                <w:sz w:val="20"/>
                <w:szCs w:val="20"/>
                <w:color w:val="auto"/>
              </w:rPr>
            </w:pPr>
            <w:r>
              <w:rPr>
                <w:rFonts w:ascii="Arial" w:cs="Arial" w:eastAsia="Arial" w:hAnsi="Arial"/>
                <w:sz w:val="16"/>
                <w:szCs w:val="16"/>
                <w:color w:val="auto"/>
              </w:rPr>
              <w:t>(1.0 )</w:t>
            </w:r>
          </w:p>
        </w:tc>
      </w:tr>
      <w:tr>
        <w:trPr>
          <w:trHeight w:val="207"/>
        </w:trPr>
        <w:tc>
          <w:tcPr>
            <w:tcW w:w="7520" w:type="dxa"/>
            <w:vAlign w:val="bottom"/>
          </w:tcPr>
          <w:p>
            <w:pPr>
              <w:ind w:left="400"/>
              <w:spacing w:after="0"/>
              <w:rPr>
                <w:sz w:val="20"/>
                <w:szCs w:val="20"/>
                <w:color w:val="auto"/>
              </w:rPr>
            </w:pPr>
            <w:r>
              <w:rPr>
                <w:rFonts w:ascii="Arial" w:cs="Arial" w:eastAsia="Arial" w:hAnsi="Arial"/>
                <w:sz w:val="16"/>
                <w:szCs w:val="16"/>
                <w:color w:val="auto"/>
              </w:rPr>
              <w:t>Other share-based award transactions</w:t>
            </w:r>
          </w:p>
        </w:tc>
        <w:tc>
          <w:tcPr>
            <w:tcW w:w="1060" w:type="dxa"/>
            <w:vAlign w:val="bottom"/>
          </w:tcPr>
          <w:p>
            <w:pPr>
              <w:spacing w:after="0"/>
              <w:rPr>
                <w:sz w:val="17"/>
                <w:szCs w:val="17"/>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6"/>
                <w:szCs w:val="16"/>
                <w:color w:val="auto"/>
              </w:rPr>
              <w:t>(9.8 )</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6"/>
                <w:szCs w:val="16"/>
                <w:color w:val="auto"/>
              </w:rPr>
              <w:t>(8.1 )</w:t>
            </w:r>
          </w:p>
        </w:tc>
      </w:tr>
      <w:tr>
        <w:trPr>
          <w:trHeight w:val="219"/>
        </w:trPr>
        <w:tc>
          <w:tcPr>
            <w:tcW w:w="7520" w:type="dxa"/>
            <w:vAlign w:val="bottom"/>
            <w:shd w:val="clear" w:color="auto" w:fill="CFF0FC"/>
          </w:tcPr>
          <w:p>
            <w:pPr>
              <w:ind w:left="400"/>
              <w:spacing w:after="0"/>
              <w:rPr>
                <w:sz w:val="20"/>
                <w:szCs w:val="20"/>
                <w:color w:val="auto"/>
              </w:rPr>
            </w:pPr>
            <w:r>
              <w:rPr>
                <w:rFonts w:ascii="Arial" w:cs="Arial" w:eastAsia="Arial" w:hAnsi="Arial"/>
                <w:sz w:val="16"/>
                <w:szCs w:val="16"/>
                <w:color w:val="auto"/>
              </w:rPr>
              <w:t>Repurchases of common stock</w:t>
            </w:r>
          </w:p>
        </w:tc>
        <w:tc>
          <w:tcPr>
            <w:tcW w:w="10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
              <w:spacing w:after="0"/>
              <w:rPr>
                <w:sz w:val="20"/>
                <w:szCs w:val="20"/>
                <w:color w:val="auto"/>
              </w:rPr>
            </w:pPr>
            <w:r>
              <w:rPr>
                <w:rFonts w:ascii="Arial" w:cs="Arial" w:eastAsia="Arial" w:hAnsi="Arial"/>
                <w:sz w:val="16"/>
                <w:szCs w:val="16"/>
                <w:color w:val="auto"/>
              </w:rPr>
              <w:t>(79.9 )</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
              <w:spacing w:after="0"/>
              <w:rPr>
                <w:sz w:val="20"/>
                <w:szCs w:val="20"/>
                <w:color w:val="auto"/>
              </w:rPr>
            </w:pPr>
            <w:r>
              <w:rPr>
                <w:rFonts w:ascii="Arial" w:cs="Arial" w:eastAsia="Arial" w:hAnsi="Arial"/>
                <w:sz w:val="16"/>
                <w:szCs w:val="16"/>
                <w:color w:val="auto"/>
              </w:rPr>
              <w:t>(160.0 )</w:t>
            </w:r>
          </w:p>
        </w:tc>
      </w:tr>
      <w:tr>
        <w:trPr>
          <w:trHeight w:val="207"/>
        </w:trPr>
        <w:tc>
          <w:tcPr>
            <w:tcW w:w="7520" w:type="dxa"/>
            <w:vAlign w:val="bottom"/>
          </w:tcPr>
          <w:p>
            <w:pPr>
              <w:ind w:left="400"/>
              <w:spacing w:after="0"/>
              <w:rPr>
                <w:sz w:val="20"/>
                <w:szCs w:val="20"/>
                <w:color w:val="auto"/>
              </w:rPr>
            </w:pPr>
            <w:r>
              <w:rPr>
                <w:rFonts w:ascii="Arial" w:cs="Arial" w:eastAsia="Arial" w:hAnsi="Arial"/>
                <w:sz w:val="16"/>
                <w:szCs w:val="16"/>
                <w:color w:val="auto"/>
              </w:rPr>
              <w:t>Dividends paid</w:t>
            </w:r>
          </w:p>
        </w:tc>
        <w:tc>
          <w:tcPr>
            <w:tcW w:w="1060" w:type="dxa"/>
            <w:vAlign w:val="bottom"/>
          </w:tcPr>
          <w:p>
            <w:pPr>
              <w:spacing w:after="0"/>
              <w:rPr>
                <w:sz w:val="17"/>
                <w:szCs w:val="17"/>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6"/>
                <w:szCs w:val="16"/>
                <w:color w:val="auto"/>
              </w:rPr>
              <w:t>(73.1 )</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6"/>
                <w:szCs w:val="16"/>
                <w:color w:val="auto"/>
              </w:rPr>
              <w:t>(71.2 )</w:t>
            </w:r>
          </w:p>
        </w:tc>
      </w:tr>
      <w:tr>
        <w:trPr>
          <w:trHeight w:val="205"/>
        </w:trPr>
        <w:tc>
          <w:tcPr>
            <w:tcW w:w="7520" w:type="dxa"/>
            <w:vAlign w:val="bottom"/>
            <w:tcBorders>
              <w:bottom w:val="single" w:sz="8" w:color="CFF0FC"/>
            </w:tcBorders>
            <w:shd w:val="clear" w:color="auto" w:fill="CFF0FC"/>
          </w:tcPr>
          <w:p>
            <w:pPr>
              <w:ind w:left="960"/>
              <w:spacing w:after="0"/>
              <w:rPr>
                <w:sz w:val="20"/>
                <w:szCs w:val="20"/>
                <w:color w:val="auto"/>
              </w:rPr>
            </w:pPr>
            <w:r>
              <w:rPr>
                <w:rFonts w:ascii="Arial" w:cs="Arial" w:eastAsia="Arial" w:hAnsi="Arial"/>
                <w:sz w:val="16"/>
                <w:szCs w:val="16"/>
                <w:color w:val="auto"/>
              </w:rPr>
              <w:t>Cash provided by (used in) financing activities</w:t>
            </w:r>
          </w:p>
        </w:tc>
        <w:tc>
          <w:tcPr>
            <w:tcW w:w="1060" w:type="dxa"/>
            <w:vAlign w:val="bottom"/>
            <w:tcBorders>
              <w:top w:val="single" w:sz="8" w:color="auto"/>
              <w:bottom w:val="single" w:sz="8" w:color="auto"/>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(167.3</w:t>
            </w:r>
          </w:p>
        </w:tc>
        <w:tc>
          <w:tcPr>
            <w:tcW w:w="14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143.8</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205"/>
        </w:trPr>
        <w:tc>
          <w:tcPr>
            <w:tcW w:w="752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6"/>
                <w:szCs w:val="16"/>
                <w:color w:val="auto"/>
              </w:rPr>
              <w:t>(86.0 )</w:t>
            </w:r>
          </w:p>
        </w:tc>
      </w:tr>
      <w:tr>
        <w:trPr>
          <w:trHeight w:val="211"/>
        </w:trPr>
        <w:tc>
          <w:tcPr>
            <w:tcW w:w="7520" w:type="dxa"/>
            <w:vAlign w:val="bottom"/>
            <w:shd w:val="clear" w:color="auto" w:fill="CFF0FC"/>
          </w:tcPr>
          <w:p>
            <w:pPr>
              <w:spacing w:after="0"/>
              <w:rPr>
                <w:sz w:val="20"/>
                <w:szCs w:val="20"/>
                <w:color w:val="auto"/>
              </w:rPr>
            </w:pPr>
            <w:r>
              <w:rPr>
                <w:rFonts w:ascii="Arial" w:cs="Arial" w:eastAsia="Arial" w:hAnsi="Arial"/>
                <w:sz w:val="16"/>
                <w:szCs w:val="16"/>
                <w:color w:val="auto"/>
              </w:rPr>
              <w:t>Change in cash and cash equivalents</w:t>
            </w:r>
          </w:p>
        </w:tc>
        <w:tc>
          <w:tcPr>
            <w:tcW w:w="106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(231.4</w:t>
            </w:r>
          </w:p>
        </w:tc>
        <w:tc>
          <w:tcPr>
            <w:tcW w:w="14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38.4</w:t>
            </w:r>
          </w:p>
        </w:tc>
        <w:tc>
          <w:tcPr>
            <w:tcW w:w="140" w:type="dxa"/>
            <w:vAlign w:val="bottom"/>
            <w:shd w:val="clear" w:color="auto" w:fill="CFF0FC"/>
          </w:tcPr>
          <w:p>
            <w:pPr>
              <w:spacing w:after="0"/>
              <w:rPr>
                <w:sz w:val="18"/>
                <w:szCs w:val="18"/>
                <w:color w:val="auto"/>
              </w:rPr>
            </w:pPr>
          </w:p>
        </w:tc>
      </w:tr>
      <w:tr>
        <w:trPr>
          <w:trHeight w:val="207"/>
        </w:trPr>
        <w:tc>
          <w:tcPr>
            <w:tcW w:w="752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10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847.8</w:t>
            </w:r>
          </w:p>
        </w:tc>
        <w:tc>
          <w:tcPr>
            <w:tcW w:w="140" w:type="dxa"/>
            <w:vAlign w:val="bottom"/>
          </w:tcPr>
          <w:p>
            <w:pPr>
              <w:spacing w:after="0"/>
              <w:rPr>
                <w:sz w:val="17"/>
                <w:szCs w:val="17"/>
                <w:color w:val="auto"/>
              </w:rPr>
            </w:pPr>
          </w:p>
        </w:tc>
      </w:tr>
      <w:tr>
        <w:trPr>
          <w:trHeight w:val="245"/>
        </w:trPr>
        <w:tc>
          <w:tcPr>
            <w:tcW w:w="7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 end of period</w:t>
            </w:r>
          </w:p>
        </w:tc>
        <w:tc>
          <w:tcPr>
            <w:tcW w:w="1060" w:type="dxa"/>
            <w:vAlign w:val="bottom"/>
            <w:tcBorders>
              <w:bottom w:val="single" w:sz="8" w:color="auto"/>
            </w:tcBorders>
            <w:shd w:val="clear" w:color="auto" w:fill="CFF0FC"/>
          </w:tcPr>
          <w:p>
            <w:pPr>
              <w:jc w:val="right"/>
              <w:ind w:right="90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407.6</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886.2</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387"/>
        </w:trPr>
        <w:tc>
          <w:tcPr>
            <w:tcW w:w="75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5808980</wp:posOffset>
            </wp:positionH>
            <wp:positionV relativeFrom="paragraph">
              <wp:posOffset>-3318510</wp:posOffset>
            </wp:positionV>
            <wp:extent cx="82550" cy="142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0" cy="14287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-3318510</wp:posOffset>
            </wp:positionV>
            <wp:extent cx="82550" cy="142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0" cy="14287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-2762885</wp:posOffset>
            </wp:positionV>
            <wp:extent cx="82550" cy="142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0" cy="14287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-2762885</wp:posOffset>
            </wp:positionV>
            <wp:extent cx="82550" cy="142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0" cy="14287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-855345</wp:posOffset>
            </wp:positionV>
            <wp:extent cx="82550" cy="1504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0" cy="15049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-855345</wp:posOffset>
            </wp:positionV>
            <wp:extent cx="82550" cy="1504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0" cy="15049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-292100</wp:posOffset>
            </wp:positionV>
            <wp:extent cx="8255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-277495</wp:posOffset>
            </wp:positionV>
            <wp:extent cx="8255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-292100</wp:posOffset>
            </wp:positionV>
            <wp:extent cx="8255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-277495</wp:posOffset>
            </wp:positionV>
            <wp:extent cx="8255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16" w:right="319" w:bottom="1440" w:gutter="0" w:footer="0" w:header="0"/>
        </w:sectPr>
      </w:pPr>
    </w:p>
    <w:bookmarkStart w:id="13" w:name="page14"/>
    <w:bookmarkEnd w:id="1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9155" cy="54070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7209155" cy="5407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2023-07-20T06:53:04Z</dcterms:created>
  <dcterms:modified xsi:type="dcterms:W3CDTF">2023-07-20T06:53:04Z</dcterms:modified>
</cp:coreProperties>
</file>