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t>UNITED STATES</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220"/>
        <w:spacing w:after="0"/>
        <w:rPr>
          <w:sz w:val="20"/>
          <w:szCs w:val="20"/>
          <w:color w:val="auto"/>
        </w:rPr>
      </w:pPr>
      <w:r>
        <w:rPr>
          <w:rFonts w:ascii="Arial" w:cs="Arial" w:eastAsia="Arial" w:hAnsi="Arial"/>
          <w:sz w:val="17"/>
          <w:szCs w:val="17"/>
          <w:b w:val="1"/>
          <w:bCs w:val="1"/>
          <w:color w:val="auto"/>
        </w:rPr>
        <w:t>Washington, D.C. 20549</w:t>
      </w:r>
    </w:p>
    <w:p>
      <w:pPr>
        <w:spacing w:after="0" w:line="151"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CURRENT REPORT</w:t>
      </w:r>
    </w:p>
    <w:p>
      <w:pPr>
        <w:spacing w:after="0" w:line="187"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98" w:lineRule="exact"/>
        <w:rPr>
          <w:sz w:val="24"/>
          <w:szCs w:val="24"/>
          <w:color w:val="auto"/>
        </w:rPr>
      </w:pPr>
    </w:p>
    <w:p>
      <w:pPr>
        <w:jc w:val="center"/>
        <w:ind w:right="-1220"/>
        <w:spacing w:after="0"/>
        <w:rPr>
          <w:sz w:val="20"/>
          <w:szCs w:val="20"/>
          <w:color w:val="auto"/>
        </w:rPr>
      </w:pPr>
      <w:r>
        <w:rPr>
          <w:rFonts w:ascii="Arial" w:cs="Arial" w:eastAsia="Arial" w:hAnsi="Arial"/>
          <w:sz w:val="14"/>
          <w:szCs w:val="14"/>
          <w:color w:val="auto"/>
        </w:rPr>
        <w:t>Date of Report (Date of earliest event reported): February 2, 2011</w:t>
      </w:r>
    </w:p>
    <w:p>
      <w:pPr>
        <w:spacing w:after="0" w:line="172" w:lineRule="exact"/>
        <w:rPr>
          <w:sz w:val="24"/>
          <w:szCs w:val="24"/>
          <w:color w:val="auto"/>
        </w:rPr>
      </w:pPr>
    </w:p>
    <w:p>
      <w:pPr>
        <w:ind w:left="4320"/>
        <w:spacing w:after="0"/>
        <w:rPr>
          <w:sz w:val="20"/>
          <w:szCs w:val="20"/>
          <w:color w:val="auto"/>
        </w:rPr>
      </w:pPr>
      <w:r>
        <w:rPr>
          <w:rFonts w:ascii="Arial" w:cs="Arial" w:eastAsia="Arial" w:hAnsi="Arial"/>
          <w:sz w:val="33"/>
          <w:szCs w:val="33"/>
          <w:b w:val="1"/>
          <w:bCs w:val="1"/>
          <w:color w:val="auto"/>
        </w:rPr>
        <w:t>MANPOWER INC.</w:t>
      </w:r>
    </w:p>
    <w:p>
      <w:pPr>
        <w:spacing w:after="0" w:line="41" w:lineRule="exact"/>
        <w:rPr>
          <w:sz w:val="24"/>
          <w:szCs w:val="24"/>
          <w:color w:val="auto"/>
        </w:rPr>
      </w:pPr>
    </w:p>
    <w:p>
      <w:pPr>
        <w:ind w:left="4300"/>
        <w:spacing w:after="0"/>
        <w:rPr>
          <w:sz w:val="20"/>
          <w:szCs w:val="20"/>
          <w:color w:val="auto"/>
        </w:rPr>
      </w:pPr>
      <w:r>
        <w:rPr>
          <w:rFonts w:ascii="Arial" w:cs="Arial" w:eastAsia="Arial" w:hAnsi="Arial"/>
          <w:sz w:val="14"/>
          <w:szCs w:val="14"/>
          <w:color w:val="auto"/>
        </w:rPr>
        <w:t>(Exact name of registrant as specified in its charter)</w:t>
      </w:r>
    </w:p>
    <w:p>
      <w:pPr>
        <w:spacing w:after="0" w:line="335" w:lineRule="exact"/>
        <w:rPr>
          <w:sz w:val="24"/>
          <w:szCs w:val="24"/>
          <w:color w:val="auto"/>
        </w:rPr>
      </w:pPr>
    </w:p>
    <w:tbl>
      <w:tblPr>
        <w:tblLayout w:type="fixed"/>
        <w:tblInd w:w="132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38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85"/>
              </w:rPr>
              <w:t>Wisconsin</w:t>
            </w:r>
          </w:p>
        </w:tc>
        <w:tc>
          <w:tcPr>
            <w:tcW w:w="236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rPr>
              <w:t>1-10686</w:t>
            </w:r>
          </w:p>
        </w:tc>
        <w:tc>
          <w:tcPr>
            <w:tcW w:w="27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39-1672779</w:t>
            </w:r>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0"/>
        </w:trPr>
        <w:tc>
          <w:tcPr>
            <w:tcW w:w="340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90"/>
              </w:rPr>
              <w:t>(State or other jurisdiction of incorporation)</w:t>
            </w:r>
          </w:p>
        </w:tc>
        <w:tc>
          <w:tcPr>
            <w:tcW w:w="23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(Commission File Number)</w:t>
            </w:r>
          </w:p>
        </w:tc>
        <w:tc>
          <w:tcPr>
            <w:tcW w:w="680" w:type="dxa"/>
            <w:vAlign w:val="bottom"/>
          </w:tcPr>
          <w:p>
            <w:pPr>
              <w:spacing w:after="0"/>
              <w:rPr>
                <w:sz w:val="17"/>
                <w:szCs w:val="17"/>
                <w:color w:val="auto"/>
              </w:rPr>
            </w:pPr>
          </w:p>
        </w:tc>
        <w:tc>
          <w:tcPr>
            <w:tcW w:w="2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(IRS Employer Identification No.)</w:t>
            </w:r>
          </w:p>
        </w:tc>
      </w:tr>
      <w:tr>
        <w:trPr>
          <w:trHeight w:val="528"/>
        </w:trPr>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0"/>
              </w:rPr>
              <w:t>100 Manpower Place</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51"/>
        </w:trPr>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40" w:type="dxa"/>
            <w:vAlign w:val="bottom"/>
            <w:gridSpan w:val="3"/>
          </w:tcPr>
          <w:p>
            <w:pPr>
              <w:jc w:val="center"/>
              <w:ind w:right="700"/>
              <w:spacing w:after="0" w:line="151" w:lineRule="exact"/>
              <w:rPr>
                <w:sz w:val="20"/>
                <w:szCs w:val="20"/>
                <w:color w:val="auto"/>
              </w:rPr>
            </w:pPr>
            <w:r>
              <w:rPr>
                <w:rFonts w:ascii="Arial" w:cs="Arial" w:eastAsia="Arial" w:hAnsi="Arial"/>
                <w:sz w:val="14"/>
                <w:szCs w:val="14"/>
                <w:b w:val="1"/>
                <w:bCs w:val="1"/>
                <w:color w:val="auto"/>
                <w:w w:val="90"/>
              </w:rPr>
              <w:t>Milwaukee, Wisconsin</w:t>
            </w: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0" w:type="dxa"/>
            <w:vAlign w:val="bottom"/>
            <w:gridSpan w:val="3"/>
          </w:tcPr>
          <w:p>
            <w:pPr>
              <w:jc w:val="right"/>
              <w:ind w:right="360"/>
              <w:spacing w:after="0" w:line="151" w:lineRule="exact"/>
              <w:rPr>
                <w:sz w:val="20"/>
                <w:szCs w:val="20"/>
                <w:color w:val="auto"/>
              </w:rPr>
            </w:pPr>
            <w:r>
              <w:rPr>
                <w:rFonts w:ascii="Arial" w:cs="Arial" w:eastAsia="Arial" w:hAnsi="Arial"/>
                <w:sz w:val="14"/>
                <w:szCs w:val="14"/>
                <w:b w:val="1"/>
                <w:bCs w:val="1"/>
                <w:color w:val="auto"/>
              </w:rPr>
              <w:t>53212</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0"/>
        </w:trPr>
        <w:tc>
          <w:tcPr>
            <w:tcW w:w="136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r>
      <w:tr>
        <w:trPr>
          <w:trHeight w:val="200"/>
        </w:trPr>
        <w:tc>
          <w:tcPr>
            <w:tcW w:w="3400" w:type="dxa"/>
            <w:vAlign w:val="bottom"/>
            <w:gridSpan w:val="5"/>
          </w:tcPr>
          <w:p>
            <w:pPr>
              <w:jc w:val="center"/>
              <w:ind w:left="590"/>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60" w:type="dxa"/>
            <w:vAlign w:val="bottom"/>
            <w:gridSpan w:val="5"/>
          </w:tcPr>
          <w:p>
            <w:pPr>
              <w:jc w:val="center"/>
              <w:ind w:right="1040"/>
              <w:spacing w:after="0"/>
              <w:rPr>
                <w:sz w:val="20"/>
                <w:szCs w:val="20"/>
                <w:color w:val="auto"/>
              </w:rPr>
            </w:pPr>
            <w:r>
              <w:rPr>
                <w:rFonts w:ascii="Arial" w:cs="Arial" w:eastAsia="Arial" w:hAnsi="Arial"/>
                <w:sz w:val="14"/>
                <w:szCs w:val="14"/>
                <w:b w:val="1"/>
                <w:bCs w:val="1"/>
                <w:color w:val="auto"/>
                <w:w w:val="92"/>
              </w:rPr>
              <w:t>(Zip Code)</w:t>
            </w:r>
          </w:p>
        </w:tc>
      </w:tr>
    </w:tbl>
    <w:p>
      <w:pPr>
        <w:spacing w:after="0" w:line="177"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Registrant's telephone number, including area code: (414) 961-1000</w:t>
      </w:r>
    </w:p>
    <w:p>
      <w:pPr>
        <w:spacing w:after="0" w:line="194"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40"/>
        <w:spacing w:after="0"/>
        <w:rPr>
          <w:sz w:val="20"/>
          <w:szCs w:val="20"/>
          <w:color w:val="auto"/>
        </w:rPr>
      </w:pPr>
      <w:r>
        <w:rPr>
          <w:rFonts w:ascii="Arial" w:cs="Arial" w:eastAsia="Arial" w:hAnsi="Arial"/>
          <w:sz w:val="14"/>
          <w:szCs w:val="14"/>
          <w:color w:val="auto"/>
        </w:rPr>
        <w:t>Written communications pursuant to Rule 425 under the Securities Act (17 CFR 230.425)</w:t>
      </w:r>
    </w:p>
    <w:p>
      <w:pPr>
        <w:spacing w:after="0" w:line="194" w:lineRule="exact"/>
        <w:rPr>
          <w:sz w:val="24"/>
          <w:szCs w:val="24"/>
          <w:color w:val="auto"/>
        </w:rPr>
      </w:pPr>
    </w:p>
    <w:p>
      <w:pPr>
        <w:ind w:left="440"/>
        <w:spacing w:after="0"/>
        <w:rPr>
          <w:sz w:val="20"/>
          <w:szCs w:val="20"/>
          <w:color w:val="auto"/>
        </w:rPr>
      </w:pPr>
      <w:r>
        <w:rPr>
          <w:rFonts w:ascii="Arial" w:cs="Arial" w:eastAsia="Arial" w:hAnsi="Arial"/>
          <w:sz w:val="14"/>
          <w:szCs w:val="14"/>
          <w:color w:val="auto"/>
        </w:rPr>
        <w:t>Soliciting material pursuant to Rule 14a-12 under the Securities Act (17 CFR 240.14a-12)</w:t>
      </w:r>
    </w:p>
    <w:p>
      <w:pPr>
        <w:spacing w:after="0" w:line="194" w:lineRule="exact"/>
        <w:rPr>
          <w:sz w:val="24"/>
          <w:szCs w:val="24"/>
          <w:color w:val="auto"/>
        </w:rPr>
      </w:pPr>
    </w:p>
    <w:p>
      <w:pPr>
        <w:ind w:left="440"/>
        <w:spacing w:after="0"/>
        <w:rPr>
          <w:sz w:val="20"/>
          <w:szCs w:val="20"/>
          <w:color w:val="auto"/>
        </w:rPr>
      </w:pPr>
      <w:r>
        <w:rPr>
          <w:rFonts w:ascii="Arial" w:cs="Arial" w:eastAsia="Arial" w:hAnsi="Arial"/>
          <w:sz w:val="14"/>
          <w:szCs w:val="14"/>
          <w:color w:val="auto"/>
        </w:rPr>
        <w:t>Pre-commencement communications pursuant to Rule 14d-2(b) under the Exchange Act (17 CFR 240.14d-2(b))</w:t>
      </w:r>
    </w:p>
    <w:p>
      <w:pPr>
        <w:spacing w:after="0" w:line="194" w:lineRule="exact"/>
        <w:rPr>
          <w:sz w:val="24"/>
          <w:szCs w:val="24"/>
          <w:color w:val="auto"/>
        </w:rPr>
      </w:pPr>
    </w:p>
    <w:p>
      <w:pPr>
        <w:ind w:left="440"/>
        <w:spacing w:after="0"/>
        <w:rPr>
          <w:sz w:val="20"/>
          <w:szCs w:val="20"/>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372745</wp:posOffset>
            </wp:positionV>
            <wp:extent cx="7283450"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10239"/>
          </w:cols>
          <w:pgMar w:left="220" w:top="379" w:right="1440"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198" w:lineRule="exact"/>
        <w:rPr>
          <w:sz w:val="20"/>
          <w:szCs w:val="20"/>
          <w:color w:val="auto"/>
        </w:rPr>
      </w:pPr>
    </w:p>
    <w:p>
      <w:pPr>
        <w:ind w:right="380" w:firstLine="501"/>
        <w:spacing w:after="0" w:line="274" w:lineRule="auto"/>
        <w:rPr>
          <w:sz w:val="20"/>
          <w:szCs w:val="20"/>
          <w:color w:val="auto"/>
        </w:rPr>
      </w:pPr>
      <w:r>
        <w:rPr>
          <w:rFonts w:ascii="Arial" w:cs="Arial" w:eastAsia="Arial" w:hAnsi="Arial"/>
          <w:sz w:val="14"/>
          <w:szCs w:val="14"/>
          <w:color w:val="auto"/>
        </w:rPr>
        <w:t>On February 2, 2011, we issued a press release announcing our results of operations for the three months and year ended December 31, 2010. A copy of the press release is attached hereto as Exhibit 99.1 and is incorporated herein by reference.</w:t>
      </w:r>
    </w:p>
    <w:p>
      <w:pPr>
        <w:spacing w:after="0" w:line="155" w:lineRule="exact"/>
        <w:rPr>
          <w:sz w:val="20"/>
          <w:szCs w:val="20"/>
          <w:color w:val="auto"/>
        </w:rPr>
      </w:pPr>
    </w:p>
    <w:p>
      <w:pPr>
        <w:ind w:right="60" w:firstLine="501"/>
        <w:spacing w:after="0" w:line="257" w:lineRule="auto"/>
        <w:rPr>
          <w:sz w:val="20"/>
          <w:szCs w:val="20"/>
          <w:color w:val="auto"/>
        </w:rPr>
      </w:pPr>
      <w:r>
        <w:rPr>
          <w:rFonts w:ascii="Arial" w:cs="Arial" w:eastAsia="Arial" w:hAnsi="Arial"/>
          <w:sz w:val="14"/>
          <w:szCs w:val="14"/>
          <w:color w:val="auto"/>
        </w:rPr>
        <w:t>During the fourth quarter of 2010, our segment reporting was realigned due to our Jefferson Wells business being combined with our Professional Finance and Accounting vertical within the United States. Accordingly, our former reportable segment, Jefferson Wells, is now reported within our United States operating segment as part of the Americas reportable segment. All previously reported results have been restated to conform to the current year presentation. Attached hereto as Exhibit 99.3 is our Operating Unit Results since January 1, 2008, revised to conform to the current year presentation.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40" w:type="dxa"/>
            <w:vAlign w:val="bottom"/>
          </w:tcPr>
          <w:p>
            <w:pPr>
              <w:jc w:val="right"/>
              <w:ind w:right="570"/>
              <w:spacing w:after="0"/>
              <w:rPr>
                <w:sz w:val="20"/>
                <w:szCs w:val="20"/>
                <w:color w:val="auto"/>
              </w:rPr>
            </w:pPr>
            <w:r>
              <w:rPr>
                <w:rFonts w:ascii="Arial" w:cs="Arial" w:eastAsia="Arial" w:hAnsi="Arial"/>
                <w:sz w:val="14"/>
                <w:szCs w:val="14"/>
                <w:b w:val="1"/>
                <w:bCs w:val="1"/>
                <w:color w:val="auto"/>
                <w:w w:val="90"/>
              </w:rPr>
              <w:t>Item 9.01.</w:t>
            </w:r>
          </w:p>
        </w:tc>
        <w:tc>
          <w:tcPr>
            <w:tcW w:w="6780" w:type="dxa"/>
            <w:vAlign w:val="bottom"/>
            <w:gridSpan w:val="3"/>
          </w:tcPr>
          <w:p>
            <w:pPr>
              <w:ind w:left="120"/>
              <w:spacing w:after="0"/>
              <w:rPr>
                <w:sz w:val="20"/>
                <w:szCs w:val="20"/>
                <w:color w:val="auto"/>
              </w:rPr>
            </w:pPr>
            <w:r>
              <w:rPr>
                <w:rFonts w:ascii="Arial" w:cs="Arial" w:eastAsia="Arial" w:hAnsi="Arial"/>
                <w:sz w:val="14"/>
                <w:szCs w:val="14"/>
                <w:b w:val="1"/>
                <w:bCs w:val="1"/>
                <w:color w:val="auto"/>
              </w:rPr>
              <w:t>Exhibits</w:t>
            </w:r>
            <w:r>
              <w:rPr>
                <w:rFonts w:ascii="Arial" w:cs="Arial" w:eastAsia="Arial" w:hAnsi="Arial"/>
                <w:sz w:val="14"/>
                <w:szCs w:val="14"/>
                <w:color w:val="auto"/>
              </w:rPr>
              <w:t>.</w:t>
            </w:r>
          </w:p>
        </w:tc>
        <w:tc>
          <w:tcPr>
            <w:tcW w:w="3440" w:type="dxa"/>
            <w:vAlign w:val="bottom"/>
          </w:tcPr>
          <w:p>
            <w:pPr>
              <w:spacing w:after="0"/>
              <w:rPr>
                <w:sz w:val="15"/>
                <w:szCs w:val="15"/>
                <w:color w:val="auto"/>
              </w:rPr>
            </w:pPr>
          </w:p>
        </w:tc>
      </w:tr>
      <w:tr>
        <w:trPr>
          <w:trHeight w:val="356"/>
        </w:trPr>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Exhibit No.</w:t>
            </w:r>
          </w:p>
        </w:tc>
        <w:tc>
          <w:tcPr>
            <w:tcW w:w="3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3440" w:type="dxa"/>
            <w:vAlign w:val="bottom"/>
          </w:tcPr>
          <w:p>
            <w:pPr>
              <w:spacing w:after="0"/>
              <w:rPr>
                <w:sz w:val="24"/>
                <w:szCs w:val="24"/>
                <w:color w:val="auto"/>
              </w:rPr>
            </w:pPr>
          </w:p>
        </w:tc>
      </w:tr>
      <w:tr>
        <w:trPr>
          <w:trHeight w:val="156"/>
        </w:trPr>
        <w:tc>
          <w:tcPr>
            <w:tcW w:w="1240" w:type="dxa"/>
            <w:vAlign w:val="bottom"/>
          </w:tcPr>
          <w:p>
            <w:pPr>
              <w:jc w:val="right"/>
              <w:ind w:right="230"/>
              <w:spacing w:after="0" w:line="157" w:lineRule="exact"/>
              <w:rPr>
                <w:sz w:val="20"/>
                <w:szCs w:val="20"/>
                <w:color w:val="auto"/>
              </w:rPr>
            </w:pPr>
            <w:r>
              <w:rPr>
                <w:rFonts w:ascii="Arial" w:cs="Arial" w:eastAsia="Arial" w:hAnsi="Arial"/>
                <w:sz w:val="14"/>
                <w:szCs w:val="14"/>
                <w:color w:val="auto"/>
              </w:rPr>
              <w:t>99.1</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80" w:type="dxa"/>
            <w:vAlign w:val="bottom"/>
          </w:tcPr>
          <w:p>
            <w:pPr>
              <w:spacing w:after="0" w:line="157" w:lineRule="exact"/>
              <w:rPr>
                <w:sz w:val="20"/>
                <w:szCs w:val="20"/>
                <w:color w:val="auto"/>
              </w:rPr>
            </w:pPr>
            <w:r>
              <w:rPr>
                <w:rFonts w:ascii="Arial" w:cs="Arial" w:eastAsia="Arial" w:hAnsi="Arial"/>
                <w:sz w:val="14"/>
                <w:szCs w:val="14"/>
                <w:color w:val="auto"/>
              </w:rPr>
              <w:t>Press Release dated February 2, 2011</w:t>
            </w:r>
          </w:p>
        </w:tc>
        <w:tc>
          <w:tcPr>
            <w:tcW w:w="3440" w:type="dxa"/>
            <w:vAlign w:val="bottom"/>
          </w:tcPr>
          <w:p>
            <w:pPr>
              <w:spacing w:after="0"/>
              <w:rPr>
                <w:sz w:val="13"/>
                <w:szCs w:val="13"/>
                <w:color w:val="auto"/>
              </w:rPr>
            </w:pPr>
          </w:p>
        </w:tc>
      </w:tr>
      <w:tr>
        <w:trPr>
          <w:trHeight w:val="167"/>
        </w:trPr>
        <w:tc>
          <w:tcPr>
            <w:tcW w:w="1240" w:type="dxa"/>
            <w:vAlign w:val="bottom"/>
          </w:tcPr>
          <w:p>
            <w:pPr>
              <w:jc w:val="right"/>
              <w:ind w:right="230"/>
              <w:spacing w:after="0"/>
              <w:rPr>
                <w:sz w:val="20"/>
                <w:szCs w:val="20"/>
                <w:color w:val="auto"/>
              </w:rPr>
            </w:pPr>
            <w:r>
              <w:rPr>
                <w:rFonts w:ascii="Arial" w:cs="Arial" w:eastAsia="Arial" w:hAnsi="Arial"/>
                <w:sz w:val="14"/>
                <w:szCs w:val="14"/>
                <w:color w:val="auto"/>
              </w:rPr>
              <w:t>99.2</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Presentation materials for February 2, 2011 conference call</w:t>
            </w:r>
          </w:p>
        </w:tc>
        <w:tc>
          <w:tcPr>
            <w:tcW w:w="3440" w:type="dxa"/>
            <w:vAlign w:val="bottom"/>
          </w:tcPr>
          <w:p>
            <w:pPr>
              <w:spacing w:after="0"/>
              <w:rPr>
                <w:sz w:val="14"/>
                <w:szCs w:val="14"/>
                <w:color w:val="auto"/>
              </w:rPr>
            </w:pPr>
          </w:p>
        </w:tc>
      </w:tr>
      <w:tr>
        <w:trPr>
          <w:trHeight w:val="178"/>
        </w:trPr>
        <w:tc>
          <w:tcPr>
            <w:tcW w:w="1240" w:type="dxa"/>
            <w:vAlign w:val="bottom"/>
          </w:tcPr>
          <w:p>
            <w:pPr>
              <w:jc w:val="right"/>
              <w:ind w:right="230"/>
              <w:spacing w:after="0"/>
              <w:rPr>
                <w:sz w:val="20"/>
                <w:szCs w:val="20"/>
                <w:color w:val="auto"/>
              </w:rPr>
            </w:pPr>
            <w:r>
              <w:rPr>
                <w:rFonts w:ascii="Arial" w:cs="Arial" w:eastAsia="Arial" w:hAnsi="Arial"/>
                <w:sz w:val="14"/>
                <w:szCs w:val="14"/>
                <w:color w:val="auto"/>
              </w:rPr>
              <w:t>99.3</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Operating Unit Results reflecting the restatement of segment results</w:t>
            </w:r>
          </w:p>
        </w:tc>
        <w:tc>
          <w:tcPr>
            <w:tcW w:w="3440" w:type="dxa"/>
            <w:vAlign w:val="bottom"/>
          </w:tcPr>
          <w:p>
            <w:pPr>
              <w:spacing w:after="0"/>
              <w:rPr>
                <w:sz w:val="15"/>
                <w:szCs w:val="15"/>
                <w:color w:val="auto"/>
              </w:rPr>
            </w:pPr>
          </w:p>
        </w:tc>
      </w:tr>
      <w:tr>
        <w:trPr>
          <w:trHeight w:val="465"/>
        </w:trPr>
        <w:tc>
          <w:tcPr>
            <w:tcW w:w="1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608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-12065</wp:posOffset>
            </wp:positionV>
            <wp:extent cx="127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127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13" w:right="21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4"/>
          <w:szCs w:val="14"/>
          <w:b w:val="1"/>
          <w:bCs w:val="1"/>
          <w:color w:val="auto"/>
        </w:rPr>
        <w:t>SIGNATURES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MANPOWER INC.</w:t>
      </w:r>
    </w:p>
    <w:p>
      <w:pPr>
        <w:spacing w:after="0" w:line="173" w:lineRule="exact"/>
        <w:rPr>
          <w:sz w:val="20"/>
          <w:szCs w:val="20"/>
          <w:color w:val="auto"/>
        </w:rPr>
      </w:pPr>
    </w:p>
    <w:p>
      <w:pPr>
        <w:spacing w:after="0"/>
        <w:tabs>
          <w:tab w:leader="none" w:pos="3460" w:val="left"/>
          <w:tab w:leader="none" w:pos="3880" w:val="left"/>
        </w:tabs>
        <w:rPr>
          <w:sz w:val="20"/>
          <w:szCs w:val="20"/>
          <w:color w:val="auto"/>
        </w:rPr>
      </w:pPr>
      <w:r>
        <w:rPr>
          <w:rFonts w:ascii="Arial" w:cs="Arial" w:eastAsia="Arial" w:hAnsi="Arial"/>
          <w:sz w:val="14"/>
          <w:szCs w:val="14"/>
          <w:color w:val="auto"/>
        </w:rPr>
        <w:t>Dated: February 2, 2011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10795</wp:posOffset>
            </wp:positionV>
            <wp:extent cx="20434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3430" cy="1333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Michael J. Van Handel</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Executive Vice President and</w:t>
      </w:r>
    </w:p>
    <w:p>
      <w:pPr>
        <w:spacing w:after="0" w:line="6"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292735</wp:posOffset>
            </wp:positionV>
            <wp:extent cx="728345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10720"/>
          </w:cols>
          <w:pgMar w:left="220" w:top="313" w:right="9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2"/>
        </w:trPr>
        <w:tc>
          <w:tcPr>
            <w:tcW w:w="1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80" w:type="dxa"/>
            <w:vAlign w:val="bottom"/>
          </w:tcPr>
          <w:p>
            <w:pPr>
              <w:ind w:left="3260"/>
              <w:spacing w:after="0"/>
              <w:rPr>
                <w:sz w:val="20"/>
                <w:szCs w:val="20"/>
                <w:color w:val="auto"/>
              </w:rPr>
            </w:pPr>
            <w:r>
              <w:rPr>
                <w:rFonts w:ascii="Arial" w:cs="Arial" w:eastAsia="Arial" w:hAnsi="Arial"/>
                <w:sz w:val="14"/>
                <w:szCs w:val="14"/>
                <w:b w:val="1"/>
                <w:bCs w:val="1"/>
                <w:color w:val="auto"/>
              </w:rPr>
              <w:t>EXHIBIT INDEX</w:t>
            </w:r>
          </w:p>
        </w:tc>
      </w:tr>
      <w:tr>
        <w:trPr>
          <w:trHeight w:val="356"/>
        </w:trPr>
        <w:tc>
          <w:tcPr>
            <w:tcW w:w="15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Exhibit No.</w:t>
            </w:r>
          </w:p>
        </w:tc>
        <w:tc>
          <w:tcPr>
            <w:tcW w:w="400" w:type="dxa"/>
            <w:vAlign w:val="bottom"/>
          </w:tcPr>
          <w:p>
            <w:pPr>
              <w:spacing w:after="0"/>
              <w:rPr>
                <w:sz w:val="24"/>
                <w:szCs w:val="24"/>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56"/>
        </w:trPr>
        <w:tc>
          <w:tcPr>
            <w:tcW w:w="1540" w:type="dxa"/>
            <w:vAlign w:val="bottom"/>
          </w:tcPr>
          <w:p>
            <w:pPr>
              <w:jc w:val="right"/>
              <w:ind w:right="530"/>
              <w:spacing w:after="0" w:line="157" w:lineRule="exact"/>
              <w:rPr>
                <w:sz w:val="20"/>
                <w:szCs w:val="20"/>
                <w:color w:val="auto"/>
              </w:rPr>
            </w:pPr>
            <w:r>
              <w:rPr>
                <w:rFonts w:ascii="Arial" w:cs="Arial" w:eastAsia="Arial" w:hAnsi="Arial"/>
                <w:sz w:val="14"/>
                <w:szCs w:val="14"/>
                <w:color w:val="auto"/>
              </w:rPr>
              <w:t>99.1</w:t>
            </w:r>
          </w:p>
        </w:tc>
        <w:tc>
          <w:tcPr>
            <w:tcW w:w="400" w:type="dxa"/>
            <w:vAlign w:val="bottom"/>
          </w:tcPr>
          <w:p>
            <w:pPr>
              <w:spacing w:after="0"/>
              <w:rPr>
                <w:sz w:val="13"/>
                <w:szCs w:val="13"/>
                <w:color w:val="auto"/>
              </w:rPr>
            </w:pPr>
          </w:p>
        </w:tc>
        <w:tc>
          <w:tcPr>
            <w:tcW w:w="6080" w:type="dxa"/>
            <w:vAlign w:val="bottom"/>
          </w:tcPr>
          <w:p>
            <w:pPr>
              <w:spacing w:after="0" w:line="157" w:lineRule="exact"/>
              <w:rPr>
                <w:sz w:val="20"/>
                <w:szCs w:val="20"/>
                <w:color w:val="auto"/>
              </w:rPr>
            </w:pPr>
            <w:r>
              <w:rPr>
                <w:rFonts w:ascii="Arial" w:cs="Arial" w:eastAsia="Arial" w:hAnsi="Arial"/>
                <w:sz w:val="14"/>
                <w:szCs w:val="14"/>
                <w:color w:val="auto"/>
              </w:rPr>
              <w:t>Press Release dated February 2, 2011</w:t>
            </w:r>
          </w:p>
        </w:tc>
      </w:tr>
      <w:tr>
        <w:trPr>
          <w:trHeight w:val="167"/>
        </w:trPr>
        <w:tc>
          <w:tcPr>
            <w:tcW w:w="1540" w:type="dxa"/>
            <w:vAlign w:val="bottom"/>
          </w:tcPr>
          <w:p>
            <w:pPr>
              <w:jc w:val="right"/>
              <w:ind w:right="530"/>
              <w:spacing w:after="0"/>
              <w:rPr>
                <w:sz w:val="20"/>
                <w:szCs w:val="20"/>
                <w:color w:val="auto"/>
              </w:rPr>
            </w:pPr>
            <w:r>
              <w:rPr>
                <w:rFonts w:ascii="Arial" w:cs="Arial" w:eastAsia="Arial" w:hAnsi="Arial"/>
                <w:sz w:val="14"/>
                <w:szCs w:val="14"/>
                <w:color w:val="auto"/>
              </w:rPr>
              <w:t>99.2</w:t>
            </w:r>
          </w:p>
        </w:tc>
        <w:tc>
          <w:tcPr>
            <w:tcW w:w="40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Presentation materials for February 2, 2011 conference call</w:t>
            </w:r>
          </w:p>
        </w:tc>
      </w:tr>
      <w:tr>
        <w:trPr>
          <w:trHeight w:val="178"/>
        </w:trPr>
        <w:tc>
          <w:tcPr>
            <w:tcW w:w="1540" w:type="dxa"/>
            <w:vAlign w:val="bottom"/>
          </w:tcPr>
          <w:p>
            <w:pPr>
              <w:jc w:val="right"/>
              <w:ind w:right="530"/>
              <w:spacing w:after="0"/>
              <w:rPr>
                <w:sz w:val="20"/>
                <w:szCs w:val="20"/>
                <w:color w:val="auto"/>
              </w:rPr>
            </w:pPr>
            <w:r>
              <w:rPr>
                <w:rFonts w:ascii="Arial" w:cs="Arial" w:eastAsia="Arial" w:hAnsi="Arial"/>
                <w:sz w:val="14"/>
                <w:szCs w:val="14"/>
                <w:color w:val="auto"/>
              </w:rPr>
              <w:t>99.3</w:t>
            </w:r>
          </w:p>
        </w:tc>
        <w:tc>
          <w:tcPr>
            <w:tcW w:w="40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Operating Unit Results reflecting the restatement of segment results</w:t>
            </w:r>
          </w:p>
        </w:tc>
      </w:tr>
    </w:tbl>
    <w:p>
      <w:pPr>
        <w:sectPr>
          <w:pgSz w:w="11900" w:h="16838" w:orient="portrait"/>
          <w:cols w:equalWidth="0" w:num="1">
            <w:col w:w="10239"/>
          </w:cols>
          <w:pgMar w:left="220" w:top="31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895350" cy="829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5350" cy="829310"/>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Mike Van Handel</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Manpower Inc.</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+1.414.906.6305</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michael.vanhandel@manpower.com</w:t>
      </w:r>
    </w:p>
    <w:p>
      <w:pPr>
        <w:spacing w:after="0" w:line="200" w:lineRule="exact"/>
        <w:rPr>
          <w:sz w:val="20"/>
          <w:szCs w:val="20"/>
          <w:color w:val="auto"/>
        </w:rPr>
      </w:pPr>
    </w:p>
    <w:p>
      <w:pPr>
        <w:sectPr>
          <w:pgSz w:w="11900" w:h="16838" w:orient="portrait"/>
          <w:cols w:equalWidth="0" w:num="2">
            <w:col w:w="3800" w:space="720"/>
            <w:col w:w="6940"/>
          </w:cols>
          <w:pgMar w:left="220" w:top="118" w:right="219"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Manpower Reports 4</w:t>
      </w:r>
      <w:r>
        <w:rPr>
          <w:rFonts w:ascii="Arial" w:cs="Arial" w:eastAsia="Arial" w:hAnsi="Arial"/>
          <w:sz w:val="8"/>
          <w:szCs w:val="8"/>
          <w:b w:val="1"/>
          <w:bCs w:val="1"/>
          <w:color w:val="auto"/>
        </w:rPr>
        <w:t>th</w:t>
      </w:r>
      <w:r>
        <w:rPr>
          <w:rFonts w:ascii="Arial" w:cs="Arial" w:eastAsia="Arial" w:hAnsi="Arial"/>
          <w:sz w:val="12"/>
          <w:szCs w:val="12"/>
          <w:b w:val="1"/>
          <w:bCs w:val="1"/>
          <w:color w:val="auto"/>
        </w:rPr>
        <w:t xml:space="preserve"> Quarter and Full Year 2010 Results</w:t>
      </w:r>
    </w:p>
    <w:p>
      <w:pPr>
        <w:sectPr>
          <w:pgSz w:w="11900" w:h="16838" w:orient="portrait"/>
          <w:cols w:equalWidth="0" w:num="1">
            <w:col w:w="11460"/>
          </w:cols>
          <w:pgMar w:left="220" w:top="118" w:right="219" w:bottom="1440" w:gutter="0" w:footer="0" w:header="0"/>
          <w:type w:val="continuous"/>
        </w:sectPr>
      </w:pPr>
    </w:p>
    <w:p>
      <w:pPr>
        <w:spacing w:after="0" w:line="388" w:lineRule="exact"/>
        <w:rPr>
          <w:sz w:val="20"/>
          <w:szCs w:val="20"/>
          <w:color w:val="auto"/>
        </w:rPr>
      </w:pPr>
    </w:p>
    <w:p>
      <w:pPr>
        <w:jc w:val="both"/>
        <w:ind w:right="160" w:firstLine="515"/>
        <w:spacing w:after="0" w:line="261" w:lineRule="auto"/>
        <w:rPr>
          <w:sz w:val="20"/>
          <w:szCs w:val="20"/>
          <w:color w:val="auto"/>
        </w:rPr>
      </w:pPr>
      <w:r>
        <w:rPr>
          <w:rFonts w:ascii="Arial" w:cs="Arial" w:eastAsia="Arial" w:hAnsi="Arial"/>
          <w:sz w:val="14"/>
          <w:szCs w:val="14"/>
          <w:color w:val="auto"/>
        </w:rPr>
        <w:t>MILWAUKEE, WI, USA, February 2, 2011 – Manpower Inc. (NYSE: MAN) today reported a net loss of $4.29 per diluted share for the three months ended December 31, 2010 compared to net earnings of 37 cents in the prior year period. The net loss in the quarter was $350.4 million compared to net earnings of $29.1 million a year earlier. Revenues for the fourth quarter totaled $5.2 billion, an increase of 18 percent from the year earlier period, or an increase of 22 percent in constant currency.</w:t>
      </w:r>
    </w:p>
    <w:p>
      <w:pPr>
        <w:spacing w:after="0" w:line="143" w:lineRule="exact"/>
        <w:rPr>
          <w:sz w:val="20"/>
          <w:szCs w:val="20"/>
          <w:color w:val="auto"/>
        </w:rPr>
      </w:pPr>
    </w:p>
    <w:p>
      <w:pPr>
        <w:jc w:val="both"/>
        <w:ind w:right="300"/>
        <w:spacing w:after="0" w:line="325" w:lineRule="auto"/>
        <w:rPr>
          <w:sz w:val="20"/>
          <w:szCs w:val="20"/>
          <w:color w:val="auto"/>
        </w:rPr>
      </w:pPr>
      <w:r>
        <w:rPr>
          <w:rFonts w:ascii="Arial" w:cs="Arial" w:eastAsia="Arial" w:hAnsi="Arial"/>
          <w:sz w:val="12"/>
          <w:szCs w:val="12"/>
          <w:color w:val="auto"/>
        </w:rPr>
        <w:t>Included in the fourth quarter results is a non-cash goodwill and intangible asset impairment charge of $428.8 million ($384.3 million after tax, or $4.70 per diluted share) and a reorganization charge, primarily related to office consolidations and severance costs, of $30.5 million ($20.6 million after tax or 25 cents per diluted share). Excluding the impairment and reorganization charges, earnings per diluted share was 66 cents. Net earnings in the fourth quarter were unfavorably impacted by 2 cents per diluted share, as foreign currencies were relatively weaker compared to the prior year period.</w:t>
      </w:r>
    </w:p>
    <w:p>
      <w:pPr>
        <w:spacing w:after="0" w:line="129" w:lineRule="exact"/>
        <w:rPr>
          <w:sz w:val="20"/>
          <w:szCs w:val="20"/>
          <w:color w:val="auto"/>
        </w:rPr>
      </w:pPr>
    </w:p>
    <w:p>
      <w:pPr>
        <w:ind w:right="380"/>
        <w:spacing w:after="0" w:line="314" w:lineRule="auto"/>
        <w:rPr>
          <w:sz w:val="20"/>
          <w:szCs w:val="20"/>
          <w:color w:val="auto"/>
        </w:rPr>
      </w:pPr>
      <w:r>
        <w:rPr>
          <w:rFonts w:ascii="Arial" w:cs="Arial" w:eastAsia="Arial" w:hAnsi="Arial"/>
          <w:sz w:val="13"/>
          <w:szCs w:val="13"/>
          <w:color w:val="auto"/>
        </w:rPr>
        <w:t>Jeffrey A. Joerres, Manpower Inc. Chairman and CEO, said, “2010 was a very strong year for us and the fourth quarter was no different. Our revenue growth in all geographies remains robust and we continue to leverage our office structure to drive profitability. Europe performed exceptionally, as did our IT staffing. We also experienced strong trends in our solutions offerings.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“We move into 2011 with much more confidence, a more complete set of solutions and a stronger organization. We are optimistic for a successful 2011.</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“We are anticipating the first quarter of 2011 diluted earnings per share to be in the range of 26 cents to 34 cents with a negligible impact from currency.”</w:t>
      </w:r>
    </w:p>
    <w:p>
      <w:pPr>
        <w:spacing w:after="0" w:line="194" w:lineRule="exact"/>
        <w:rPr>
          <w:sz w:val="20"/>
          <w:szCs w:val="20"/>
          <w:color w:val="auto"/>
        </w:rPr>
      </w:pPr>
    </w:p>
    <w:p>
      <w:pPr>
        <w:ind w:right="120"/>
        <w:spacing w:after="0" w:line="274" w:lineRule="auto"/>
        <w:rPr>
          <w:sz w:val="20"/>
          <w:szCs w:val="20"/>
          <w:color w:val="auto"/>
        </w:rPr>
      </w:pPr>
      <w:r>
        <w:rPr>
          <w:rFonts w:ascii="Arial" w:cs="Arial" w:eastAsia="Arial" w:hAnsi="Arial"/>
          <w:sz w:val="14"/>
          <w:szCs w:val="14"/>
          <w:color w:val="auto"/>
        </w:rPr>
        <w:t>Net earnings per diluted share for the year ended December 31, 2010 was a loss of $3.26 compared to a loss of 12 cents per diluted share in 2009. Net earnings were a loss of $263.6 million compared to a loss of $9.2 million in the prior year. Revenues for the year were $18.9 billion, an increase of 18 percent from the prior year, or 19 percent in constant currency.</w:t>
      </w:r>
    </w:p>
    <w:p>
      <w:pPr>
        <w:spacing w:after="0" w:line="155"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Earnings per diluted share for the full year 2010 include the fourth quarter goodwill and intangible asset impairment charge and reorganization costs discussed above ($4.98 per diluted share for the year). Additionally, 2010 results were unfavorably impacted by 4 cents per diluted share due to changes in foreign currencies compared to the prior year. Included in the full year 2009 results is a loss on the sale of an equity investment and goodwill impairment charge totaling 85 cents, a charge of 6 cents related to the repayment of our revolver borrowings and extinguishment of an interest rate swap, and reorganization charges totaling 31 cents.</w:t>
      </w:r>
    </w:p>
    <w:p>
      <w:pPr>
        <w:spacing w:after="0" w:line="167"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In conjunction with its fourth quarter earnings release, Manpower will broadcast its conference call live over the Internet on February 2, 2011 at 7:30 a.m. CST (8:30 a.m. EST). Interested parties are invited to listen to the webcast and view the presentation by logging on to http://investor.manpower.com.</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Supplemental financial information referenced in the conference call can be found at http://investor.manpower.com.</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Manpower Inc.</w:t>
      </w:r>
    </w:p>
    <w:p>
      <w:pPr>
        <w:spacing w:after="0" w:line="21" w:lineRule="exact"/>
        <w:rPr>
          <w:sz w:val="20"/>
          <w:szCs w:val="20"/>
          <w:color w:val="auto"/>
        </w:rPr>
      </w:pPr>
    </w:p>
    <w:p>
      <w:pPr>
        <w:ind w:right="40"/>
        <w:spacing w:after="0" w:line="300" w:lineRule="auto"/>
        <w:rPr>
          <w:sz w:val="20"/>
          <w:szCs w:val="20"/>
          <w:color w:val="auto"/>
        </w:rPr>
      </w:pPr>
      <w:r>
        <w:rPr>
          <w:rFonts w:ascii="Arial" w:cs="Arial" w:eastAsia="Arial" w:hAnsi="Arial"/>
          <w:sz w:val="12"/>
          <w:szCs w:val="12"/>
          <w:color w:val="auto"/>
        </w:rPr>
        <w:t xml:space="preserve">Manpower Inc. (NYSE: MAN) is a world leader in innovative workforce solutions; creating and delivering services that enable its clients to win in the changing world of work. With over 62 years’ experience, Manpower offers employers a range of services and solutions for the entire employment and business cycle including permanent, temporary and contract recruitment; employee assessment and selection; training; outplacement; outsourcing and consulting. Manpower’s worldwide network of nearly 4,000 offices in 82 countries and territories is the world’s largest in the industry and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 nd cost-reduction across their total workforce, enabling clients to concentrate on their core business activities. Manpower Inc. operates under five brands: Manpower, Manpower Professional, Elan, Jefferson Wells and Right Management. More information about Manpower Inc. is available at </w:t>
      </w:r>
      <w:r>
        <w:rPr>
          <w:rFonts w:ascii="Arial" w:cs="Arial" w:eastAsia="Arial" w:hAnsi="Arial"/>
          <w:sz w:val="12"/>
          <w:szCs w:val="12"/>
          <w:u w:val="single" w:color="auto"/>
          <w:color w:val="auto"/>
        </w:rPr>
        <w:t>www.manpower.com</w:t>
      </w:r>
      <w:r>
        <w:rPr>
          <w:rFonts w:ascii="Arial" w:cs="Arial" w:eastAsia="Arial" w:hAnsi="Arial"/>
          <w:sz w:val="12"/>
          <w:szCs w:val="12"/>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1"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2009, which information is incorporated herein by reference.</w:t>
      </w:r>
    </w:p>
    <w:p>
      <w:pPr>
        <w:spacing w:after="0" w:line="170"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372745</wp:posOffset>
            </wp:positionV>
            <wp:extent cx="728345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type w:val="continuous"/>
        </w:sectPr>
      </w:pPr>
    </w:p>
    <w:bookmarkStart w:id="5" w:name="page6"/>
    <w:bookmarkEnd w:id="5"/>
    <w:p>
      <w:pPr>
        <w:jc w:val="center"/>
        <w:ind w:right="120"/>
        <w:spacing w:after="0"/>
        <w:rPr>
          <w:sz w:val="20"/>
          <w:szCs w:val="20"/>
          <w:color w:val="auto"/>
        </w:rPr>
      </w:pPr>
      <w:r>
        <w:rPr>
          <w:rFonts w:ascii="Arial" w:cs="Arial" w:eastAsia="Arial" w:hAnsi="Arial"/>
          <w:sz w:val="17"/>
          <w:szCs w:val="17"/>
          <w:color w:val="auto"/>
        </w:rPr>
        <w:t>Manpower Inc.</w:t>
      </w:r>
    </w:p>
    <w:p>
      <w:pPr>
        <w:spacing w:after="0" w:line="1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Results of Operations</w:t>
      </w:r>
    </w:p>
    <w:p>
      <w:pPr>
        <w:spacing w:after="0" w:line="5"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(In millions,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7"/>
          </w:tcPr>
          <w:p>
            <w:pPr>
              <w:jc w:val="center"/>
              <w:ind w:right="480"/>
              <w:spacing w:after="0"/>
              <w:rPr>
                <w:sz w:val="20"/>
                <w:szCs w:val="20"/>
                <w:color w:val="auto"/>
              </w:rPr>
            </w:pPr>
            <w:r>
              <w:rPr>
                <w:rFonts w:ascii="Arial" w:cs="Arial" w:eastAsia="Arial" w:hAnsi="Arial"/>
                <w:sz w:val="14"/>
                <w:szCs w:val="14"/>
                <w:b w:val="1"/>
                <w:bCs w:val="1"/>
                <w:color w:val="auto"/>
                <w:w w:val="90"/>
              </w:rPr>
              <w:t>Three Months Ended December 31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8"/>
        </w:trPr>
        <w:tc>
          <w:tcPr>
            <w:tcW w:w="6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3"/>
              </w:rPr>
              <w:t>% Variance</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2"/>
        </w:trPr>
        <w:tc>
          <w:tcPr>
            <w:tcW w:w="6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center"/>
              <w:ind w:left="210"/>
              <w:spacing w:after="0" w:line="153"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Constant</w:t>
            </w:r>
          </w:p>
        </w:tc>
        <w:tc>
          <w:tcPr>
            <w:tcW w:w="120" w:type="dxa"/>
            <w:vAlign w:val="bottom"/>
          </w:tcPr>
          <w:p>
            <w:pPr>
              <w:spacing w:after="0"/>
              <w:rPr>
                <w:sz w:val="13"/>
                <w:szCs w:val="13"/>
                <w:color w:val="auto"/>
              </w:rPr>
            </w:pPr>
          </w:p>
        </w:tc>
      </w:tr>
      <w:tr>
        <w:trPr>
          <w:trHeight w:val="183"/>
        </w:trPr>
        <w:tc>
          <w:tcPr>
            <w:tcW w:w="60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ind w:left="210"/>
              <w:spacing w:after="0"/>
              <w:rPr>
                <w:sz w:val="20"/>
                <w:szCs w:val="20"/>
                <w:color w:val="auto"/>
              </w:rPr>
            </w:pPr>
            <w:r>
              <w:rPr>
                <w:rFonts w:ascii="Arial" w:cs="Arial" w:eastAsia="Arial" w:hAnsi="Arial"/>
                <w:sz w:val="14"/>
                <w:szCs w:val="14"/>
                <w:b w:val="1"/>
                <w:bCs w:val="1"/>
                <w:color w:val="auto"/>
                <w:w w:val="87"/>
              </w:rPr>
              <w:t>Reported</w:t>
            </w: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5"/>
                <w:szCs w:val="15"/>
                <w:color w:val="auto"/>
              </w:rPr>
            </w:pPr>
          </w:p>
        </w:tc>
      </w:tr>
      <w:tr>
        <w:trPr>
          <w:trHeight w:val="167"/>
        </w:trPr>
        <w:tc>
          <w:tcPr>
            <w:tcW w:w="6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gridSpan w:val="3"/>
          </w:tcPr>
          <w:p>
            <w:pPr>
              <w:jc w:val="center"/>
              <w:ind w:right="390"/>
              <w:spacing w:after="0"/>
              <w:rPr>
                <w:sz w:val="20"/>
                <w:szCs w:val="20"/>
                <w:color w:val="auto"/>
              </w:rPr>
            </w:pPr>
            <w:r>
              <w:rPr>
                <w:rFonts w:ascii="Arial" w:cs="Arial" w:eastAsia="Arial" w:hAnsi="Arial"/>
                <w:sz w:val="14"/>
                <w:szCs w:val="14"/>
                <w:color w:val="auto"/>
                <w:w w:val="90"/>
              </w:rPr>
              <w:t>(Unaudited)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Revenues from services (a)</w:t>
            </w:r>
          </w:p>
        </w:tc>
        <w:tc>
          <w:tcPr>
            <w:tcW w:w="720" w:type="dxa"/>
            <w:vAlign w:val="bottom"/>
            <w:shd w:val="clear" w:color="auto" w:fill="CCEEFF"/>
          </w:tcPr>
          <w:p>
            <w:pPr>
              <w:jc w:val="right"/>
              <w:ind w:right="570"/>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5,209.6</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57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4,412.6</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5"/>
              </w:rPr>
              <w:t>18.1%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w w:val="85"/>
              </w:rPr>
              <w:t>22.1%</w:t>
            </w:r>
          </w:p>
        </w:tc>
      </w:tr>
      <w:tr>
        <w:trPr>
          <w:trHeight w:val="168"/>
        </w:trPr>
        <w:tc>
          <w:tcPr>
            <w:tcW w:w="6080" w:type="dxa"/>
            <w:vAlign w:val="bottom"/>
          </w:tcPr>
          <w:p>
            <w:pPr>
              <w:spacing w:after="0"/>
              <w:rPr>
                <w:sz w:val="20"/>
                <w:szCs w:val="20"/>
                <w:color w:val="auto"/>
              </w:rPr>
            </w:pPr>
            <w:r>
              <w:rPr>
                <w:rFonts w:ascii="Arial" w:cs="Arial" w:eastAsia="Arial" w:hAnsi="Arial"/>
                <w:sz w:val="14"/>
                <w:szCs w:val="14"/>
                <w:color w:val="auto"/>
              </w:rPr>
              <w:t>Cost of services</w:t>
            </w: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4,303.9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3,656.5</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w w:val="95"/>
              </w:rPr>
              <w:t>17.7%</w:t>
            </w:r>
          </w:p>
        </w:tc>
        <w:tc>
          <w:tcPr>
            <w:tcW w:w="240" w:type="dxa"/>
            <w:vAlign w:val="bottom"/>
          </w:tcPr>
          <w:p>
            <w:pPr>
              <w:spacing w:after="0"/>
              <w:rPr>
                <w:sz w:val="14"/>
                <w:szCs w:val="14"/>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w w:val="85"/>
              </w:rPr>
              <w:t>21.8%</w:t>
            </w:r>
          </w:p>
        </w:tc>
      </w:tr>
      <w:tr>
        <w:trPr>
          <w:trHeight w:val="167"/>
        </w:trPr>
        <w:tc>
          <w:tcPr>
            <w:tcW w:w="60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Gross profit</w:t>
            </w: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756.1</w:t>
            </w:r>
          </w:p>
        </w:tc>
        <w:tc>
          <w:tcPr>
            <w:tcW w:w="8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5"/>
              </w:rPr>
              <w:t>19.8%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w w:val="85"/>
              </w:rPr>
              <w:t>23.5%</w:t>
            </w:r>
          </w:p>
        </w:tc>
      </w:tr>
      <w:tr>
        <w:trPr>
          <w:trHeight w:val="167"/>
        </w:trPr>
        <w:tc>
          <w:tcPr>
            <w:tcW w:w="6080" w:type="dxa"/>
            <w:vAlign w:val="bottom"/>
          </w:tcPr>
          <w:p>
            <w:pPr>
              <w:spacing w:after="0"/>
              <w:rPr>
                <w:sz w:val="20"/>
                <w:szCs w:val="20"/>
                <w:color w:val="auto"/>
              </w:rPr>
            </w:pPr>
            <w:r>
              <w:rPr>
                <w:rFonts w:ascii="Arial" w:cs="Arial" w:eastAsia="Arial" w:hAnsi="Arial"/>
                <w:sz w:val="14"/>
                <w:szCs w:val="14"/>
                <w:color w:val="auto"/>
              </w:rPr>
              <w:t>Selling and administrative expenses, excluding impairment charges</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819.5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713.3</w:t>
            </w:r>
          </w:p>
        </w:tc>
        <w:tc>
          <w:tcPr>
            <w:tcW w:w="8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w w:val="95"/>
              </w:rPr>
              <w:t>14.9%</w:t>
            </w:r>
          </w:p>
        </w:tc>
        <w:tc>
          <w:tcPr>
            <w:tcW w:w="240" w:type="dxa"/>
            <w:vAlign w:val="bottom"/>
          </w:tcPr>
          <w:p>
            <w:pPr>
              <w:spacing w:after="0"/>
              <w:rPr>
                <w:sz w:val="14"/>
                <w:szCs w:val="14"/>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w w:val="85"/>
              </w:rPr>
              <w:t>18.1%</w:t>
            </w:r>
          </w:p>
        </w:tc>
      </w:tr>
      <w:tr>
        <w:trPr>
          <w:trHeight w:val="168"/>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Goodwill and intangible asset impairment charges (b)</w:t>
            </w:r>
          </w:p>
        </w:tc>
        <w:tc>
          <w:tcPr>
            <w:tcW w:w="7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428.8</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N/A</w:t>
            </w:r>
          </w:p>
        </w:tc>
        <w:tc>
          <w:tcPr>
            <w:tcW w:w="10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r>
      <w:tr>
        <w:trPr>
          <w:trHeight w:val="167"/>
        </w:trPr>
        <w:tc>
          <w:tcPr>
            <w:tcW w:w="6080" w:type="dxa"/>
            <w:vAlign w:val="bottom"/>
          </w:tcPr>
          <w:p>
            <w:pPr>
              <w:ind w:left="520"/>
              <w:spacing w:after="0"/>
              <w:rPr>
                <w:sz w:val="20"/>
                <w:szCs w:val="20"/>
                <w:color w:val="auto"/>
              </w:rPr>
            </w:pPr>
            <w:r>
              <w:rPr>
                <w:rFonts w:ascii="Arial" w:cs="Arial" w:eastAsia="Arial" w:hAnsi="Arial"/>
                <w:sz w:val="14"/>
                <w:szCs w:val="14"/>
                <w:color w:val="auto"/>
              </w:rPr>
              <w:t>Selling and administrative expenses</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9"/>
              </w:rPr>
              <w:t>1,248.3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713.3</w:t>
            </w:r>
          </w:p>
        </w:tc>
        <w:tc>
          <w:tcPr>
            <w:tcW w:w="8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w w:val="95"/>
              </w:rPr>
              <w:t>75.0%</w:t>
            </w:r>
          </w:p>
        </w:tc>
        <w:tc>
          <w:tcPr>
            <w:tcW w:w="240" w:type="dxa"/>
            <w:vAlign w:val="bottom"/>
          </w:tcPr>
          <w:p>
            <w:pPr>
              <w:spacing w:after="0"/>
              <w:rPr>
                <w:sz w:val="14"/>
                <w:szCs w:val="14"/>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w w:val="85"/>
              </w:rPr>
              <w:t>78.2%</w:t>
            </w:r>
          </w:p>
        </w:tc>
      </w:tr>
      <w:tr>
        <w:trPr>
          <w:trHeight w:val="167"/>
        </w:trPr>
        <w:tc>
          <w:tcPr>
            <w:tcW w:w="60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Operating (loss) profit</w:t>
            </w:r>
          </w:p>
        </w:tc>
        <w:tc>
          <w:tcPr>
            <w:tcW w:w="7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(342.6)</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42.8</w:t>
            </w:r>
          </w:p>
        </w:tc>
        <w:tc>
          <w:tcPr>
            <w:tcW w:w="8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r>
      <w:tr>
        <w:trPr>
          <w:trHeight w:val="168"/>
        </w:trPr>
        <w:tc>
          <w:tcPr>
            <w:tcW w:w="6080" w:type="dxa"/>
            <w:vAlign w:val="bottom"/>
          </w:tcPr>
          <w:p>
            <w:pPr>
              <w:spacing w:after="0"/>
              <w:rPr>
                <w:sz w:val="20"/>
                <w:szCs w:val="20"/>
                <w:color w:val="auto"/>
              </w:rPr>
            </w:pPr>
            <w:r>
              <w:rPr>
                <w:rFonts w:ascii="Arial" w:cs="Arial" w:eastAsia="Arial" w:hAnsi="Arial"/>
                <w:sz w:val="14"/>
                <w:szCs w:val="14"/>
                <w:color w:val="auto"/>
              </w:rPr>
              <w:t>Interest and other expenses</w:t>
            </w: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-20.7%</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60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(Loss) earnings before income taxes</w:t>
            </w:r>
          </w:p>
        </w:tc>
        <w:tc>
          <w:tcPr>
            <w:tcW w:w="7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(352.6)</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30.2</w:t>
            </w:r>
          </w:p>
        </w:tc>
        <w:tc>
          <w:tcPr>
            <w:tcW w:w="8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r>
      <w:tr>
        <w:trPr>
          <w:trHeight w:val="167"/>
        </w:trPr>
        <w:tc>
          <w:tcPr>
            <w:tcW w:w="608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7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1.1</w:t>
            </w:r>
          </w:p>
        </w:tc>
        <w:tc>
          <w:tcPr>
            <w:tcW w:w="86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color w:val="auto"/>
              </w:rPr>
              <w:t>N/A</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
        </w:trPr>
        <w:tc>
          <w:tcPr>
            <w:tcW w:w="6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7"/>
        </w:trPr>
        <w:tc>
          <w:tcPr>
            <w:tcW w:w="60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(loss) earnings</w:t>
            </w:r>
          </w:p>
        </w:tc>
        <w:tc>
          <w:tcPr>
            <w:tcW w:w="720" w:type="dxa"/>
            <w:vAlign w:val="bottom"/>
            <w:shd w:val="clear" w:color="auto" w:fill="CCEEFF"/>
          </w:tcPr>
          <w:p>
            <w:pPr>
              <w:jc w:val="right"/>
              <w:ind w:right="570"/>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(350.4)</w:t>
            </w:r>
          </w:p>
        </w:tc>
        <w:tc>
          <w:tcPr>
            <w:tcW w:w="800" w:type="dxa"/>
            <w:vAlign w:val="bottom"/>
            <w:gridSpan w:val="2"/>
            <w:shd w:val="clear" w:color="auto" w:fill="CCEEFF"/>
          </w:tcPr>
          <w:p>
            <w:pPr>
              <w:jc w:val="right"/>
              <w:ind w:right="57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29.1</w:t>
            </w:r>
          </w:p>
        </w:tc>
        <w:tc>
          <w:tcPr>
            <w:tcW w:w="8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Arial" w:cs="Arial" w:eastAsia="Arial" w:hAnsi="Arial"/>
                <w:sz w:val="14"/>
                <w:szCs w:val="14"/>
                <w:color w:val="auto"/>
              </w:rPr>
              <w:t>Net (loss) earnings per share - basic</w:t>
            </w:r>
          </w:p>
        </w:tc>
        <w:tc>
          <w:tcPr>
            <w:tcW w:w="720" w:type="dxa"/>
            <w:vAlign w:val="bottom"/>
          </w:tcPr>
          <w:p>
            <w:pPr>
              <w:jc w:val="right"/>
              <w:ind w:right="57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(4.29)</w:t>
            </w:r>
          </w:p>
        </w:tc>
        <w:tc>
          <w:tcPr>
            <w:tcW w:w="800" w:type="dxa"/>
            <w:vAlign w:val="bottom"/>
            <w:gridSpan w:val="2"/>
          </w:tcPr>
          <w:p>
            <w:pPr>
              <w:jc w:val="right"/>
              <w:ind w:right="57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0.37</w:t>
            </w:r>
          </w:p>
        </w:tc>
        <w:tc>
          <w:tcPr>
            <w:tcW w:w="860" w:type="dxa"/>
            <w:vAlign w:val="bottom"/>
          </w:tcPr>
          <w:p>
            <w:pPr>
              <w:spacing w:after="0"/>
              <w:rPr>
                <w:sz w:val="12"/>
                <w:szCs w:val="12"/>
                <w:color w:val="auto"/>
              </w:rPr>
            </w:pPr>
          </w:p>
        </w:tc>
        <w:tc>
          <w:tcPr>
            <w:tcW w:w="7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N/A</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6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earnings per share - diluted</w:t>
            </w:r>
          </w:p>
        </w:tc>
        <w:tc>
          <w:tcPr>
            <w:tcW w:w="720" w:type="dxa"/>
            <w:vAlign w:val="bottom"/>
            <w:shd w:val="clear" w:color="auto" w:fill="CCEEFF"/>
          </w:tcPr>
          <w:p>
            <w:pPr>
              <w:jc w:val="right"/>
              <w:ind w:right="57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(4.29)</w:t>
            </w:r>
          </w:p>
        </w:tc>
        <w:tc>
          <w:tcPr>
            <w:tcW w:w="800" w:type="dxa"/>
            <w:vAlign w:val="bottom"/>
            <w:gridSpan w:val="2"/>
            <w:shd w:val="clear" w:color="auto" w:fill="CCEEFF"/>
          </w:tcPr>
          <w:p>
            <w:pPr>
              <w:jc w:val="right"/>
              <w:ind w:right="57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0.37</w:t>
            </w:r>
          </w:p>
        </w:tc>
        <w:tc>
          <w:tcPr>
            <w:tcW w:w="8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N/A</w:t>
            </w:r>
          </w:p>
        </w:tc>
      </w:tr>
      <w:tr>
        <w:trPr>
          <w:trHeight w:val="149"/>
        </w:trPr>
        <w:tc>
          <w:tcPr>
            <w:tcW w:w="6080" w:type="dxa"/>
            <w:vAlign w:val="bottom"/>
            <w:tcBorders>
              <w:top w:val="single" w:sz="8" w:color="CCEEFF"/>
            </w:tcBorders>
          </w:tcPr>
          <w:p>
            <w:pPr>
              <w:spacing w:after="0" w:line="149" w:lineRule="exact"/>
              <w:rPr>
                <w:sz w:val="20"/>
                <w:szCs w:val="20"/>
                <w:color w:val="auto"/>
              </w:rPr>
            </w:pPr>
            <w:r>
              <w:rPr>
                <w:rFonts w:ascii="Arial" w:cs="Arial" w:eastAsia="Arial" w:hAnsi="Arial"/>
                <w:sz w:val="14"/>
                <w:szCs w:val="14"/>
                <w:color w:val="auto"/>
              </w:rPr>
              <w:t>Weighted average shares - basic</w:t>
            </w:r>
          </w:p>
        </w:tc>
        <w:tc>
          <w:tcPr>
            <w:tcW w:w="7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81.6</w:t>
            </w: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78.5</w:t>
            </w:r>
          </w:p>
        </w:tc>
        <w:tc>
          <w:tcPr>
            <w:tcW w:w="22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gridSpan w:val="2"/>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24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20"/>
        </w:trPr>
        <w:tc>
          <w:tcPr>
            <w:tcW w:w="6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Weighted average shares - diluted</w:t>
            </w:r>
          </w:p>
        </w:tc>
        <w:tc>
          <w:tcPr>
            <w:tcW w:w="7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81.6</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79.7</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56" w:lineRule="exact"/>
        <w:rPr>
          <w:sz w:val="20"/>
          <w:szCs w:val="20"/>
          <w:color w:val="auto"/>
        </w:rPr>
      </w:pPr>
    </w:p>
    <w:p>
      <w:pPr>
        <w:ind w:right="620" w:firstLine="4"/>
        <w:spacing w:after="0" w:line="360" w:lineRule="auto"/>
        <w:tabs>
          <w:tab w:leader="none" w:pos="18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Revenues from services include fees received from our franchise offices of $6.4 million and $5.7 million for the three months ended December 31, 2010 and 2009, respectively. These fees are primarily based on revenues generated by the franchise offices, which were $263.5 million and $213.4 million for the three months ended December 31, 2010 and 2009, respectively.</w:t>
      </w:r>
    </w:p>
    <w:p>
      <w:pPr>
        <w:spacing w:after="0" w:line="87" w:lineRule="exact"/>
        <w:rPr>
          <w:rFonts w:ascii="Arial" w:cs="Arial" w:eastAsia="Arial" w:hAnsi="Arial"/>
          <w:sz w:val="12"/>
          <w:szCs w:val="12"/>
          <w:color w:val="auto"/>
        </w:rPr>
      </w:pPr>
    </w:p>
    <w:p>
      <w:pPr>
        <w:ind w:right="220" w:firstLine="4"/>
        <w:spacing w:after="0" w:line="274" w:lineRule="auto"/>
        <w:tabs>
          <w:tab w:leader="none" w:pos="195"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goodwill and intangible asset impairment charges for the three months ended December 31, 2010 relate to our investments in Right Management and Jefferson Wells. The impact on net earnings is $384.3 million, or $4.70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728345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11460"/>
          </w:cols>
          <w:pgMar w:left="220" w:top="499" w:right="219" w:bottom="1440" w:gutter="0" w:footer="0" w:header="0"/>
        </w:sectPr>
      </w:pPr>
    </w:p>
    <w:bookmarkStart w:id="6" w:name="page7"/>
    <w:bookmarkEnd w:id="6"/>
    <w:p>
      <w:pPr>
        <w:jc w:val="center"/>
        <w:ind w:right="120"/>
        <w:spacing w:after="0"/>
        <w:rPr>
          <w:sz w:val="20"/>
          <w:szCs w:val="20"/>
          <w:color w:val="auto"/>
        </w:rPr>
      </w:pPr>
      <w:r>
        <w:rPr>
          <w:rFonts w:ascii="Arial" w:cs="Arial" w:eastAsia="Arial" w:hAnsi="Arial"/>
          <w:sz w:val="17"/>
          <w:szCs w:val="17"/>
          <w:color w:val="auto"/>
        </w:rPr>
        <w:t>Manpower Inc.</w:t>
      </w:r>
    </w:p>
    <w:p>
      <w:pPr>
        <w:spacing w:after="0" w:line="1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Operating Unit Results</w:t>
      </w:r>
    </w:p>
    <w:p>
      <w:pPr>
        <w:spacing w:after="0" w:line="5"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14"/>
                <w:szCs w:val="14"/>
                <w:b w:val="1"/>
                <w:bCs w:val="1"/>
                <w:color w:val="auto"/>
                <w:w w:val="90"/>
              </w:rPr>
              <w:t>Three Months Ended December 31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8"/>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3"/>
              </w:rPr>
              <w:t>% Variance</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2"/>
        </w:trPr>
        <w:tc>
          <w:tcPr>
            <w:tcW w:w="6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230"/>
              <w:spacing w:after="0" w:line="153" w:lineRule="exact"/>
              <w:rPr>
                <w:sz w:val="20"/>
                <w:szCs w:val="20"/>
                <w:color w:val="auto"/>
              </w:rPr>
            </w:pPr>
            <w:r>
              <w:rPr>
                <w:rFonts w:ascii="Arial" w:cs="Arial" w:eastAsia="Arial" w:hAnsi="Arial"/>
                <w:sz w:val="14"/>
                <w:szCs w:val="14"/>
                <w:b w:val="1"/>
                <w:bCs w:val="1"/>
                <w:color w:val="auto"/>
                <w:w w:val="92"/>
              </w:rPr>
              <w:t>Constant</w:t>
            </w:r>
          </w:p>
        </w:tc>
        <w:tc>
          <w:tcPr>
            <w:tcW w:w="120" w:type="dxa"/>
            <w:vAlign w:val="bottom"/>
          </w:tcPr>
          <w:p>
            <w:pPr>
              <w:spacing w:after="0"/>
              <w:rPr>
                <w:sz w:val="13"/>
                <w:szCs w:val="13"/>
                <w:color w:val="auto"/>
              </w:rPr>
            </w:pPr>
          </w:p>
        </w:tc>
      </w:tr>
      <w:tr>
        <w:trPr>
          <w:trHeight w:val="183"/>
        </w:trPr>
        <w:tc>
          <w:tcPr>
            <w:tcW w:w="6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Reported</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5"/>
                <w:szCs w:val="15"/>
                <w:color w:val="auto"/>
              </w:rPr>
            </w:pPr>
          </w:p>
        </w:tc>
      </w:tr>
      <w:tr>
        <w:trPr>
          <w:trHeight w:val="167"/>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left="650"/>
              <w:spacing w:after="0"/>
              <w:rPr>
                <w:sz w:val="20"/>
                <w:szCs w:val="20"/>
                <w:color w:val="auto"/>
              </w:rPr>
            </w:pPr>
            <w:r>
              <w:rPr>
                <w:rFonts w:ascii="Arial" w:cs="Arial" w:eastAsia="Arial" w:hAnsi="Arial"/>
                <w:sz w:val="14"/>
                <w:szCs w:val="14"/>
                <w:color w:val="auto"/>
                <w:w w:val="90"/>
              </w:rPr>
              <w:t>(Unaudited)</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Revenues from Services: (a)</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6080" w:type="dxa"/>
            <w:vAlign w:val="bottom"/>
          </w:tcPr>
          <w:p>
            <w:pPr>
              <w:ind w:left="60"/>
              <w:spacing w:after="0"/>
              <w:rPr>
                <w:sz w:val="20"/>
                <w:szCs w:val="20"/>
                <w:color w:val="auto"/>
              </w:rPr>
            </w:pPr>
            <w:r>
              <w:rPr>
                <w:rFonts w:ascii="Arial" w:cs="Arial" w:eastAsia="Arial" w:hAnsi="Arial"/>
                <w:sz w:val="14"/>
                <w:szCs w:val="14"/>
                <w:color w:val="auto"/>
              </w:rPr>
              <w:t>Americas: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6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United States (b)</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777.1</w:t>
            </w:r>
          </w:p>
        </w:tc>
        <w:tc>
          <w:tcPr>
            <w:tcW w:w="1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479.0</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62.2%</w:t>
            </w:r>
          </w:p>
        </w:tc>
      </w:tr>
      <w:tr>
        <w:trPr>
          <w:trHeight w:val="168"/>
        </w:trPr>
        <w:tc>
          <w:tcPr>
            <w:tcW w:w="6080" w:type="dxa"/>
            <w:vAlign w:val="bottom"/>
          </w:tcPr>
          <w:p>
            <w:pPr>
              <w:ind w:left="220"/>
              <w:spacing w:after="0"/>
              <w:rPr>
                <w:sz w:val="20"/>
                <w:szCs w:val="20"/>
                <w:color w:val="auto"/>
              </w:rPr>
            </w:pPr>
            <w:r>
              <w:rPr>
                <w:rFonts w:ascii="Arial" w:cs="Arial" w:eastAsia="Arial" w:hAnsi="Arial"/>
                <w:sz w:val="14"/>
                <w:szCs w:val="14"/>
                <w:color w:val="auto"/>
              </w:rPr>
              <w:t>Other Americas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22.5%</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19.5%</w:t>
            </w:r>
          </w:p>
        </w:tc>
      </w:tr>
      <w:tr>
        <w:trPr>
          <w:trHeight w:val="168"/>
        </w:trPr>
        <w:tc>
          <w:tcPr>
            <w:tcW w:w="6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762.9</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46.3%</w:t>
            </w:r>
          </w:p>
        </w:tc>
      </w:tr>
      <w:tr>
        <w:trPr>
          <w:trHeight w:val="167"/>
        </w:trPr>
        <w:tc>
          <w:tcPr>
            <w:tcW w:w="608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67"/>
        </w:trPr>
        <w:tc>
          <w:tcPr>
            <w:tcW w:w="6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France</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w:t>
            </w:r>
          </w:p>
        </w:tc>
      </w:tr>
      <w:tr>
        <w:trPr>
          <w:trHeight w:val="167"/>
        </w:trPr>
        <w:tc>
          <w:tcPr>
            <w:tcW w:w="6080" w:type="dxa"/>
            <w:vAlign w:val="bottom"/>
          </w:tcPr>
          <w:p>
            <w:pPr>
              <w:ind w:left="80"/>
              <w:spacing w:after="0"/>
              <w:rPr>
                <w:sz w:val="20"/>
                <w:szCs w:val="20"/>
                <w:color w:val="auto"/>
              </w:rPr>
            </w:pPr>
            <w:r>
              <w:rPr>
                <w:rFonts w:ascii="Arial" w:cs="Arial" w:eastAsia="Arial" w:hAnsi="Arial"/>
                <w:sz w:val="14"/>
                <w:szCs w:val="14"/>
                <w:color w:val="auto"/>
              </w:rPr>
              <w:t>EMEA:</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6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Italy</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269.3</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168"/>
        </w:trPr>
        <w:tc>
          <w:tcPr>
            <w:tcW w:w="6080" w:type="dxa"/>
            <w:vAlign w:val="bottom"/>
          </w:tcPr>
          <w:p>
            <w:pPr>
              <w:ind w:left="220"/>
              <w:spacing w:after="0"/>
              <w:rPr>
                <w:sz w:val="20"/>
                <w:szCs w:val="20"/>
                <w:color w:val="auto"/>
              </w:rPr>
            </w:pPr>
            <w:r>
              <w:rPr>
                <w:rFonts w:ascii="Arial" w:cs="Arial" w:eastAsia="Arial" w:hAnsi="Arial"/>
                <w:sz w:val="14"/>
                <w:szCs w:val="14"/>
                <w:color w:val="auto"/>
              </w:rPr>
              <w:t>Other EMEA</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13.8%</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19.2%</w:t>
            </w:r>
          </w:p>
        </w:tc>
      </w:tr>
      <w:tr>
        <w:trPr>
          <w:trHeight w:val="168"/>
        </w:trPr>
        <w:tc>
          <w:tcPr>
            <w:tcW w:w="60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1,975.8</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1,747.0</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13.1%</w:t>
            </w:r>
          </w:p>
        </w:tc>
        <w:tc>
          <w:tcPr>
            <w:tcW w:w="2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19.1%</w:t>
            </w:r>
          </w:p>
        </w:tc>
      </w:tr>
      <w:tr>
        <w:trPr>
          <w:trHeight w:val="167"/>
        </w:trPr>
        <w:tc>
          <w:tcPr>
            <w:tcW w:w="6080" w:type="dxa"/>
            <w:vAlign w:val="bottom"/>
          </w:tcPr>
          <w:p>
            <w:pPr>
              <w:ind w:left="60"/>
              <w:spacing w:after="0"/>
              <w:rPr>
                <w:sz w:val="20"/>
                <w:szCs w:val="20"/>
                <w:color w:val="auto"/>
              </w:rPr>
            </w:pPr>
            <w:r>
              <w:rPr>
                <w:rFonts w:ascii="Arial" w:cs="Arial" w:eastAsia="Arial" w:hAnsi="Arial"/>
                <w:sz w:val="14"/>
                <w:szCs w:val="14"/>
                <w:color w:val="auto"/>
              </w:rPr>
              <w:t>Asia Pacific</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588.3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468.7</w:t>
            </w:r>
          </w:p>
        </w:tc>
        <w:tc>
          <w:tcPr>
            <w:tcW w:w="2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25.5%</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16.5%</w:t>
            </w:r>
          </w:p>
        </w:tc>
      </w:tr>
      <w:tr>
        <w:trPr>
          <w:trHeight w:val="168"/>
        </w:trPr>
        <w:tc>
          <w:tcPr>
            <w:tcW w:w="6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Right Management</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129.6</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-32.9%</w:t>
            </w:r>
          </w:p>
        </w:tc>
        <w:tc>
          <w:tcPr>
            <w:tcW w:w="2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-32.4%</w:t>
            </w:r>
          </w:p>
        </w:tc>
      </w:tr>
      <w:tr>
        <w:trPr>
          <w:trHeight w:val="167"/>
        </w:trPr>
        <w:tc>
          <w:tcPr>
            <w:tcW w:w="6080" w:type="dxa"/>
            <w:vAlign w:val="bottom"/>
          </w:tcPr>
          <w:p>
            <w:pPr>
              <w:spacing w:after="0"/>
              <w:rPr>
                <w:sz w:val="14"/>
                <w:szCs w:val="14"/>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5,209.6</w:t>
            </w:r>
          </w:p>
        </w:tc>
        <w:tc>
          <w:tcPr>
            <w:tcW w:w="140" w:type="dxa"/>
            <w:vAlign w:val="bottom"/>
          </w:tcPr>
          <w:p>
            <w:pPr>
              <w:spacing w:after="0"/>
              <w:rPr>
                <w:sz w:val="14"/>
                <w:szCs w:val="1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4,412.6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18.1%</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22.1%</w:t>
            </w:r>
          </w:p>
        </w:tc>
      </w:tr>
      <w:tr>
        <w:trPr>
          <w:trHeight w:val="20"/>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9"/>
        </w:trPr>
        <w:tc>
          <w:tcPr>
            <w:tcW w:w="6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7"/>
        </w:trPr>
        <w:tc>
          <w:tcPr>
            <w:tcW w:w="6080" w:type="dxa"/>
            <w:vAlign w:val="bottom"/>
          </w:tcPr>
          <w:p>
            <w:pPr>
              <w:spacing w:after="0"/>
              <w:rPr>
                <w:sz w:val="20"/>
                <w:szCs w:val="20"/>
                <w:color w:val="auto"/>
              </w:rPr>
            </w:pPr>
            <w:r>
              <w:rPr>
                <w:rFonts w:ascii="Arial" w:cs="Arial" w:eastAsia="Arial" w:hAnsi="Arial"/>
                <w:sz w:val="14"/>
                <w:szCs w:val="14"/>
                <w:color w:val="auto"/>
              </w:rPr>
              <w:t>Operating Unit Profit (Loss) (c):</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6080" w:type="dxa"/>
            <w:vAlign w:val="bottom"/>
            <w:shd w:val="clear" w:color="auto" w:fill="CCEEFF"/>
          </w:tcPr>
          <w:p>
            <w:pPr>
              <w:ind w:left="60"/>
              <w:spacing w:after="0"/>
              <w:rPr>
                <w:sz w:val="20"/>
                <w:szCs w:val="20"/>
                <w:color w:val="auto"/>
              </w:rPr>
            </w:pPr>
            <w:r>
              <w:rPr>
                <w:rFonts w:ascii="Arial" w:cs="Arial" w:eastAsia="Arial" w:hAnsi="Arial"/>
                <w:sz w:val="14"/>
                <w:szCs w:val="14"/>
                <w:color w:val="auto"/>
              </w:rPr>
              <w:t>Americas: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6080" w:type="dxa"/>
            <w:vAlign w:val="bottom"/>
          </w:tcPr>
          <w:p>
            <w:pPr>
              <w:ind w:left="220"/>
              <w:spacing w:after="0"/>
              <w:rPr>
                <w:sz w:val="20"/>
                <w:szCs w:val="20"/>
                <w:color w:val="auto"/>
              </w:rPr>
            </w:pPr>
            <w:r>
              <w:rPr>
                <w:rFonts w:ascii="Arial" w:cs="Arial" w:eastAsia="Arial" w:hAnsi="Arial"/>
                <w:sz w:val="14"/>
                <w:szCs w:val="14"/>
                <w:color w:val="auto"/>
              </w:rPr>
              <w:t>United States (b)</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14.1</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(7.7)</w:t>
            </w:r>
          </w:p>
        </w:tc>
        <w:tc>
          <w:tcPr>
            <w:tcW w:w="260" w:type="dxa"/>
            <w:vAlign w:val="bottom"/>
          </w:tcPr>
          <w:p>
            <w:pPr>
              <w:spacing w:after="0"/>
              <w:rPr>
                <w:sz w:val="14"/>
                <w:szCs w:val="14"/>
                <w:color w:val="auto"/>
              </w:rPr>
            </w:pPr>
          </w:p>
        </w:tc>
        <w:tc>
          <w:tcPr>
            <w:tcW w:w="1360" w:type="dxa"/>
            <w:vAlign w:val="bottom"/>
            <w:gridSpan w:val="3"/>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168"/>
        </w:trPr>
        <w:tc>
          <w:tcPr>
            <w:tcW w:w="6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Americas</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67.9%</w:t>
            </w:r>
          </w:p>
        </w:tc>
        <w:tc>
          <w:tcPr>
            <w:tcW w:w="2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63.9%</w:t>
            </w:r>
          </w:p>
        </w:tc>
      </w:tr>
      <w:tr>
        <w:trPr>
          <w:trHeight w:val="168"/>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4"/>
                <w:szCs w:val="14"/>
                <w:color w:val="auto"/>
              </w:rPr>
            </w:pPr>
          </w:p>
        </w:tc>
        <w:tc>
          <w:tcPr>
            <w:tcW w:w="1360" w:type="dxa"/>
            <w:vAlign w:val="bottom"/>
            <w:gridSpan w:val="3"/>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167"/>
        </w:trPr>
        <w:tc>
          <w:tcPr>
            <w:tcW w:w="60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6080" w:type="dxa"/>
            <w:vAlign w:val="bottom"/>
          </w:tcPr>
          <w:p>
            <w:pPr>
              <w:ind w:left="80"/>
              <w:spacing w:after="0"/>
              <w:rPr>
                <w:sz w:val="20"/>
                <w:szCs w:val="20"/>
                <w:color w:val="auto"/>
              </w:rPr>
            </w:pPr>
            <w:r>
              <w:rPr>
                <w:rFonts w:ascii="Arial" w:cs="Arial" w:eastAsia="Arial" w:hAnsi="Arial"/>
                <w:sz w:val="14"/>
                <w:szCs w:val="14"/>
                <w:color w:val="auto"/>
              </w:rPr>
              <w:t>France</w:t>
            </w:r>
          </w:p>
        </w:tc>
        <w:tc>
          <w:tcPr>
            <w:tcW w:w="2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5.0</w:t>
            </w:r>
          </w:p>
        </w:tc>
        <w:tc>
          <w:tcPr>
            <w:tcW w:w="2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138.0%</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156.7%</w:t>
            </w:r>
          </w:p>
        </w:tc>
      </w:tr>
      <w:tr>
        <w:trPr>
          <w:trHeight w:val="167"/>
        </w:trPr>
        <w:tc>
          <w:tcPr>
            <w:tcW w:w="6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EMEA:</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6080" w:type="dxa"/>
            <w:vAlign w:val="bottom"/>
          </w:tcPr>
          <w:p>
            <w:pPr>
              <w:ind w:left="220"/>
              <w:spacing w:after="0"/>
              <w:rPr>
                <w:sz w:val="20"/>
                <w:szCs w:val="20"/>
                <w:color w:val="auto"/>
              </w:rPr>
            </w:pPr>
            <w:r>
              <w:rPr>
                <w:rFonts w:ascii="Arial" w:cs="Arial" w:eastAsia="Arial" w:hAnsi="Arial"/>
                <w:sz w:val="14"/>
                <w:szCs w:val="14"/>
                <w:color w:val="auto"/>
              </w:rPr>
              <w:t>Italy</w:t>
            </w:r>
          </w:p>
        </w:tc>
        <w:tc>
          <w:tcPr>
            <w:tcW w:w="2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43.2%</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55.6%</w:t>
            </w:r>
          </w:p>
        </w:tc>
      </w:tr>
      <w:tr>
        <w:trPr>
          <w:trHeight w:val="168"/>
        </w:trPr>
        <w:tc>
          <w:tcPr>
            <w:tcW w:w="6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EMEA</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146.9%</w:t>
            </w:r>
          </w:p>
        </w:tc>
        <w:tc>
          <w:tcPr>
            <w:tcW w:w="2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157.6%</w:t>
            </w:r>
          </w:p>
        </w:tc>
      </w:tr>
      <w:tr>
        <w:trPr>
          <w:trHeight w:val="168"/>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116.5%</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127.6%</w:t>
            </w:r>
          </w:p>
        </w:tc>
      </w:tr>
      <w:tr>
        <w:trPr>
          <w:trHeight w:val="167"/>
        </w:trPr>
        <w:tc>
          <w:tcPr>
            <w:tcW w:w="6080" w:type="dxa"/>
            <w:vAlign w:val="bottom"/>
            <w:shd w:val="clear" w:color="auto" w:fill="CCEEFF"/>
          </w:tcPr>
          <w:p>
            <w:pPr>
              <w:ind w:left="60"/>
              <w:spacing w:after="0"/>
              <w:rPr>
                <w:sz w:val="20"/>
                <w:szCs w:val="20"/>
                <w:color w:val="auto"/>
              </w:rPr>
            </w:pPr>
            <w:r>
              <w:rPr>
                <w:rFonts w:ascii="Arial" w:cs="Arial" w:eastAsia="Arial" w:hAnsi="Arial"/>
                <w:sz w:val="14"/>
                <w:szCs w:val="14"/>
                <w:color w:val="auto"/>
              </w:rPr>
              <w:t>Asia Pacific</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32.4%</w:t>
            </w:r>
          </w:p>
        </w:tc>
      </w:tr>
      <w:tr>
        <w:trPr>
          <w:trHeight w:val="168"/>
        </w:trPr>
        <w:tc>
          <w:tcPr>
            <w:tcW w:w="6080" w:type="dxa"/>
            <w:vAlign w:val="bottom"/>
          </w:tcPr>
          <w:p>
            <w:pPr>
              <w:ind w:left="80"/>
              <w:spacing w:after="0"/>
              <w:rPr>
                <w:sz w:val="20"/>
                <w:szCs w:val="20"/>
                <w:color w:val="auto"/>
              </w:rPr>
            </w:pPr>
            <w:r>
              <w:rPr>
                <w:rFonts w:ascii="Arial" w:cs="Arial" w:eastAsia="Arial" w:hAnsi="Arial"/>
                <w:sz w:val="14"/>
                <w:szCs w:val="14"/>
                <w:color w:val="auto"/>
              </w:rPr>
              <w:t>Right Management</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20.8</w:t>
            </w:r>
          </w:p>
        </w:tc>
        <w:tc>
          <w:tcPr>
            <w:tcW w:w="260" w:type="dxa"/>
            <w:vAlign w:val="bottom"/>
          </w:tcPr>
          <w:p>
            <w:pPr>
              <w:spacing w:after="0"/>
              <w:rPr>
                <w:sz w:val="14"/>
                <w:szCs w:val="14"/>
                <w:color w:val="auto"/>
              </w:rPr>
            </w:pPr>
          </w:p>
        </w:tc>
        <w:tc>
          <w:tcPr>
            <w:tcW w:w="1360" w:type="dxa"/>
            <w:vAlign w:val="bottom"/>
            <w:gridSpan w:val="3"/>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167"/>
        </w:trPr>
        <w:tc>
          <w:tcPr>
            <w:tcW w:w="60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6080" w:type="dxa"/>
            <w:vAlign w:val="bottom"/>
          </w:tcPr>
          <w:p>
            <w:pPr>
              <w:spacing w:after="0"/>
              <w:rPr>
                <w:sz w:val="20"/>
                <w:szCs w:val="20"/>
                <w:color w:val="auto"/>
              </w:rPr>
            </w:pPr>
            <w:r>
              <w:rPr>
                <w:rFonts w:ascii="Arial" w:cs="Arial" w:eastAsia="Arial" w:hAnsi="Arial"/>
                <w:sz w:val="14"/>
                <w:szCs w:val="14"/>
                <w:color w:val="auto"/>
              </w:rPr>
              <w:t>Corporate expenses</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(30.8)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(20.8)</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Goodwill and intangible asset impairment charges</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(428.8)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6080" w:type="dxa"/>
            <w:vAlign w:val="bottom"/>
          </w:tcPr>
          <w:p>
            <w:pPr>
              <w:spacing w:after="0"/>
              <w:rPr>
                <w:sz w:val="20"/>
                <w:szCs w:val="20"/>
                <w:color w:val="auto"/>
              </w:rPr>
            </w:pPr>
            <w:r>
              <w:rPr>
                <w:rFonts w:ascii="Arial" w:cs="Arial" w:eastAsia="Arial" w:hAnsi="Arial"/>
                <w:sz w:val="14"/>
                <w:szCs w:val="14"/>
                <w:color w:val="auto"/>
              </w:rPr>
              <w:t>Intangible asset amortization expense (c)</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(4.9)</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8"/>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Reclassification of French business tax</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167"/>
        </w:trPr>
        <w:tc>
          <w:tcPr>
            <w:tcW w:w="6080" w:type="dxa"/>
            <w:vAlign w:val="bottom"/>
          </w:tcPr>
          <w:p>
            <w:pPr>
              <w:ind w:left="140"/>
              <w:spacing w:after="0"/>
              <w:rPr>
                <w:sz w:val="20"/>
                <w:szCs w:val="20"/>
                <w:color w:val="auto"/>
              </w:rPr>
            </w:pPr>
            <w:r>
              <w:rPr>
                <w:rFonts w:ascii="Arial" w:cs="Arial" w:eastAsia="Arial" w:hAnsi="Arial"/>
                <w:sz w:val="14"/>
                <w:szCs w:val="14"/>
                <w:color w:val="auto"/>
              </w:rPr>
              <w:t>Operating (loss) profit</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(342.6)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42.8</w:t>
            </w:r>
          </w:p>
        </w:tc>
        <w:tc>
          <w:tcPr>
            <w:tcW w:w="260" w:type="dxa"/>
            <w:vAlign w:val="bottom"/>
          </w:tcPr>
          <w:p>
            <w:pPr>
              <w:spacing w:after="0"/>
              <w:rPr>
                <w:sz w:val="14"/>
                <w:szCs w:val="14"/>
                <w:color w:val="auto"/>
              </w:rPr>
            </w:pPr>
          </w:p>
        </w:tc>
        <w:tc>
          <w:tcPr>
            <w:tcW w:w="1360" w:type="dxa"/>
            <w:vAlign w:val="bottom"/>
            <w:gridSpan w:val="3"/>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167"/>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Interest and other expenses (d)</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(12.6)</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1"/>
        </w:trPr>
        <w:tc>
          <w:tcPr>
            <w:tcW w:w="6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7"/>
        </w:trPr>
        <w:tc>
          <w:tcPr>
            <w:tcW w:w="6080" w:type="dxa"/>
            <w:vAlign w:val="bottom"/>
          </w:tcPr>
          <w:p>
            <w:pPr>
              <w:ind w:left="140"/>
              <w:spacing w:after="0"/>
              <w:rPr>
                <w:sz w:val="20"/>
                <w:szCs w:val="20"/>
                <w:color w:val="auto"/>
              </w:rPr>
            </w:pPr>
            <w:r>
              <w:rPr>
                <w:rFonts w:ascii="Arial" w:cs="Arial" w:eastAsia="Arial" w:hAnsi="Arial"/>
                <w:sz w:val="14"/>
                <w:szCs w:val="14"/>
                <w:color w:val="auto"/>
              </w:rPr>
              <w:t>(Loss) earnings before income taxes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(352.6)</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30.2</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6" w:lineRule="exact"/>
        <w:rPr>
          <w:sz w:val="20"/>
          <w:szCs w:val="20"/>
          <w:color w:val="auto"/>
        </w:rPr>
      </w:pPr>
    </w:p>
    <w:p>
      <w:pPr>
        <w:ind w:right="280" w:firstLine="4"/>
        <w:spacing w:after="0" w:line="261" w:lineRule="auto"/>
        <w:tabs>
          <w:tab w:leader="none" w:pos="189" w:val="left"/>
        </w:tabs>
        <w:numPr>
          <w:ilvl w:val="0"/>
          <w:numId w:val="2"/>
        </w:numPr>
        <w:rPr>
          <w:rFonts w:ascii="Arial" w:cs="Arial" w:eastAsia="Arial" w:hAnsi="Arial"/>
          <w:sz w:val="14"/>
          <w:szCs w:val="14"/>
          <w:color w:val="auto"/>
        </w:rPr>
      </w:pPr>
      <w:r>
        <w:rPr>
          <w:rFonts w:ascii="Arial" w:cs="Arial" w:eastAsia="Arial" w:hAnsi="Arial"/>
          <w:sz w:val="14"/>
          <w:szCs w:val="14"/>
          <w:color w:val="auto"/>
        </w:rPr>
        <w:t>During the fourth quarter of 2010, our segment reporting was realigned due to our Jefferson Wells business being combined with our Professional Finance and Accounting vertical within the United States. Accordingly, our former reportable segment, Jefferson Wells, is now reported within our United States operating segment as part of the Americas reportable segment. All previously reported results have been restated to conform to the current year presentation.</w:t>
      </w:r>
    </w:p>
    <w:p>
      <w:pPr>
        <w:spacing w:after="0" w:line="143" w:lineRule="exact"/>
        <w:rPr>
          <w:rFonts w:ascii="Arial" w:cs="Arial" w:eastAsia="Arial" w:hAnsi="Arial"/>
          <w:sz w:val="14"/>
          <w:szCs w:val="14"/>
          <w:color w:val="auto"/>
        </w:rPr>
      </w:pPr>
    </w:p>
    <w:p>
      <w:pPr>
        <w:ind w:right="160" w:firstLine="4"/>
        <w:spacing w:after="0" w:line="261" w:lineRule="auto"/>
        <w:tabs>
          <w:tab w:leader="none" w:pos="195"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United States results include the results of COMSYS IT Partners, Inc., which was acquired on April 5, 2010. United States revenues from services include fees received from our franchise offices of $3.8 million and $3.1 million for the three months ended December 31, 2010 and 2009, respectively. These fees are primarily based on revenues generated by the franchise offices, which were $165.0 million and $135.6 million for the three months ended December 31, 2010 and 2009, respectively.</w:t>
      </w:r>
    </w:p>
    <w:p>
      <w:pPr>
        <w:spacing w:after="0" w:line="143" w:lineRule="exact"/>
        <w:rPr>
          <w:rFonts w:ascii="Arial" w:cs="Arial" w:eastAsia="Arial" w:hAnsi="Arial"/>
          <w:sz w:val="14"/>
          <w:szCs w:val="14"/>
          <w:color w:val="auto"/>
        </w:rPr>
      </w:pPr>
    </w:p>
    <w:p>
      <w:pPr>
        <w:ind w:right="460" w:firstLine="4"/>
        <w:spacing w:after="0" w:line="261" w:lineRule="auto"/>
        <w:tabs>
          <w:tab w:leader="none" w:pos="189" w:val="left"/>
        </w:tabs>
        <w:numPr>
          <w:ilvl w:val="0"/>
          <w:numId w:val="2"/>
        </w:numPr>
        <w:rPr>
          <w:rFonts w:ascii="Arial" w:cs="Arial" w:eastAsia="Arial" w:hAnsi="Arial"/>
          <w:sz w:val="14"/>
          <w:szCs w:val="14"/>
          <w:color w:val="auto"/>
        </w:rPr>
      </w:pPr>
      <w:r>
        <w:rPr>
          <w:rFonts w:ascii="Arial" w:cs="Arial" w:eastAsia="Arial" w:hAnsi="Arial"/>
          <w:sz w:val="14"/>
          <w:szCs w:val="14"/>
          <w:color w:val="auto"/>
        </w:rPr>
        <w:t>During the third quarter of 2010, we redefined Operating Unit Profit (Loss) to exclude intangible asset amortization. Therefore, these costs are no longer included as operating costs within the reportable segments and Corporate Expenses, and all intangible asset amortization expense is now shown separately. All previously reported results have been restated to conform to the current year presentation.</w:t>
      </w:r>
    </w:p>
    <w:p>
      <w:pPr>
        <w:spacing w:after="0" w:line="143" w:lineRule="exact"/>
        <w:rPr>
          <w:rFonts w:ascii="Arial" w:cs="Arial" w:eastAsia="Arial" w:hAnsi="Arial"/>
          <w:sz w:val="14"/>
          <w:szCs w:val="14"/>
          <w:color w:val="auto"/>
        </w:rPr>
      </w:pPr>
    </w:p>
    <w:p>
      <w:pPr>
        <w:ind w:left="200" w:hanging="196"/>
        <w:spacing w:after="0"/>
        <w:tabs>
          <w:tab w:leader="none" w:pos="20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components of interest and other expenses were: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840" w:type="dxa"/>
            <w:vAlign w:val="bottom"/>
          </w:tcPr>
          <w:p>
            <w:pPr>
              <w:spacing w:after="0"/>
              <w:rPr>
                <w:sz w:val="14"/>
                <w:szCs w:val="14"/>
                <w:color w:val="auto"/>
              </w:rPr>
            </w:pPr>
          </w:p>
        </w:tc>
      </w:tr>
      <w:tr>
        <w:trPr>
          <w:trHeight w:val="167"/>
        </w:trPr>
        <w:tc>
          <w:tcPr>
            <w:tcW w:w="6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10.1</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3520" w:type="dxa"/>
            <w:vAlign w:val="bottom"/>
            <w:gridSpan w:val="2"/>
            <w:shd w:val="clear" w:color="auto" w:fill="CCEEFF"/>
          </w:tcPr>
          <w:p>
            <w:pPr>
              <w:jc w:val="right"/>
              <w:ind w:right="2840"/>
              <w:spacing w:after="0"/>
              <w:rPr>
                <w:sz w:val="20"/>
                <w:szCs w:val="20"/>
                <w:color w:val="auto"/>
              </w:rPr>
            </w:pPr>
            <w:r>
              <w:rPr>
                <w:rFonts w:ascii="Arial" w:cs="Arial" w:eastAsia="Arial" w:hAnsi="Arial"/>
                <w:sz w:val="14"/>
                <w:szCs w:val="14"/>
                <w:color w:val="auto"/>
              </w:rPr>
              <w:t>13.2</w:t>
            </w:r>
          </w:p>
        </w:tc>
      </w:tr>
      <w:tr>
        <w:trPr>
          <w:trHeight w:val="167"/>
        </w:trPr>
        <w:tc>
          <w:tcPr>
            <w:tcW w:w="608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4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20" w:type="dxa"/>
            <w:vAlign w:val="bottom"/>
            <w:gridSpan w:val="2"/>
          </w:tcPr>
          <w:p>
            <w:pPr>
              <w:jc w:val="right"/>
              <w:ind w:right="2800"/>
              <w:spacing w:after="0"/>
              <w:rPr>
                <w:sz w:val="20"/>
                <w:szCs w:val="20"/>
                <w:color w:val="auto"/>
              </w:rPr>
            </w:pPr>
            <w:r>
              <w:rPr>
                <w:rFonts w:ascii="Arial" w:cs="Arial" w:eastAsia="Arial" w:hAnsi="Arial"/>
                <w:sz w:val="14"/>
                <w:szCs w:val="14"/>
                <w:color w:val="auto"/>
              </w:rPr>
              <w:t>(2.4)</w:t>
            </w:r>
          </w:p>
        </w:tc>
      </w:tr>
      <w:tr>
        <w:trPr>
          <w:trHeight w:val="167"/>
        </w:trPr>
        <w:tc>
          <w:tcPr>
            <w:tcW w:w="6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exchange loss (gain)</w:t>
            </w: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jc w:val="right"/>
              <w:ind w:right="2800"/>
              <w:spacing w:after="0"/>
              <w:rPr>
                <w:sz w:val="20"/>
                <w:szCs w:val="20"/>
                <w:color w:val="auto"/>
              </w:rPr>
            </w:pPr>
            <w:r>
              <w:rPr>
                <w:rFonts w:ascii="Arial" w:cs="Arial" w:eastAsia="Arial" w:hAnsi="Arial"/>
                <w:sz w:val="14"/>
                <w:szCs w:val="14"/>
                <w:color w:val="auto"/>
              </w:rPr>
              <w:t>(0.1)</w:t>
            </w:r>
          </w:p>
        </w:tc>
      </w:tr>
      <w:tr>
        <w:trPr>
          <w:trHeight w:val="168"/>
        </w:trPr>
        <w:tc>
          <w:tcPr>
            <w:tcW w:w="6080" w:type="dxa"/>
            <w:vAlign w:val="bottom"/>
          </w:tcPr>
          <w:p>
            <w:pPr>
              <w:ind w:left="280"/>
              <w:spacing w:after="0"/>
              <w:rPr>
                <w:sz w:val="20"/>
                <w:szCs w:val="20"/>
                <w:color w:val="auto"/>
              </w:rPr>
            </w:pPr>
            <w:r>
              <w:rPr>
                <w:rFonts w:ascii="Arial" w:cs="Arial" w:eastAsia="Arial" w:hAnsi="Arial"/>
                <w:sz w:val="14"/>
                <w:szCs w:val="14"/>
                <w:color w:val="auto"/>
              </w:rPr>
              <w:t>Miscellaneous expenses, net</w:t>
            </w: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840" w:type="dxa"/>
            <w:vAlign w:val="bottom"/>
          </w:tcPr>
          <w:p>
            <w:pPr>
              <w:spacing w:after="0"/>
              <w:rPr>
                <w:sz w:val="14"/>
                <w:szCs w:val="14"/>
                <w:color w:val="auto"/>
              </w:rPr>
            </w:pPr>
          </w:p>
        </w:tc>
      </w:tr>
      <w:tr>
        <w:trPr>
          <w:trHeight w:val="207"/>
        </w:trPr>
        <w:tc>
          <w:tcPr>
            <w:tcW w:w="60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3520" w:type="dxa"/>
            <w:vAlign w:val="bottom"/>
            <w:gridSpan w:val="2"/>
            <w:shd w:val="clear" w:color="auto" w:fill="CCEEFF"/>
          </w:tcPr>
          <w:p>
            <w:pPr>
              <w:jc w:val="right"/>
              <w:ind w:right="2840"/>
              <w:spacing w:after="0"/>
              <w:rPr>
                <w:sz w:val="20"/>
                <w:szCs w:val="20"/>
                <w:color w:val="auto"/>
              </w:rPr>
            </w:pPr>
            <w:r>
              <w:rPr>
                <w:rFonts w:ascii="Arial" w:cs="Arial" w:eastAsia="Arial" w:hAnsi="Arial"/>
                <w:sz w:val="14"/>
                <w:szCs w:val="14"/>
                <w:color w:val="auto"/>
              </w:rPr>
              <w:t>12.6</w:t>
            </w:r>
          </w:p>
        </w:tc>
      </w:tr>
      <w:tr>
        <w:trPr>
          <w:trHeight w:val="259"/>
        </w:trPr>
        <w:tc>
          <w:tcPr>
            <w:tcW w:w="6080" w:type="dxa"/>
            <w:vAlign w:val="bottom"/>
            <w:tcBorders>
              <w:top w:val="single" w:sz="8" w:color="CCEEFF"/>
              <w:bottom w:val="single" w:sz="8" w:color="808080"/>
            </w:tcBorders>
          </w:tcPr>
          <w:p>
            <w:pPr>
              <w:spacing w:after="0"/>
              <w:rPr>
                <w:sz w:val="22"/>
                <w:szCs w:val="22"/>
                <w:color w:val="auto"/>
              </w:rPr>
            </w:pPr>
          </w:p>
        </w:tc>
        <w:tc>
          <w:tcPr>
            <w:tcW w:w="480" w:type="dxa"/>
            <w:vAlign w:val="bottom"/>
            <w:tcBorders>
              <w:top w:val="single" w:sz="8" w:color="auto"/>
              <w:bottom w:val="single" w:sz="8" w:color="808080"/>
            </w:tcBorders>
          </w:tcPr>
          <w:p>
            <w:pPr>
              <w:spacing w:after="0"/>
              <w:rPr>
                <w:sz w:val="22"/>
                <w:szCs w:val="22"/>
                <w:color w:val="auto"/>
              </w:rPr>
            </w:pPr>
          </w:p>
        </w:tc>
        <w:tc>
          <w:tcPr>
            <w:tcW w:w="680" w:type="dxa"/>
            <w:vAlign w:val="bottom"/>
            <w:tcBorders>
              <w:top w:val="single" w:sz="8" w:color="auto"/>
              <w:bottom w:val="single" w:sz="8" w:color="808080"/>
            </w:tcBorders>
          </w:tcPr>
          <w:p>
            <w:pPr>
              <w:spacing w:after="0"/>
              <w:rPr>
                <w:sz w:val="22"/>
                <w:szCs w:val="22"/>
                <w:color w:val="auto"/>
              </w:rPr>
            </w:pPr>
          </w:p>
        </w:tc>
        <w:tc>
          <w:tcPr>
            <w:tcW w:w="140" w:type="dxa"/>
            <w:vAlign w:val="bottom"/>
            <w:tcBorders>
              <w:top w:val="single" w:sz="8" w:color="CCEEFF"/>
              <w:bottom w:val="single" w:sz="8" w:color="808080"/>
            </w:tcBorders>
          </w:tcPr>
          <w:p>
            <w:pPr>
              <w:spacing w:after="0"/>
              <w:rPr>
                <w:sz w:val="22"/>
                <w:szCs w:val="22"/>
                <w:color w:val="auto"/>
              </w:rPr>
            </w:pPr>
          </w:p>
        </w:tc>
        <w:tc>
          <w:tcPr>
            <w:tcW w:w="80" w:type="dxa"/>
            <w:vAlign w:val="bottom"/>
            <w:tcBorders>
              <w:top w:val="single" w:sz="8" w:color="CCEEFF"/>
              <w:bottom w:val="single" w:sz="8" w:color="808080"/>
            </w:tcBorders>
          </w:tcPr>
          <w:p>
            <w:pPr>
              <w:spacing w:after="0"/>
              <w:rPr>
                <w:sz w:val="22"/>
                <w:szCs w:val="22"/>
                <w:color w:val="auto"/>
              </w:rPr>
            </w:pPr>
          </w:p>
        </w:tc>
        <w:tc>
          <w:tcPr>
            <w:tcW w:w="480" w:type="dxa"/>
            <w:vAlign w:val="bottom"/>
            <w:tcBorders>
              <w:top w:val="single" w:sz="8" w:color="auto"/>
              <w:bottom w:val="single" w:sz="8" w:color="808080"/>
            </w:tcBorders>
          </w:tcPr>
          <w:p>
            <w:pPr>
              <w:spacing w:after="0"/>
              <w:rPr>
                <w:sz w:val="22"/>
                <w:szCs w:val="22"/>
                <w:color w:val="auto"/>
              </w:rPr>
            </w:pPr>
          </w:p>
        </w:tc>
        <w:tc>
          <w:tcPr>
            <w:tcW w:w="680" w:type="dxa"/>
            <w:vAlign w:val="bottom"/>
            <w:tcBorders>
              <w:top w:val="single" w:sz="8" w:color="auto"/>
              <w:bottom w:val="single" w:sz="8" w:color="808080"/>
            </w:tcBorders>
          </w:tcPr>
          <w:p>
            <w:pPr>
              <w:spacing w:after="0"/>
              <w:rPr>
                <w:sz w:val="22"/>
                <w:szCs w:val="22"/>
                <w:color w:val="auto"/>
              </w:rPr>
            </w:pPr>
          </w:p>
        </w:tc>
        <w:tc>
          <w:tcPr>
            <w:tcW w:w="2840" w:type="dxa"/>
            <w:vAlign w:val="bottom"/>
            <w:tcBorders>
              <w:top w:val="single" w:sz="8" w:color="CCEEFF"/>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-12065</wp:posOffset>
            </wp:positionV>
            <wp:extent cx="127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11" w:right="21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7"/>
          <w:szCs w:val="17"/>
          <w:color w:val="auto"/>
        </w:rPr>
        <w:t>Manpower Inc.</w:t>
      </w:r>
    </w:p>
    <w:p>
      <w:pPr>
        <w:spacing w:after="0" w:line="1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Results of Operations</w:t>
      </w:r>
    </w:p>
    <w:p>
      <w:pPr>
        <w:spacing w:after="0" w:line="5"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(In millions,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6"/>
          </w:tcPr>
          <w:p>
            <w:pPr>
              <w:jc w:val="center"/>
              <w:ind w:right="760"/>
              <w:spacing w:after="0"/>
              <w:rPr>
                <w:sz w:val="20"/>
                <w:szCs w:val="20"/>
                <w:color w:val="auto"/>
              </w:rPr>
            </w:pPr>
            <w:r>
              <w:rPr>
                <w:rFonts w:ascii="Arial" w:cs="Arial" w:eastAsia="Arial" w:hAnsi="Arial"/>
                <w:sz w:val="14"/>
                <w:szCs w:val="14"/>
                <w:b w:val="1"/>
                <w:bCs w:val="1"/>
                <w:color w:val="auto"/>
                <w:w w:val="89"/>
              </w:rPr>
              <w:t>Year Ended December 31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8"/>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3"/>
              </w:rPr>
              <w:t>% Variance</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2"/>
        </w:trPr>
        <w:tc>
          <w:tcPr>
            <w:tcW w:w="6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230"/>
              <w:spacing w:after="0" w:line="153" w:lineRule="exact"/>
              <w:rPr>
                <w:sz w:val="20"/>
                <w:szCs w:val="20"/>
                <w:color w:val="auto"/>
              </w:rPr>
            </w:pPr>
            <w:r>
              <w:rPr>
                <w:rFonts w:ascii="Arial" w:cs="Arial" w:eastAsia="Arial" w:hAnsi="Arial"/>
                <w:sz w:val="14"/>
                <w:szCs w:val="14"/>
                <w:b w:val="1"/>
                <w:bCs w:val="1"/>
                <w:color w:val="auto"/>
                <w:w w:val="92"/>
              </w:rPr>
              <w:t>Constant</w:t>
            </w:r>
          </w:p>
        </w:tc>
        <w:tc>
          <w:tcPr>
            <w:tcW w:w="120" w:type="dxa"/>
            <w:vAlign w:val="bottom"/>
          </w:tcPr>
          <w:p>
            <w:pPr>
              <w:spacing w:after="0"/>
              <w:rPr>
                <w:sz w:val="13"/>
                <w:szCs w:val="13"/>
                <w:color w:val="auto"/>
              </w:rPr>
            </w:pPr>
          </w:p>
        </w:tc>
      </w:tr>
      <w:tr>
        <w:trPr>
          <w:trHeight w:val="183"/>
        </w:trPr>
        <w:tc>
          <w:tcPr>
            <w:tcW w:w="6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Reported</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5"/>
                <w:szCs w:val="15"/>
                <w:color w:val="auto"/>
              </w:rPr>
            </w:pPr>
          </w:p>
        </w:tc>
      </w:tr>
      <w:tr>
        <w:trPr>
          <w:trHeight w:val="167"/>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center"/>
              <w:ind w:left="530"/>
              <w:spacing w:after="0"/>
              <w:rPr>
                <w:sz w:val="20"/>
                <w:szCs w:val="20"/>
                <w:color w:val="auto"/>
              </w:rPr>
            </w:pPr>
            <w:r>
              <w:rPr>
                <w:rFonts w:ascii="Arial" w:cs="Arial" w:eastAsia="Arial" w:hAnsi="Arial"/>
                <w:sz w:val="14"/>
                <w:szCs w:val="14"/>
                <w:color w:val="auto"/>
                <w:w w:val="90"/>
              </w:rPr>
              <w:t>(Unaudited)</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Revenues from services (a)</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18,866.5</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16,038.7</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w:t>
            </w:r>
          </w:p>
        </w:tc>
      </w:tr>
      <w:tr>
        <w:trPr>
          <w:trHeight w:val="168"/>
        </w:trPr>
        <w:tc>
          <w:tcPr>
            <w:tcW w:w="6080" w:type="dxa"/>
            <w:vAlign w:val="bottom"/>
          </w:tcPr>
          <w:p>
            <w:pPr>
              <w:spacing w:after="0"/>
              <w:rPr>
                <w:sz w:val="20"/>
                <w:szCs w:val="20"/>
                <w:color w:val="auto"/>
              </w:rPr>
            </w:pPr>
            <w:r>
              <w:rPr>
                <w:rFonts w:ascii="Arial" w:cs="Arial" w:eastAsia="Arial" w:hAnsi="Arial"/>
                <w:sz w:val="14"/>
                <w:szCs w:val="14"/>
                <w:color w:val="auto"/>
              </w:rPr>
              <w:t>Cost of services</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15,621.1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13,220.5</w:t>
            </w:r>
          </w:p>
        </w:tc>
        <w:tc>
          <w:tcPr>
            <w:tcW w:w="2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18.2%</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19.8%</w:t>
            </w:r>
          </w:p>
        </w:tc>
      </w:tr>
      <w:tr>
        <w:trPr>
          <w:trHeight w:val="167"/>
        </w:trPr>
        <w:tc>
          <w:tcPr>
            <w:tcW w:w="60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Gross profit</w:t>
            </w: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3,245.4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2,818.2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w:t>
            </w:r>
          </w:p>
        </w:tc>
      </w:tr>
      <w:tr>
        <w:trPr>
          <w:trHeight w:val="167"/>
        </w:trPr>
        <w:tc>
          <w:tcPr>
            <w:tcW w:w="6080" w:type="dxa"/>
            <w:vAlign w:val="bottom"/>
          </w:tcPr>
          <w:p>
            <w:pPr>
              <w:spacing w:after="0"/>
              <w:rPr>
                <w:sz w:val="20"/>
                <w:szCs w:val="20"/>
                <w:color w:val="auto"/>
              </w:rPr>
            </w:pPr>
            <w:r>
              <w:rPr>
                <w:rFonts w:ascii="Arial" w:cs="Arial" w:eastAsia="Arial" w:hAnsi="Arial"/>
                <w:sz w:val="14"/>
                <w:szCs w:val="14"/>
                <w:color w:val="auto"/>
              </w:rPr>
              <w:t>Selling and administrative expenses, excluding impairment charges</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2,938.6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2,715.5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8.2%</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9.1%</w:t>
            </w:r>
          </w:p>
        </w:tc>
      </w:tr>
      <w:tr>
        <w:trPr>
          <w:trHeight w:val="168"/>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Goodwill and intangible asset impairment charges (b)</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61.0</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602.9%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602.9%</w:t>
            </w:r>
          </w:p>
        </w:tc>
      </w:tr>
      <w:tr>
        <w:trPr>
          <w:trHeight w:val="167"/>
        </w:trPr>
        <w:tc>
          <w:tcPr>
            <w:tcW w:w="6080" w:type="dxa"/>
            <w:vAlign w:val="bottom"/>
            <w:tcBorders>
              <w:top w:val="single" w:sz="8" w:color="CCEEFF"/>
            </w:tcBorders>
          </w:tcPr>
          <w:p>
            <w:pPr>
              <w:ind w:left="520"/>
              <w:spacing w:after="0"/>
              <w:rPr>
                <w:sz w:val="20"/>
                <w:szCs w:val="20"/>
                <w:color w:val="auto"/>
              </w:rPr>
            </w:pPr>
            <w:r>
              <w:rPr>
                <w:rFonts w:ascii="Arial" w:cs="Arial" w:eastAsia="Arial" w:hAnsi="Arial"/>
                <w:sz w:val="14"/>
                <w:szCs w:val="14"/>
                <w:color w:val="auto"/>
              </w:rPr>
              <w:t>Selling and administrative expenses</w:t>
            </w: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3,367.4</w:t>
            </w: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2,776.5</w:t>
            </w: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4"/>
                <w:szCs w:val="14"/>
                <w:color w:val="auto"/>
              </w:rPr>
              <w:t>21.3%</w:t>
            </w:r>
          </w:p>
        </w:tc>
        <w:tc>
          <w:tcPr>
            <w:tcW w:w="24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22.1%</w:t>
            </w:r>
          </w:p>
        </w:tc>
      </w:tr>
      <w:tr>
        <w:trPr>
          <w:trHeight w:val="167"/>
        </w:trPr>
        <w:tc>
          <w:tcPr>
            <w:tcW w:w="60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Operating (loss) profit</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41.7</w:t>
            </w:r>
          </w:p>
        </w:tc>
        <w:tc>
          <w:tcPr>
            <w:tcW w:w="26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r>
      <w:tr>
        <w:trPr>
          <w:trHeight w:val="168"/>
        </w:trPr>
        <w:tc>
          <w:tcPr>
            <w:tcW w:w="6080" w:type="dxa"/>
            <w:vAlign w:val="bottom"/>
          </w:tcPr>
          <w:p>
            <w:pPr>
              <w:spacing w:after="0"/>
              <w:rPr>
                <w:sz w:val="20"/>
                <w:szCs w:val="20"/>
                <w:color w:val="auto"/>
              </w:rPr>
            </w:pPr>
            <w:r>
              <w:rPr>
                <w:rFonts w:ascii="Arial" w:cs="Arial" w:eastAsia="Arial" w:hAnsi="Arial"/>
                <w:sz w:val="14"/>
                <w:szCs w:val="14"/>
                <w:color w:val="auto"/>
              </w:rPr>
              <w:t>Interest and other expenses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-33.1%</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60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Loss before income taxes</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(22.9)</w:t>
            </w:r>
          </w:p>
        </w:tc>
        <w:tc>
          <w:tcPr>
            <w:tcW w:w="26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r>
      <w:tr>
        <w:trPr>
          <w:trHeight w:val="167"/>
        </w:trPr>
        <w:tc>
          <w:tcPr>
            <w:tcW w:w="608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(13.7)</w:t>
            </w:r>
          </w:p>
        </w:tc>
        <w:tc>
          <w:tcPr>
            <w:tcW w:w="260" w:type="dxa"/>
            <w:vAlign w:val="bottom"/>
          </w:tcPr>
          <w:p>
            <w:pPr>
              <w:spacing w:after="0"/>
              <w:rPr>
                <w:sz w:val="14"/>
                <w:szCs w:val="14"/>
                <w:color w:val="auto"/>
              </w:rPr>
            </w:pPr>
          </w:p>
        </w:tc>
        <w:tc>
          <w:tcPr>
            <w:tcW w:w="1360" w:type="dxa"/>
            <w:vAlign w:val="bottom"/>
            <w:gridSpan w:val="3"/>
          </w:tcPr>
          <w:p>
            <w:pPr>
              <w:ind w:left="640"/>
              <w:spacing w:after="0"/>
              <w:rPr>
                <w:sz w:val="20"/>
                <w:szCs w:val="20"/>
                <w:color w:val="auto"/>
              </w:rPr>
            </w:pPr>
            <w:r>
              <w:rPr>
                <w:rFonts w:ascii="Arial" w:cs="Arial" w:eastAsia="Arial" w:hAnsi="Arial"/>
                <w:sz w:val="14"/>
                <w:szCs w:val="14"/>
                <w:color w:val="auto"/>
              </w:rPr>
              <w:t>N/A</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
        </w:trPr>
        <w:tc>
          <w:tcPr>
            <w:tcW w:w="6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7"/>
        </w:trPr>
        <w:tc>
          <w:tcPr>
            <w:tcW w:w="60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(263.6)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(9.2)</w:t>
            </w:r>
          </w:p>
        </w:tc>
        <w:tc>
          <w:tcPr>
            <w:tcW w:w="26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Arial" w:cs="Arial" w:eastAsia="Arial" w:hAnsi="Arial"/>
                <w:sz w:val="14"/>
                <w:szCs w:val="14"/>
                <w:color w:val="auto"/>
              </w:rPr>
              <w:t>Net loss per share - basic</w:t>
            </w:r>
          </w:p>
        </w:tc>
        <w:tc>
          <w:tcPr>
            <w:tcW w:w="260" w:type="dxa"/>
            <w:vAlign w:val="bottom"/>
          </w:tcPr>
          <w:p>
            <w:pPr>
              <w:jc w:val="right"/>
              <w:ind w:right="11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(3.26)</w:t>
            </w: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(0.12)</w:t>
            </w:r>
          </w:p>
        </w:tc>
        <w:tc>
          <w:tcPr>
            <w:tcW w:w="260" w:type="dxa"/>
            <w:vAlign w:val="bottom"/>
          </w:tcPr>
          <w:p>
            <w:pPr>
              <w:spacing w:after="0"/>
              <w:rPr>
                <w:sz w:val="12"/>
                <w:szCs w:val="12"/>
                <w:color w:val="auto"/>
              </w:rPr>
            </w:pPr>
          </w:p>
        </w:tc>
        <w:tc>
          <w:tcPr>
            <w:tcW w:w="1360" w:type="dxa"/>
            <w:vAlign w:val="bottom"/>
            <w:gridSpan w:val="3"/>
          </w:tcPr>
          <w:p>
            <w:pPr>
              <w:ind w:left="640"/>
              <w:spacing w:after="0" w:line="149" w:lineRule="exact"/>
              <w:rPr>
                <w:sz w:val="20"/>
                <w:szCs w:val="20"/>
                <w:color w:val="auto"/>
              </w:rPr>
            </w:pPr>
            <w:r>
              <w:rPr>
                <w:rFonts w:ascii="Arial" w:cs="Arial" w:eastAsia="Arial" w:hAnsi="Arial"/>
                <w:sz w:val="14"/>
                <w:szCs w:val="14"/>
                <w:color w:val="auto"/>
              </w:rPr>
              <w:t>N/A</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per share - diluted</w:t>
            </w:r>
          </w:p>
        </w:tc>
        <w:tc>
          <w:tcPr>
            <w:tcW w:w="26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(3.26)</w:t>
            </w: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(0.12)</w:t>
            </w:r>
          </w:p>
        </w:tc>
        <w:tc>
          <w:tcPr>
            <w:tcW w:w="26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r>
      <w:tr>
        <w:trPr>
          <w:trHeight w:val="149"/>
        </w:trPr>
        <w:tc>
          <w:tcPr>
            <w:tcW w:w="6080" w:type="dxa"/>
            <w:vAlign w:val="bottom"/>
            <w:tcBorders>
              <w:top w:val="single" w:sz="8" w:color="CCEEFF"/>
            </w:tcBorders>
          </w:tcPr>
          <w:p>
            <w:pPr>
              <w:spacing w:after="0" w:line="149" w:lineRule="exact"/>
              <w:rPr>
                <w:sz w:val="20"/>
                <w:szCs w:val="20"/>
                <w:color w:val="auto"/>
              </w:rPr>
            </w:pPr>
            <w:r>
              <w:rPr>
                <w:rFonts w:ascii="Arial" w:cs="Arial" w:eastAsia="Arial" w:hAnsi="Arial"/>
                <w:sz w:val="14"/>
                <w:szCs w:val="14"/>
                <w:color w:val="auto"/>
              </w:rPr>
              <w:t>Weighted average shares - basic</w:t>
            </w: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81.0</w:t>
            </w: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78.3</w:t>
            </w: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gridSpan w:val="2"/>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24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Weighted average shares - diluted</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81.0</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78.3</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56" w:lineRule="exact"/>
        <w:rPr>
          <w:sz w:val="20"/>
          <w:szCs w:val="20"/>
          <w:color w:val="auto"/>
        </w:rPr>
      </w:pPr>
    </w:p>
    <w:p>
      <w:pPr>
        <w:ind w:right="360" w:firstLine="4"/>
        <w:spacing w:after="0" w:line="314" w:lineRule="auto"/>
        <w:tabs>
          <w:tab w:leader="none" w:pos="189" w:val="left"/>
        </w:tabs>
        <w:numPr>
          <w:ilvl w:val="0"/>
          <w:numId w:val="3"/>
        </w:numPr>
        <w:rPr>
          <w:rFonts w:ascii="Arial" w:cs="Arial" w:eastAsia="Arial" w:hAnsi="Arial"/>
          <w:sz w:val="13"/>
          <w:szCs w:val="13"/>
          <w:color w:val="auto"/>
        </w:rPr>
      </w:pPr>
      <w:r>
        <w:rPr>
          <w:rFonts w:ascii="Arial" w:cs="Arial" w:eastAsia="Arial" w:hAnsi="Arial"/>
          <w:sz w:val="13"/>
          <w:szCs w:val="13"/>
          <w:color w:val="auto"/>
        </w:rPr>
        <w:t>Revenues from services include fees received from our franchise offices of $23.6 million and $22.3 million for the years ended December 31, 2010 and 2009, respectively. These fees are primarily based on revenues generated by the franchise offices, which were $968.0 million and $746.7 million for the years ended December 31, 2010 and 2009, respectively.</w:t>
      </w:r>
    </w:p>
    <w:p>
      <w:pPr>
        <w:spacing w:after="0" w:line="110" w:lineRule="exact"/>
        <w:rPr>
          <w:rFonts w:ascii="Arial" w:cs="Arial" w:eastAsia="Arial" w:hAnsi="Arial"/>
          <w:sz w:val="13"/>
          <w:szCs w:val="13"/>
          <w:color w:val="auto"/>
        </w:rPr>
      </w:pPr>
    </w:p>
    <w:p>
      <w:pPr>
        <w:ind w:right="200" w:firstLine="4"/>
        <w:spacing w:after="0" w:line="261" w:lineRule="auto"/>
        <w:tabs>
          <w:tab w:leader="none" w:pos="195"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goodwill and intangible asset impairment charges for the year ended December 31, 2010 relate to our investments in Right Management and Jefferson Wells. The goodwill impairment charge for the year ended December 31, 2009 relates to our investment in Jefferson Wells. The impact on net earnings is $384.3 million and $61.0 million, or $4.73 and $0.78 per diluted share, for the years ended December 31, 2010 and 2009,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353695</wp:posOffset>
            </wp:positionV>
            <wp:extent cx="728345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11460"/>
          </w:cols>
          <w:pgMar w:left="220" w:top="499" w:right="21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7"/>
          <w:szCs w:val="17"/>
          <w:color w:val="auto"/>
        </w:rPr>
        <w:t>Manpower Inc.</w:t>
      </w:r>
    </w:p>
    <w:p>
      <w:pPr>
        <w:spacing w:after="0" w:line="1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Operating Unit Results</w:t>
      </w:r>
    </w:p>
    <w:p>
      <w:pPr>
        <w:spacing w:after="0" w:line="5"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6"/>
          </w:tcPr>
          <w:p>
            <w:pPr>
              <w:jc w:val="center"/>
              <w:ind w:right="760"/>
              <w:spacing w:after="0"/>
              <w:rPr>
                <w:sz w:val="20"/>
                <w:szCs w:val="20"/>
                <w:color w:val="auto"/>
              </w:rPr>
            </w:pPr>
            <w:r>
              <w:rPr>
                <w:rFonts w:ascii="Arial" w:cs="Arial" w:eastAsia="Arial" w:hAnsi="Arial"/>
                <w:sz w:val="14"/>
                <w:szCs w:val="14"/>
                <w:b w:val="1"/>
                <w:bCs w:val="1"/>
                <w:color w:val="auto"/>
                <w:w w:val="89"/>
              </w:rPr>
              <w:t>Year Ended December 31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8"/>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3"/>
              </w:rPr>
              <w:t>% Variance</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2"/>
        </w:trPr>
        <w:tc>
          <w:tcPr>
            <w:tcW w:w="6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230"/>
              <w:spacing w:after="0" w:line="153" w:lineRule="exact"/>
              <w:rPr>
                <w:sz w:val="20"/>
                <w:szCs w:val="20"/>
                <w:color w:val="auto"/>
              </w:rPr>
            </w:pPr>
            <w:r>
              <w:rPr>
                <w:rFonts w:ascii="Arial" w:cs="Arial" w:eastAsia="Arial" w:hAnsi="Arial"/>
                <w:sz w:val="14"/>
                <w:szCs w:val="14"/>
                <w:b w:val="1"/>
                <w:bCs w:val="1"/>
                <w:color w:val="auto"/>
                <w:w w:val="92"/>
              </w:rPr>
              <w:t>Constant</w:t>
            </w:r>
          </w:p>
        </w:tc>
        <w:tc>
          <w:tcPr>
            <w:tcW w:w="120" w:type="dxa"/>
            <w:vAlign w:val="bottom"/>
          </w:tcPr>
          <w:p>
            <w:pPr>
              <w:spacing w:after="0"/>
              <w:rPr>
                <w:sz w:val="13"/>
                <w:szCs w:val="13"/>
                <w:color w:val="auto"/>
              </w:rPr>
            </w:pPr>
          </w:p>
        </w:tc>
      </w:tr>
      <w:tr>
        <w:trPr>
          <w:trHeight w:val="183"/>
        </w:trPr>
        <w:tc>
          <w:tcPr>
            <w:tcW w:w="6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Reported</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5"/>
                <w:szCs w:val="15"/>
                <w:color w:val="auto"/>
              </w:rPr>
            </w:pPr>
          </w:p>
        </w:tc>
      </w:tr>
      <w:tr>
        <w:trPr>
          <w:trHeight w:val="167"/>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center"/>
              <w:ind w:left="530"/>
              <w:spacing w:after="0"/>
              <w:rPr>
                <w:sz w:val="20"/>
                <w:szCs w:val="20"/>
                <w:color w:val="auto"/>
              </w:rPr>
            </w:pPr>
            <w:r>
              <w:rPr>
                <w:rFonts w:ascii="Arial" w:cs="Arial" w:eastAsia="Arial" w:hAnsi="Arial"/>
                <w:sz w:val="14"/>
                <w:szCs w:val="14"/>
                <w:color w:val="auto"/>
                <w:w w:val="90"/>
              </w:rPr>
              <w:t>(Unaudited)</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Revenues from Services: (a)</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6080" w:type="dxa"/>
            <w:vAlign w:val="bottom"/>
          </w:tcPr>
          <w:p>
            <w:pPr>
              <w:ind w:left="60"/>
              <w:spacing w:after="0"/>
              <w:rPr>
                <w:sz w:val="20"/>
                <w:szCs w:val="20"/>
                <w:color w:val="auto"/>
              </w:rPr>
            </w:pPr>
            <w:r>
              <w:rPr>
                <w:rFonts w:ascii="Arial" w:cs="Arial" w:eastAsia="Arial" w:hAnsi="Arial"/>
                <w:sz w:val="14"/>
                <w:szCs w:val="14"/>
                <w:color w:val="auto"/>
              </w:rPr>
              <w:t>Americas: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6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United States (b)</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2,783.4</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1,786.0</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55.8%</w:t>
            </w:r>
          </w:p>
        </w:tc>
      </w:tr>
      <w:tr>
        <w:trPr>
          <w:trHeight w:val="168"/>
        </w:trPr>
        <w:tc>
          <w:tcPr>
            <w:tcW w:w="6080" w:type="dxa"/>
            <w:vAlign w:val="bottom"/>
          </w:tcPr>
          <w:p>
            <w:pPr>
              <w:ind w:left="220"/>
              <w:spacing w:after="0"/>
              <w:rPr>
                <w:sz w:val="20"/>
                <w:szCs w:val="20"/>
                <w:color w:val="auto"/>
              </w:rPr>
            </w:pPr>
            <w:r>
              <w:rPr>
                <w:rFonts w:ascii="Arial" w:cs="Arial" w:eastAsia="Arial" w:hAnsi="Arial"/>
                <w:sz w:val="14"/>
                <w:szCs w:val="14"/>
                <w:color w:val="auto"/>
              </w:rPr>
              <w:t>Other Americas</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1,265.5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967.3</w:t>
            </w:r>
          </w:p>
        </w:tc>
        <w:tc>
          <w:tcPr>
            <w:tcW w:w="2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30.8%</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24.4%</w:t>
            </w:r>
          </w:p>
        </w:tc>
      </w:tr>
      <w:tr>
        <w:trPr>
          <w:trHeight w:val="168"/>
        </w:trPr>
        <w:tc>
          <w:tcPr>
            <w:tcW w:w="60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4,048.9</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2,753.3</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47.1%</w:t>
            </w:r>
          </w:p>
        </w:tc>
        <w:tc>
          <w:tcPr>
            <w:tcW w:w="2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44.8%</w:t>
            </w:r>
          </w:p>
        </w:tc>
      </w:tr>
      <w:tr>
        <w:trPr>
          <w:trHeight w:val="167"/>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6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France</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5,208.6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4,675.5</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18.0%</w:t>
            </w:r>
          </w:p>
        </w:tc>
      </w:tr>
      <w:tr>
        <w:trPr>
          <w:trHeight w:val="167"/>
        </w:trPr>
        <w:tc>
          <w:tcPr>
            <w:tcW w:w="6080" w:type="dxa"/>
            <w:vAlign w:val="bottom"/>
          </w:tcPr>
          <w:p>
            <w:pPr>
              <w:ind w:left="80"/>
              <w:spacing w:after="0"/>
              <w:rPr>
                <w:sz w:val="20"/>
                <w:szCs w:val="20"/>
                <w:color w:val="auto"/>
              </w:rPr>
            </w:pPr>
            <w:r>
              <w:rPr>
                <w:rFonts w:ascii="Arial" w:cs="Arial" w:eastAsia="Arial" w:hAnsi="Arial"/>
                <w:sz w:val="14"/>
                <w:szCs w:val="14"/>
                <w:color w:val="auto"/>
              </w:rPr>
              <w:t>EMEA:</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6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Italy</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950.8</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w:t>
            </w:r>
          </w:p>
        </w:tc>
      </w:tr>
      <w:tr>
        <w:trPr>
          <w:trHeight w:val="168"/>
        </w:trPr>
        <w:tc>
          <w:tcPr>
            <w:tcW w:w="6080" w:type="dxa"/>
            <w:vAlign w:val="bottom"/>
          </w:tcPr>
          <w:p>
            <w:pPr>
              <w:ind w:left="220"/>
              <w:spacing w:after="0"/>
              <w:rPr>
                <w:sz w:val="20"/>
                <w:szCs w:val="20"/>
                <w:color w:val="auto"/>
              </w:rPr>
            </w:pPr>
            <w:r>
              <w:rPr>
                <w:rFonts w:ascii="Arial" w:cs="Arial" w:eastAsia="Arial" w:hAnsi="Arial"/>
                <w:sz w:val="14"/>
                <w:szCs w:val="14"/>
                <w:color w:val="auto"/>
              </w:rPr>
              <w:t>Other EMEA</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5,371.7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12.5%</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14.6%</w:t>
            </w:r>
          </w:p>
        </w:tc>
      </w:tr>
      <w:tr>
        <w:trPr>
          <w:trHeight w:val="168"/>
        </w:trPr>
        <w:tc>
          <w:tcPr>
            <w:tcW w:w="60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7,087.2</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6,322.5</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w:t>
            </w:r>
          </w:p>
        </w:tc>
        <w:tc>
          <w:tcPr>
            <w:tcW w:w="2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67"/>
        </w:trPr>
        <w:tc>
          <w:tcPr>
            <w:tcW w:w="6080" w:type="dxa"/>
            <w:vAlign w:val="bottom"/>
          </w:tcPr>
          <w:p>
            <w:pPr>
              <w:ind w:left="60"/>
              <w:spacing w:after="0"/>
              <w:rPr>
                <w:sz w:val="20"/>
                <w:szCs w:val="20"/>
                <w:color w:val="auto"/>
              </w:rPr>
            </w:pPr>
            <w:r>
              <w:rPr>
                <w:rFonts w:ascii="Arial" w:cs="Arial" w:eastAsia="Arial" w:hAnsi="Arial"/>
                <w:sz w:val="14"/>
                <w:szCs w:val="14"/>
                <w:color w:val="auto"/>
              </w:rPr>
              <w:t>Asia Pacific</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2,147.2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1,728.0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24.3%</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14.5%</w:t>
            </w:r>
          </w:p>
        </w:tc>
      </w:tr>
      <w:tr>
        <w:trPr>
          <w:trHeight w:val="168"/>
        </w:trPr>
        <w:tc>
          <w:tcPr>
            <w:tcW w:w="6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Right Management</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374.6</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559.4</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-33.0%</w:t>
            </w:r>
          </w:p>
        </w:tc>
        <w:tc>
          <w:tcPr>
            <w:tcW w:w="2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-33.8%</w:t>
            </w:r>
          </w:p>
        </w:tc>
      </w:tr>
      <w:tr>
        <w:trPr>
          <w:trHeight w:val="167"/>
        </w:trPr>
        <w:tc>
          <w:tcPr>
            <w:tcW w:w="6080" w:type="dxa"/>
            <w:vAlign w:val="bottom"/>
          </w:tcPr>
          <w:p>
            <w:pPr>
              <w:spacing w:after="0"/>
              <w:rPr>
                <w:sz w:val="14"/>
                <w:szCs w:val="14"/>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18,866.5</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16,038.7</w:t>
            </w:r>
          </w:p>
        </w:tc>
        <w:tc>
          <w:tcPr>
            <w:tcW w:w="2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17.6%</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19.2%</w:t>
            </w:r>
          </w:p>
        </w:tc>
      </w:tr>
      <w:tr>
        <w:trPr>
          <w:trHeight w:val="20"/>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9"/>
        </w:trPr>
        <w:tc>
          <w:tcPr>
            <w:tcW w:w="6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7"/>
        </w:trPr>
        <w:tc>
          <w:tcPr>
            <w:tcW w:w="6080" w:type="dxa"/>
            <w:vAlign w:val="bottom"/>
          </w:tcPr>
          <w:p>
            <w:pPr>
              <w:spacing w:after="0"/>
              <w:rPr>
                <w:sz w:val="20"/>
                <w:szCs w:val="20"/>
                <w:color w:val="auto"/>
              </w:rPr>
            </w:pPr>
            <w:r>
              <w:rPr>
                <w:rFonts w:ascii="Arial" w:cs="Arial" w:eastAsia="Arial" w:hAnsi="Arial"/>
                <w:sz w:val="14"/>
                <w:szCs w:val="14"/>
                <w:color w:val="auto"/>
              </w:rPr>
              <w:t>Operating Unit Profit (Loss) (c):</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6080" w:type="dxa"/>
            <w:vAlign w:val="bottom"/>
            <w:shd w:val="clear" w:color="auto" w:fill="CCEEFF"/>
          </w:tcPr>
          <w:p>
            <w:pPr>
              <w:ind w:left="60"/>
              <w:spacing w:after="0"/>
              <w:rPr>
                <w:sz w:val="20"/>
                <w:szCs w:val="20"/>
                <w:color w:val="auto"/>
              </w:rPr>
            </w:pPr>
            <w:r>
              <w:rPr>
                <w:rFonts w:ascii="Arial" w:cs="Arial" w:eastAsia="Arial" w:hAnsi="Arial"/>
                <w:sz w:val="14"/>
                <w:szCs w:val="14"/>
                <w:color w:val="auto"/>
              </w:rPr>
              <w:t>Americas: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6080" w:type="dxa"/>
            <w:vAlign w:val="bottom"/>
          </w:tcPr>
          <w:p>
            <w:pPr>
              <w:ind w:left="220"/>
              <w:spacing w:after="0"/>
              <w:rPr>
                <w:sz w:val="20"/>
                <w:szCs w:val="20"/>
                <w:color w:val="auto"/>
              </w:rPr>
            </w:pPr>
            <w:r>
              <w:rPr>
                <w:rFonts w:ascii="Arial" w:cs="Arial" w:eastAsia="Arial" w:hAnsi="Arial"/>
                <w:sz w:val="14"/>
                <w:szCs w:val="14"/>
                <w:color w:val="auto"/>
              </w:rPr>
              <w:t>United States (b)</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42.8</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(41.4)</w:t>
            </w:r>
          </w:p>
        </w:tc>
        <w:tc>
          <w:tcPr>
            <w:tcW w:w="260" w:type="dxa"/>
            <w:vAlign w:val="bottom"/>
          </w:tcPr>
          <w:p>
            <w:pPr>
              <w:spacing w:after="0"/>
              <w:rPr>
                <w:sz w:val="14"/>
                <w:szCs w:val="14"/>
                <w:color w:val="auto"/>
              </w:rPr>
            </w:pPr>
          </w:p>
        </w:tc>
        <w:tc>
          <w:tcPr>
            <w:tcW w:w="1360" w:type="dxa"/>
            <w:vAlign w:val="bottom"/>
            <w:gridSpan w:val="3"/>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168"/>
        </w:trPr>
        <w:tc>
          <w:tcPr>
            <w:tcW w:w="6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Americas</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81.4%</w:t>
            </w:r>
          </w:p>
        </w:tc>
        <w:tc>
          <w:tcPr>
            <w:tcW w:w="2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72.9%</w:t>
            </w:r>
          </w:p>
        </w:tc>
      </w:tr>
      <w:tr>
        <w:trPr>
          <w:trHeight w:val="168"/>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79.3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(21.3)</w:t>
            </w:r>
          </w:p>
        </w:tc>
        <w:tc>
          <w:tcPr>
            <w:tcW w:w="260" w:type="dxa"/>
            <w:vAlign w:val="bottom"/>
          </w:tcPr>
          <w:p>
            <w:pPr>
              <w:spacing w:after="0"/>
              <w:rPr>
                <w:sz w:val="14"/>
                <w:szCs w:val="14"/>
                <w:color w:val="auto"/>
              </w:rPr>
            </w:pPr>
          </w:p>
        </w:tc>
        <w:tc>
          <w:tcPr>
            <w:tcW w:w="1360" w:type="dxa"/>
            <w:vAlign w:val="bottom"/>
            <w:gridSpan w:val="3"/>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167"/>
        </w:trPr>
        <w:tc>
          <w:tcPr>
            <w:tcW w:w="60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6080" w:type="dxa"/>
            <w:vAlign w:val="bottom"/>
          </w:tcPr>
          <w:p>
            <w:pPr>
              <w:ind w:left="80"/>
              <w:spacing w:after="0"/>
              <w:rPr>
                <w:sz w:val="20"/>
                <w:szCs w:val="20"/>
                <w:color w:val="auto"/>
              </w:rPr>
            </w:pPr>
            <w:r>
              <w:rPr>
                <w:rFonts w:ascii="Arial" w:cs="Arial" w:eastAsia="Arial" w:hAnsi="Arial"/>
                <w:sz w:val="14"/>
                <w:szCs w:val="14"/>
                <w:color w:val="auto"/>
              </w:rPr>
              <w:t>France</w:t>
            </w:r>
          </w:p>
        </w:tc>
        <w:tc>
          <w:tcPr>
            <w:tcW w:w="2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47.1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20.8</w:t>
            </w:r>
          </w:p>
        </w:tc>
        <w:tc>
          <w:tcPr>
            <w:tcW w:w="2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126.4%</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150.1%</w:t>
            </w:r>
          </w:p>
        </w:tc>
      </w:tr>
      <w:tr>
        <w:trPr>
          <w:trHeight w:val="167"/>
        </w:trPr>
        <w:tc>
          <w:tcPr>
            <w:tcW w:w="6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EMEA:</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6080" w:type="dxa"/>
            <w:vAlign w:val="bottom"/>
          </w:tcPr>
          <w:p>
            <w:pPr>
              <w:ind w:left="220"/>
              <w:spacing w:after="0"/>
              <w:rPr>
                <w:sz w:val="20"/>
                <w:szCs w:val="20"/>
                <w:color w:val="auto"/>
              </w:rPr>
            </w:pPr>
            <w:r>
              <w:rPr>
                <w:rFonts w:ascii="Arial" w:cs="Arial" w:eastAsia="Arial" w:hAnsi="Arial"/>
                <w:sz w:val="14"/>
                <w:szCs w:val="14"/>
                <w:color w:val="auto"/>
              </w:rPr>
              <w:t>Italy</w:t>
            </w:r>
          </w:p>
        </w:tc>
        <w:tc>
          <w:tcPr>
            <w:tcW w:w="2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47.5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27.9</w:t>
            </w:r>
          </w:p>
        </w:tc>
        <w:tc>
          <w:tcPr>
            <w:tcW w:w="2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70.2%</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82.1%</w:t>
            </w:r>
          </w:p>
        </w:tc>
      </w:tr>
      <w:tr>
        <w:trPr>
          <w:trHeight w:val="168"/>
        </w:trPr>
        <w:tc>
          <w:tcPr>
            <w:tcW w:w="6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EMEA</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157.4</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353.0%</w:t>
            </w:r>
          </w:p>
        </w:tc>
        <w:tc>
          <w:tcPr>
            <w:tcW w:w="2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368.0%</w:t>
            </w:r>
          </w:p>
        </w:tc>
      </w:tr>
      <w:tr>
        <w:trPr>
          <w:trHeight w:val="168"/>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227.0%</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240.7%</w:t>
            </w:r>
          </w:p>
        </w:tc>
      </w:tr>
      <w:tr>
        <w:trPr>
          <w:trHeight w:val="167"/>
        </w:trPr>
        <w:tc>
          <w:tcPr>
            <w:tcW w:w="6080" w:type="dxa"/>
            <w:vAlign w:val="bottom"/>
            <w:shd w:val="clear" w:color="auto" w:fill="CCEEFF"/>
          </w:tcPr>
          <w:p>
            <w:pPr>
              <w:ind w:left="60"/>
              <w:spacing w:after="0"/>
              <w:rPr>
                <w:sz w:val="20"/>
                <w:szCs w:val="20"/>
                <w:color w:val="auto"/>
              </w:rPr>
            </w:pPr>
            <w:r>
              <w:rPr>
                <w:rFonts w:ascii="Arial" w:cs="Arial" w:eastAsia="Arial" w:hAnsi="Arial"/>
                <w:sz w:val="14"/>
                <w:szCs w:val="14"/>
                <w:color w:val="auto"/>
              </w:rPr>
              <w:t>Asia Pacific</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26.5</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63.6%</w:t>
            </w:r>
          </w:p>
        </w:tc>
      </w:tr>
      <w:tr>
        <w:trPr>
          <w:trHeight w:val="168"/>
        </w:trPr>
        <w:tc>
          <w:tcPr>
            <w:tcW w:w="6080" w:type="dxa"/>
            <w:vAlign w:val="bottom"/>
          </w:tcPr>
          <w:p>
            <w:pPr>
              <w:ind w:left="80"/>
              <w:spacing w:after="0"/>
              <w:rPr>
                <w:sz w:val="20"/>
                <w:szCs w:val="20"/>
                <w:color w:val="auto"/>
              </w:rPr>
            </w:pPr>
            <w:r>
              <w:rPr>
                <w:rFonts w:ascii="Arial" w:cs="Arial" w:eastAsia="Arial" w:hAnsi="Arial"/>
                <w:sz w:val="14"/>
                <w:szCs w:val="14"/>
                <w:color w:val="auto"/>
              </w:rPr>
              <w:t>Right Management</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-96.9%</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-98.0%</w:t>
            </w:r>
          </w:p>
        </w:tc>
      </w:tr>
      <w:tr>
        <w:trPr>
          <w:trHeight w:val="167"/>
        </w:trPr>
        <w:tc>
          <w:tcPr>
            <w:tcW w:w="6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202.0</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6080" w:type="dxa"/>
            <w:vAlign w:val="bottom"/>
          </w:tcPr>
          <w:p>
            <w:pPr>
              <w:spacing w:after="0"/>
              <w:rPr>
                <w:sz w:val="20"/>
                <w:szCs w:val="20"/>
                <w:color w:val="auto"/>
              </w:rPr>
            </w:pPr>
            <w:r>
              <w:rPr>
                <w:rFonts w:ascii="Arial" w:cs="Arial" w:eastAsia="Arial" w:hAnsi="Arial"/>
                <w:sz w:val="14"/>
                <w:szCs w:val="14"/>
                <w:color w:val="auto"/>
              </w:rPr>
              <w:t>Corporate expenses</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(101.2)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(77.4)</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Goodwill and intangible asset impairment charges</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(428.8)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(61.0)</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6080" w:type="dxa"/>
            <w:vAlign w:val="bottom"/>
          </w:tcPr>
          <w:p>
            <w:pPr>
              <w:spacing w:after="0"/>
              <w:rPr>
                <w:sz w:val="20"/>
                <w:szCs w:val="20"/>
                <w:color w:val="auto"/>
              </w:rPr>
            </w:pPr>
            <w:r>
              <w:rPr>
                <w:rFonts w:ascii="Arial" w:cs="Arial" w:eastAsia="Arial" w:hAnsi="Arial"/>
                <w:sz w:val="14"/>
                <w:szCs w:val="14"/>
                <w:color w:val="auto"/>
              </w:rPr>
              <w:t>Intangible asset amortization expense (c)</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(39.3)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(21.9)</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8"/>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Reclassification of French business tax</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167"/>
        </w:trPr>
        <w:tc>
          <w:tcPr>
            <w:tcW w:w="6080" w:type="dxa"/>
            <w:vAlign w:val="bottom"/>
          </w:tcPr>
          <w:p>
            <w:pPr>
              <w:ind w:left="140"/>
              <w:spacing w:after="0"/>
              <w:rPr>
                <w:sz w:val="20"/>
                <w:szCs w:val="20"/>
                <w:color w:val="auto"/>
              </w:rPr>
            </w:pPr>
            <w:r>
              <w:rPr>
                <w:rFonts w:ascii="Arial" w:cs="Arial" w:eastAsia="Arial" w:hAnsi="Arial"/>
                <w:sz w:val="14"/>
                <w:szCs w:val="14"/>
                <w:color w:val="auto"/>
              </w:rPr>
              <w:t>Operating (loss) profit</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(122.0)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41.7</w:t>
            </w:r>
          </w:p>
        </w:tc>
        <w:tc>
          <w:tcPr>
            <w:tcW w:w="260" w:type="dxa"/>
            <w:vAlign w:val="bottom"/>
          </w:tcPr>
          <w:p>
            <w:pPr>
              <w:spacing w:after="0"/>
              <w:rPr>
                <w:sz w:val="14"/>
                <w:szCs w:val="14"/>
                <w:color w:val="auto"/>
              </w:rPr>
            </w:pPr>
          </w:p>
        </w:tc>
        <w:tc>
          <w:tcPr>
            <w:tcW w:w="1360" w:type="dxa"/>
            <w:vAlign w:val="bottom"/>
            <w:gridSpan w:val="3"/>
          </w:tcPr>
          <w:p>
            <w:pPr>
              <w:ind w:left="640"/>
              <w:spacing w:after="0"/>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167"/>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Interest and other expenses (d)</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(64.6)</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1"/>
        </w:trPr>
        <w:tc>
          <w:tcPr>
            <w:tcW w:w="6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7"/>
        </w:trPr>
        <w:tc>
          <w:tcPr>
            <w:tcW w:w="6080" w:type="dxa"/>
            <w:vAlign w:val="bottom"/>
          </w:tcPr>
          <w:p>
            <w:pPr>
              <w:ind w:left="140"/>
              <w:spacing w:after="0"/>
              <w:rPr>
                <w:sz w:val="20"/>
                <w:szCs w:val="20"/>
                <w:color w:val="auto"/>
              </w:rPr>
            </w:pPr>
            <w:r>
              <w:rPr>
                <w:rFonts w:ascii="Arial" w:cs="Arial" w:eastAsia="Arial" w:hAnsi="Arial"/>
                <w:sz w:val="14"/>
                <w:szCs w:val="14"/>
                <w:color w:val="auto"/>
              </w:rPr>
              <w:t>Loss before income taxes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(165.2)</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(22.9)</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6" w:lineRule="exact"/>
        <w:rPr>
          <w:sz w:val="20"/>
          <w:szCs w:val="20"/>
          <w:color w:val="auto"/>
        </w:rPr>
      </w:pPr>
    </w:p>
    <w:p>
      <w:pPr>
        <w:ind w:right="280" w:firstLine="4"/>
        <w:spacing w:after="0" w:line="261" w:lineRule="auto"/>
        <w:tabs>
          <w:tab w:leader="none" w:pos="189" w:val="left"/>
        </w:tabs>
        <w:numPr>
          <w:ilvl w:val="0"/>
          <w:numId w:val="4"/>
        </w:numPr>
        <w:rPr>
          <w:rFonts w:ascii="Arial" w:cs="Arial" w:eastAsia="Arial" w:hAnsi="Arial"/>
          <w:sz w:val="14"/>
          <w:szCs w:val="14"/>
          <w:color w:val="auto"/>
        </w:rPr>
      </w:pPr>
      <w:r>
        <w:rPr>
          <w:rFonts w:ascii="Arial" w:cs="Arial" w:eastAsia="Arial" w:hAnsi="Arial"/>
          <w:sz w:val="14"/>
          <w:szCs w:val="14"/>
          <w:color w:val="auto"/>
        </w:rPr>
        <w:t>During the fourth quarter of 2010, our segment reporting was realigned due to our Jefferson Wells business being combined with our Professional Finance and Accounting vertical within the United States. Accordingly, our former reportable segment, Jefferson Wells, is now reported within our United States operating segment as part of the Americas reportable segment. All previously reported results have been restated to conform to the current year presentation.</w:t>
      </w:r>
    </w:p>
    <w:p>
      <w:pPr>
        <w:spacing w:after="0" w:line="143" w:lineRule="exact"/>
        <w:rPr>
          <w:rFonts w:ascii="Arial" w:cs="Arial" w:eastAsia="Arial" w:hAnsi="Arial"/>
          <w:sz w:val="14"/>
          <w:szCs w:val="14"/>
          <w:color w:val="auto"/>
        </w:rPr>
      </w:pPr>
    </w:p>
    <w:p>
      <w:pPr>
        <w:ind w:right="120" w:firstLine="4"/>
        <w:spacing w:after="0" w:line="261" w:lineRule="auto"/>
        <w:tabs>
          <w:tab w:leader="none" w:pos="19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United States results include the results of COMSYS IT Partners, Inc., which was acquired on April 5, 2010. United States, revenues from services include fees received from our franchise offices of $13.7 million and $10.5 million for the years ended December 31, 2010 and 2009, respectively. These fees are primarily based on revenues generated by the franchise offices, which were $622.0 million and $459.3 million for the years ended December 31, 2010 and 2009, respectively.</w:t>
      </w:r>
    </w:p>
    <w:p>
      <w:pPr>
        <w:spacing w:after="0" w:line="143" w:lineRule="exact"/>
        <w:rPr>
          <w:rFonts w:ascii="Arial" w:cs="Arial" w:eastAsia="Arial" w:hAnsi="Arial"/>
          <w:sz w:val="14"/>
          <w:szCs w:val="14"/>
          <w:color w:val="auto"/>
        </w:rPr>
      </w:pPr>
    </w:p>
    <w:p>
      <w:pPr>
        <w:ind w:right="460" w:firstLine="4"/>
        <w:spacing w:after="0" w:line="261" w:lineRule="auto"/>
        <w:tabs>
          <w:tab w:leader="none" w:pos="189" w:val="left"/>
        </w:tabs>
        <w:numPr>
          <w:ilvl w:val="0"/>
          <w:numId w:val="4"/>
        </w:numPr>
        <w:rPr>
          <w:rFonts w:ascii="Arial" w:cs="Arial" w:eastAsia="Arial" w:hAnsi="Arial"/>
          <w:sz w:val="14"/>
          <w:szCs w:val="14"/>
          <w:color w:val="auto"/>
        </w:rPr>
      </w:pPr>
      <w:r>
        <w:rPr>
          <w:rFonts w:ascii="Arial" w:cs="Arial" w:eastAsia="Arial" w:hAnsi="Arial"/>
          <w:sz w:val="14"/>
          <w:szCs w:val="14"/>
          <w:color w:val="auto"/>
        </w:rPr>
        <w:t>During the third quarter of 2010, we redefined Operating Unit Profit (Loss) to exclude intangible asset amortization. Therefore, these costs are no longer included as operating costs within the reportable segments and Corporate Expenses, and all intangible asset amortization expense is now shown separately. All previously reported results have been restated to conform to the current year presentation.</w:t>
      </w:r>
    </w:p>
    <w:p>
      <w:pPr>
        <w:spacing w:after="0" w:line="143" w:lineRule="exact"/>
        <w:rPr>
          <w:rFonts w:ascii="Arial" w:cs="Arial" w:eastAsia="Arial" w:hAnsi="Arial"/>
          <w:sz w:val="14"/>
          <w:szCs w:val="14"/>
          <w:color w:val="auto"/>
        </w:rPr>
      </w:pPr>
    </w:p>
    <w:p>
      <w:pPr>
        <w:ind w:left="240" w:hanging="236"/>
        <w:spacing w:after="0"/>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components of interest and other expenses were: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840" w:type="dxa"/>
            <w:vAlign w:val="bottom"/>
          </w:tcPr>
          <w:p>
            <w:pPr>
              <w:spacing w:after="0"/>
              <w:rPr>
                <w:sz w:val="14"/>
                <w:szCs w:val="14"/>
                <w:color w:val="auto"/>
              </w:rPr>
            </w:pPr>
          </w:p>
        </w:tc>
      </w:tr>
      <w:tr>
        <w:trPr>
          <w:trHeight w:val="167"/>
        </w:trPr>
        <w:tc>
          <w:tcPr>
            <w:tcW w:w="6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3520" w:type="dxa"/>
            <w:vAlign w:val="bottom"/>
            <w:gridSpan w:val="2"/>
            <w:shd w:val="clear" w:color="auto" w:fill="CCEEFF"/>
          </w:tcPr>
          <w:p>
            <w:pPr>
              <w:jc w:val="right"/>
              <w:ind w:right="2840"/>
              <w:spacing w:after="0"/>
              <w:rPr>
                <w:sz w:val="20"/>
                <w:szCs w:val="20"/>
                <w:color w:val="auto"/>
              </w:rPr>
            </w:pPr>
            <w:r>
              <w:rPr>
                <w:rFonts w:ascii="Arial" w:cs="Arial" w:eastAsia="Arial" w:hAnsi="Arial"/>
                <w:sz w:val="14"/>
                <w:szCs w:val="14"/>
                <w:color w:val="auto"/>
              </w:rPr>
              <w:t>61.7</w:t>
            </w:r>
          </w:p>
        </w:tc>
      </w:tr>
      <w:tr>
        <w:trPr>
          <w:trHeight w:val="167"/>
        </w:trPr>
        <w:tc>
          <w:tcPr>
            <w:tcW w:w="608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4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20" w:type="dxa"/>
            <w:vAlign w:val="bottom"/>
            <w:gridSpan w:val="2"/>
          </w:tcPr>
          <w:p>
            <w:pPr>
              <w:jc w:val="right"/>
              <w:ind w:right="2800"/>
              <w:spacing w:after="0"/>
              <w:rPr>
                <w:sz w:val="20"/>
                <w:szCs w:val="20"/>
                <w:color w:val="auto"/>
              </w:rPr>
            </w:pPr>
            <w:r>
              <w:rPr>
                <w:rFonts w:ascii="Arial" w:cs="Arial" w:eastAsia="Arial" w:hAnsi="Arial"/>
                <w:sz w:val="14"/>
                <w:szCs w:val="14"/>
                <w:color w:val="auto"/>
              </w:rPr>
              <w:t>(11.7)</w:t>
            </w:r>
          </w:p>
        </w:tc>
      </w:tr>
      <w:tr>
        <w:trPr>
          <w:trHeight w:val="167"/>
        </w:trPr>
        <w:tc>
          <w:tcPr>
            <w:tcW w:w="6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exchange losses</w:t>
            </w: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jc w:val="right"/>
              <w:ind w:right="2840"/>
              <w:spacing w:after="0"/>
              <w:rPr>
                <w:sz w:val="20"/>
                <w:szCs w:val="20"/>
                <w:color w:val="auto"/>
              </w:rPr>
            </w:pPr>
            <w:r>
              <w:rPr>
                <w:rFonts w:ascii="Arial" w:cs="Arial" w:eastAsia="Arial" w:hAnsi="Arial"/>
                <w:sz w:val="14"/>
                <w:szCs w:val="14"/>
                <w:color w:val="auto"/>
              </w:rPr>
              <w:t>0.8</w:t>
            </w:r>
          </w:p>
        </w:tc>
      </w:tr>
      <w:tr>
        <w:trPr>
          <w:trHeight w:val="167"/>
        </w:trPr>
        <w:tc>
          <w:tcPr>
            <w:tcW w:w="6080" w:type="dxa"/>
            <w:vAlign w:val="bottom"/>
          </w:tcPr>
          <w:p>
            <w:pPr>
              <w:ind w:left="280"/>
              <w:spacing w:after="0"/>
              <w:rPr>
                <w:sz w:val="20"/>
                <w:szCs w:val="20"/>
                <w:color w:val="auto"/>
              </w:rPr>
            </w:pPr>
            <w:r>
              <w:rPr>
                <w:rFonts w:ascii="Arial" w:cs="Arial" w:eastAsia="Arial" w:hAnsi="Arial"/>
                <w:sz w:val="14"/>
                <w:szCs w:val="14"/>
                <w:color w:val="auto"/>
              </w:rPr>
              <w:t>Miscellaneous expenses, net</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20" w:type="dxa"/>
            <w:vAlign w:val="bottom"/>
            <w:gridSpan w:val="2"/>
          </w:tcPr>
          <w:p>
            <w:pPr>
              <w:jc w:val="right"/>
              <w:ind w:right="2840"/>
              <w:spacing w:after="0"/>
              <w:rPr>
                <w:sz w:val="20"/>
                <w:szCs w:val="20"/>
                <w:color w:val="auto"/>
              </w:rPr>
            </w:pPr>
            <w:r>
              <w:rPr>
                <w:rFonts w:ascii="Arial" w:cs="Arial" w:eastAsia="Arial" w:hAnsi="Arial"/>
                <w:sz w:val="14"/>
                <w:szCs w:val="14"/>
                <w:color w:val="auto"/>
              </w:rPr>
              <w:t>3.5</w:t>
            </w:r>
          </w:p>
        </w:tc>
      </w:tr>
      <w:tr>
        <w:trPr>
          <w:trHeight w:val="168"/>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Loss from sale of an equity investment</w:t>
            </w:r>
          </w:p>
        </w:tc>
        <w:tc>
          <w:tcPr>
            <w:tcW w:w="4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2840" w:type="dxa"/>
            <w:vAlign w:val="bottom"/>
            <w:tcBorders>
              <w:bottom w:val="single" w:sz="8" w:color="CCEEFF"/>
            </w:tcBorders>
            <w:shd w:val="clear" w:color="auto" w:fill="CCEEFF"/>
          </w:tcPr>
          <w:p>
            <w:pPr>
              <w:spacing w:after="0"/>
              <w:rPr>
                <w:sz w:val="14"/>
                <w:szCs w:val="14"/>
                <w:color w:val="auto"/>
              </w:rPr>
            </w:pPr>
          </w:p>
        </w:tc>
      </w:tr>
      <w:tr>
        <w:trPr>
          <w:trHeight w:val="167"/>
        </w:trPr>
        <w:tc>
          <w:tcPr>
            <w:tcW w:w="6080" w:type="dxa"/>
            <w:vAlign w:val="bottom"/>
          </w:tcPr>
          <w:p>
            <w:pPr>
              <w:spacing w:after="0"/>
              <w:rPr>
                <w:sz w:val="14"/>
                <w:szCs w:val="14"/>
                <w:color w:val="auto"/>
              </w:rPr>
            </w:pPr>
          </w:p>
        </w:tc>
        <w:tc>
          <w:tcPr>
            <w:tcW w:w="480" w:type="dxa"/>
            <w:vAlign w:val="bottom"/>
          </w:tcPr>
          <w:p>
            <w:pPr>
              <w:jc w:val="right"/>
              <w:ind w:right="33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43.2</w:t>
            </w:r>
          </w:p>
        </w:tc>
        <w:tc>
          <w:tcPr>
            <w:tcW w:w="140" w:type="dxa"/>
            <w:vAlign w:val="bottom"/>
          </w:tcPr>
          <w:p>
            <w:pPr>
              <w:spacing w:after="0"/>
              <w:rPr>
                <w:sz w:val="14"/>
                <w:szCs w:val="14"/>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3520" w:type="dxa"/>
            <w:vAlign w:val="bottom"/>
            <w:gridSpan w:val="2"/>
          </w:tcPr>
          <w:p>
            <w:pPr>
              <w:jc w:val="right"/>
              <w:ind w:right="2840"/>
              <w:spacing w:after="0"/>
              <w:rPr>
                <w:sz w:val="20"/>
                <w:szCs w:val="20"/>
                <w:color w:val="auto"/>
              </w:rPr>
            </w:pPr>
            <w:r>
              <w:rPr>
                <w:rFonts w:ascii="Arial" w:cs="Arial" w:eastAsia="Arial" w:hAnsi="Arial"/>
                <w:sz w:val="14"/>
                <w:szCs w:val="14"/>
                <w:color w:val="auto"/>
              </w:rPr>
              <w:t>64.6</w:t>
            </w:r>
          </w:p>
        </w:tc>
      </w:tr>
      <w:tr>
        <w:trPr>
          <w:trHeight w:val="20"/>
        </w:trPr>
        <w:tc>
          <w:tcPr>
            <w:tcW w:w="60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447"/>
        </w:trPr>
        <w:tc>
          <w:tcPr>
            <w:tcW w:w="60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99" w:right="219" w:bottom="1440" w:gutter="0" w:footer="0" w:header="0"/>
        </w:sectPr>
      </w:pPr>
    </w:p>
    <w:bookmarkStart w:id="9" w:name="page10"/>
    <w:bookmarkEnd w:id="9"/>
    <w:p>
      <w:pPr>
        <w:jc w:val="center"/>
        <w:ind w:right="100"/>
        <w:spacing w:after="0"/>
        <w:rPr>
          <w:sz w:val="20"/>
          <w:szCs w:val="20"/>
          <w:color w:val="auto"/>
        </w:rPr>
      </w:pPr>
      <w:r>
        <w:rPr>
          <w:rFonts w:ascii="Arial" w:cs="Arial" w:eastAsia="Arial" w:hAnsi="Arial"/>
          <w:sz w:val="17"/>
          <w:szCs w:val="17"/>
          <w:color w:val="auto"/>
        </w:rPr>
        <w:t>Manpower Inc.</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Consolidated Balance Sheets</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 31</w:t>
            </w:r>
          </w:p>
        </w:tc>
        <w:tc>
          <w:tcPr>
            <w:tcW w:w="28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Dec. 31</w:t>
            </w:r>
          </w:p>
        </w:tc>
      </w:tr>
      <w:tr>
        <w:trPr>
          <w:trHeight w:val="183"/>
        </w:trPr>
        <w:tc>
          <w:tcPr>
            <w:tcW w:w="6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r>
      <w:tr>
        <w:trPr>
          <w:trHeight w:val="167"/>
        </w:trPr>
        <w:tc>
          <w:tcPr>
            <w:tcW w:w="6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right"/>
              <w:ind w:right="8"/>
              <w:spacing w:after="0"/>
              <w:rPr>
                <w:sz w:val="20"/>
                <w:szCs w:val="20"/>
                <w:color w:val="auto"/>
              </w:rPr>
            </w:pPr>
            <w:r>
              <w:rPr>
                <w:rFonts w:ascii="Arial" w:cs="Arial" w:eastAsia="Arial" w:hAnsi="Arial"/>
                <w:sz w:val="14"/>
                <w:szCs w:val="14"/>
                <w:color w:val="auto"/>
              </w:rPr>
              <w:t>(Unaudited)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622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and cash equivalents</w:t>
            </w:r>
          </w:p>
        </w:tc>
        <w:tc>
          <w:tcPr>
            <w:tcW w:w="2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772.6</w:t>
            </w:r>
          </w:p>
        </w:tc>
        <w:tc>
          <w:tcPr>
            <w:tcW w:w="2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1,014.6</w:t>
            </w:r>
          </w:p>
        </w:tc>
      </w:tr>
      <w:tr>
        <w:trPr>
          <w:trHeight w:val="167"/>
        </w:trPr>
        <w:tc>
          <w:tcPr>
            <w:tcW w:w="6220" w:type="dxa"/>
            <w:vAlign w:val="bottom"/>
          </w:tcPr>
          <w:p>
            <w:pPr>
              <w:ind w:left="60"/>
              <w:spacing w:after="0"/>
              <w:rPr>
                <w:sz w:val="20"/>
                <w:szCs w:val="20"/>
                <w:color w:val="auto"/>
              </w:rPr>
            </w:pPr>
            <w:r>
              <w:rPr>
                <w:rFonts w:ascii="Arial" w:cs="Arial" w:eastAsia="Arial" w:hAnsi="Arial"/>
                <w:sz w:val="14"/>
                <w:szCs w:val="14"/>
                <w:color w:val="auto"/>
              </w:rPr>
              <w:t>Accounts receivable, net</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3,844.1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3,070.8</w:t>
            </w:r>
          </w:p>
        </w:tc>
      </w:tr>
      <w:tr>
        <w:trPr>
          <w:trHeight w:val="167"/>
        </w:trPr>
        <w:tc>
          <w:tcPr>
            <w:tcW w:w="6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Prepaid expenses and other assets</w:t>
            </w: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197.6</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179.6</w:t>
            </w:r>
          </w:p>
        </w:tc>
      </w:tr>
      <w:tr>
        <w:trPr>
          <w:trHeight w:val="168"/>
        </w:trPr>
        <w:tc>
          <w:tcPr>
            <w:tcW w:w="6220" w:type="dxa"/>
            <w:vAlign w:val="bottom"/>
          </w:tcPr>
          <w:p>
            <w:pPr>
              <w:ind w:left="80"/>
              <w:spacing w:after="0"/>
              <w:rPr>
                <w:sz w:val="20"/>
                <w:szCs w:val="20"/>
                <w:color w:val="auto"/>
              </w:rPr>
            </w:pPr>
            <w:r>
              <w:rPr>
                <w:rFonts w:ascii="Arial" w:cs="Arial" w:eastAsia="Arial" w:hAnsi="Arial"/>
                <w:sz w:val="14"/>
                <w:szCs w:val="14"/>
                <w:color w:val="auto"/>
              </w:rPr>
              <w:t>Future income tax benefits</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59.7</w:t>
            </w: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67.4</w:t>
            </w:r>
          </w:p>
        </w:tc>
      </w:tr>
      <w:tr>
        <w:trPr>
          <w:trHeight w:val="167"/>
        </w:trPr>
        <w:tc>
          <w:tcPr>
            <w:tcW w:w="6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current assets</w:t>
            </w:r>
          </w:p>
        </w:tc>
        <w:tc>
          <w:tcPr>
            <w:tcW w:w="26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4,874.0</w:t>
            </w:r>
          </w:p>
        </w:tc>
        <w:tc>
          <w:tcPr>
            <w:tcW w:w="24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4,332.4</w:t>
            </w:r>
          </w:p>
        </w:tc>
        <w:tc>
          <w:tcPr>
            <w:tcW w:w="100" w:type="dxa"/>
            <w:vAlign w:val="bottom"/>
            <w:shd w:val="clear" w:color="auto" w:fill="CCEEFF"/>
          </w:tcPr>
          <w:p>
            <w:pPr>
              <w:spacing w:after="0"/>
              <w:rPr>
                <w:sz w:val="14"/>
                <w:szCs w:val="14"/>
                <w:color w:val="auto"/>
              </w:rPr>
            </w:pPr>
          </w:p>
        </w:tc>
      </w:tr>
      <w:tr>
        <w:trPr>
          <w:trHeight w:val="167"/>
        </w:trPr>
        <w:tc>
          <w:tcPr>
            <w:tcW w:w="6220" w:type="dxa"/>
            <w:vAlign w:val="bottom"/>
          </w:tcPr>
          <w:p>
            <w:pPr>
              <w:spacing w:after="0"/>
              <w:rPr>
                <w:sz w:val="20"/>
                <w:szCs w:val="20"/>
                <w:color w:val="auto"/>
              </w:rPr>
            </w:pPr>
            <w:r>
              <w:rPr>
                <w:rFonts w:ascii="Arial" w:cs="Arial" w:eastAsia="Arial" w:hAnsi="Arial"/>
                <w:sz w:val="14"/>
                <w:szCs w:val="14"/>
                <w:b w:val="1"/>
                <w:bCs w:val="1"/>
                <w:color w:val="auto"/>
              </w:rPr>
              <w:t>Other assets:</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Goodwill and other intangible assets, net</w:t>
            </w: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1,330.3</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1,357.5</w:t>
            </w:r>
          </w:p>
        </w:tc>
      </w:tr>
      <w:tr>
        <w:trPr>
          <w:trHeight w:val="168"/>
        </w:trPr>
        <w:tc>
          <w:tcPr>
            <w:tcW w:w="6220" w:type="dxa"/>
            <w:vAlign w:val="bottom"/>
          </w:tcPr>
          <w:p>
            <w:pPr>
              <w:ind w:left="80"/>
              <w:spacing w:after="0"/>
              <w:rPr>
                <w:sz w:val="20"/>
                <w:szCs w:val="20"/>
                <w:color w:val="auto"/>
              </w:rPr>
            </w:pPr>
            <w:r>
              <w:rPr>
                <w:rFonts w:ascii="Arial" w:cs="Arial" w:eastAsia="Arial" w:hAnsi="Arial"/>
                <w:sz w:val="14"/>
                <w:szCs w:val="14"/>
                <w:color w:val="auto"/>
              </w:rPr>
              <w:t>Other assets</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355.1</w:t>
            </w: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347.5</w:t>
            </w:r>
          </w:p>
        </w:tc>
      </w:tr>
      <w:tr>
        <w:trPr>
          <w:trHeight w:val="167"/>
        </w:trPr>
        <w:tc>
          <w:tcPr>
            <w:tcW w:w="6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other assets</w:t>
            </w:r>
          </w:p>
        </w:tc>
        <w:tc>
          <w:tcPr>
            <w:tcW w:w="26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1,685.4</w:t>
            </w:r>
          </w:p>
        </w:tc>
        <w:tc>
          <w:tcPr>
            <w:tcW w:w="24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1,705.0</w:t>
            </w:r>
          </w:p>
        </w:tc>
        <w:tc>
          <w:tcPr>
            <w:tcW w:w="100" w:type="dxa"/>
            <w:vAlign w:val="bottom"/>
            <w:shd w:val="clear" w:color="auto" w:fill="CCEEFF"/>
          </w:tcPr>
          <w:p>
            <w:pPr>
              <w:spacing w:after="0"/>
              <w:rPr>
                <w:sz w:val="14"/>
                <w:szCs w:val="14"/>
                <w:color w:val="auto"/>
              </w:rPr>
            </w:pPr>
          </w:p>
        </w:tc>
      </w:tr>
      <w:tr>
        <w:trPr>
          <w:trHeight w:val="167"/>
        </w:trPr>
        <w:tc>
          <w:tcPr>
            <w:tcW w:w="6220" w:type="dxa"/>
            <w:vAlign w:val="bottom"/>
          </w:tcPr>
          <w:p>
            <w:pPr>
              <w:spacing w:after="0"/>
              <w:rPr>
                <w:sz w:val="20"/>
                <w:szCs w:val="20"/>
                <w:color w:val="auto"/>
              </w:rPr>
            </w:pPr>
            <w:r>
              <w:rPr>
                <w:rFonts w:ascii="Arial" w:cs="Arial" w:eastAsia="Arial" w:hAnsi="Arial"/>
                <w:sz w:val="14"/>
                <w:szCs w:val="14"/>
                <w:b w:val="1"/>
                <w:bCs w:val="1"/>
                <w:color w:val="auto"/>
              </w:rPr>
              <w:t>Property and equipment:</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Land, buildings, leasehold improvements and equipment</w:t>
            </w: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688.8</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703.6</w:t>
            </w:r>
          </w:p>
        </w:tc>
      </w:tr>
      <w:tr>
        <w:trPr>
          <w:trHeight w:val="167"/>
        </w:trPr>
        <w:tc>
          <w:tcPr>
            <w:tcW w:w="6220" w:type="dxa"/>
            <w:vAlign w:val="bottom"/>
          </w:tcPr>
          <w:p>
            <w:pPr>
              <w:ind w:left="80"/>
              <w:spacing w:after="0"/>
              <w:rPr>
                <w:sz w:val="20"/>
                <w:szCs w:val="20"/>
                <w:color w:val="auto"/>
              </w:rPr>
            </w:pPr>
            <w:r>
              <w:rPr>
                <w:rFonts w:ascii="Arial" w:cs="Arial" w:eastAsia="Arial" w:hAnsi="Arial"/>
                <w:sz w:val="14"/>
                <w:szCs w:val="14"/>
                <w:color w:val="auto"/>
              </w:rPr>
              <w:t>Less: accumulated depreciation and amortization</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518.5</w:t>
            </w: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527.2</w:t>
            </w:r>
          </w:p>
        </w:tc>
      </w:tr>
      <w:tr>
        <w:trPr>
          <w:trHeight w:val="21"/>
        </w:trPr>
        <w:tc>
          <w:tcPr>
            <w:tcW w:w="6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6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property and equipment</w:t>
            </w: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170.3</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176.4</w:t>
            </w:r>
          </w:p>
        </w:tc>
      </w:tr>
      <w:tr>
        <w:trPr>
          <w:trHeight w:val="21"/>
        </w:trPr>
        <w:tc>
          <w:tcPr>
            <w:tcW w:w="622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7"/>
        </w:trPr>
        <w:tc>
          <w:tcPr>
            <w:tcW w:w="622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2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6,729.7</w:t>
            </w:r>
          </w:p>
        </w:tc>
        <w:tc>
          <w:tcPr>
            <w:tcW w:w="240" w:type="dxa"/>
            <w:vAlign w:val="bottom"/>
          </w:tcPr>
          <w:p>
            <w:pPr>
              <w:spacing w:after="0"/>
              <w:rPr>
                <w:sz w:val="14"/>
                <w:szCs w:val="14"/>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6,213.8</w:t>
            </w:r>
          </w:p>
        </w:tc>
      </w:tr>
      <w:tr>
        <w:trPr>
          <w:trHeight w:val="20"/>
        </w:trPr>
        <w:tc>
          <w:tcPr>
            <w:tcW w:w="6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2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622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Accounts payable</w:t>
            </w:r>
          </w:p>
        </w:tc>
        <w:tc>
          <w:tcPr>
            <w:tcW w:w="2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1,313.9</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944.4</w:t>
            </w:r>
          </w:p>
        </w:tc>
      </w:tr>
      <w:tr>
        <w:trPr>
          <w:trHeight w:val="167"/>
        </w:trPr>
        <w:tc>
          <w:tcPr>
            <w:tcW w:w="6220" w:type="dxa"/>
            <w:vAlign w:val="bottom"/>
          </w:tcPr>
          <w:p>
            <w:pPr>
              <w:ind w:left="80"/>
              <w:spacing w:after="0"/>
              <w:rPr>
                <w:sz w:val="20"/>
                <w:szCs w:val="20"/>
                <w:color w:val="auto"/>
              </w:rPr>
            </w:pPr>
            <w:r>
              <w:rPr>
                <w:rFonts w:ascii="Arial" w:cs="Arial" w:eastAsia="Arial" w:hAnsi="Arial"/>
                <w:sz w:val="14"/>
                <w:szCs w:val="14"/>
                <w:color w:val="auto"/>
              </w:rPr>
              <w:t>Employee compensation payable</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240.2</w:t>
            </w: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187.8</w:t>
            </w:r>
          </w:p>
        </w:tc>
      </w:tr>
      <w:tr>
        <w:trPr>
          <w:trHeight w:val="167"/>
        </w:trPr>
        <w:tc>
          <w:tcPr>
            <w:tcW w:w="6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Accrued liabilities</w:t>
            </w: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547.4</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465.9</w:t>
            </w:r>
          </w:p>
        </w:tc>
      </w:tr>
      <w:tr>
        <w:trPr>
          <w:trHeight w:val="167"/>
        </w:trPr>
        <w:tc>
          <w:tcPr>
            <w:tcW w:w="6220" w:type="dxa"/>
            <w:vAlign w:val="bottom"/>
          </w:tcPr>
          <w:p>
            <w:pPr>
              <w:ind w:left="60"/>
              <w:spacing w:after="0"/>
              <w:rPr>
                <w:sz w:val="20"/>
                <w:szCs w:val="20"/>
                <w:color w:val="auto"/>
              </w:rPr>
            </w:pPr>
            <w:r>
              <w:rPr>
                <w:rFonts w:ascii="Arial" w:cs="Arial" w:eastAsia="Arial" w:hAnsi="Arial"/>
                <w:sz w:val="14"/>
                <w:szCs w:val="14"/>
                <w:color w:val="auto"/>
              </w:rPr>
              <w:t>Accrued payroll taxes and insurance</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677.7</w:t>
            </w: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572.0</w:t>
            </w:r>
          </w:p>
        </w:tc>
      </w:tr>
      <w:tr>
        <w:trPr>
          <w:trHeight w:val="167"/>
        </w:trPr>
        <w:tc>
          <w:tcPr>
            <w:tcW w:w="6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Value added taxes payable</w:t>
            </w: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482.2</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391.2</w:t>
            </w:r>
          </w:p>
        </w:tc>
      </w:tr>
      <w:tr>
        <w:trPr>
          <w:trHeight w:val="168"/>
        </w:trPr>
        <w:tc>
          <w:tcPr>
            <w:tcW w:w="6220" w:type="dxa"/>
            <w:vAlign w:val="bottom"/>
          </w:tcPr>
          <w:p>
            <w:pPr>
              <w:ind w:left="80"/>
              <w:spacing w:after="0"/>
              <w:rPr>
                <w:sz w:val="20"/>
                <w:szCs w:val="20"/>
                <w:color w:val="auto"/>
              </w:rPr>
            </w:pPr>
            <w:r>
              <w:rPr>
                <w:rFonts w:ascii="Arial" w:cs="Arial" w:eastAsia="Arial" w:hAnsi="Arial"/>
                <w:sz w:val="14"/>
                <w:szCs w:val="14"/>
                <w:color w:val="auto"/>
              </w:rPr>
              <w:t>Short-term borrowings and current maturities of long-term debt</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28.7</w:t>
            </w: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41.7</w:t>
            </w:r>
          </w:p>
        </w:tc>
      </w:tr>
      <w:tr>
        <w:trPr>
          <w:trHeight w:val="167"/>
        </w:trPr>
        <w:tc>
          <w:tcPr>
            <w:tcW w:w="6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26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3,290.1</w:t>
            </w:r>
          </w:p>
        </w:tc>
        <w:tc>
          <w:tcPr>
            <w:tcW w:w="24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2,603.0</w:t>
            </w:r>
          </w:p>
        </w:tc>
        <w:tc>
          <w:tcPr>
            <w:tcW w:w="100" w:type="dxa"/>
            <w:vAlign w:val="bottom"/>
            <w:shd w:val="clear" w:color="auto" w:fill="CCEEFF"/>
          </w:tcPr>
          <w:p>
            <w:pPr>
              <w:spacing w:after="0"/>
              <w:rPr>
                <w:sz w:val="14"/>
                <w:szCs w:val="14"/>
                <w:color w:val="auto"/>
              </w:rPr>
            </w:pPr>
          </w:p>
        </w:tc>
      </w:tr>
      <w:tr>
        <w:trPr>
          <w:trHeight w:val="167"/>
        </w:trPr>
        <w:tc>
          <w:tcPr>
            <w:tcW w:w="6220" w:type="dxa"/>
            <w:vAlign w:val="bottom"/>
          </w:tcPr>
          <w:p>
            <w:pPr>
              <w:spacing w:after="0"/>
              <w:rPr>
                <w:sz w:val="20"/>
                <w:szCs w:val="20"/>
                <w:color w:val="auto"/>
              </w:rPr>
            </w:pPr>
            <w:r>
              <w:rPr>
                <w:rFonts w:ascii="Arial" w:cs="Arial" w:eastAsia="Arial" w:hAnsi="Arial"/>
                <w:sz w:val="14"/>
                <w:szCs w:val="14"/>
                <w:b w:val="1"/>
                <w:bCs w:val="1"/>
                <w:color w:val="auto"/>
              </w:rPr>
              <w:t>Other liabilities:</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Long-term debt</w:t>
            </w: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669.3</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715.6</w:t>
            </w:r>
          </w:p>
        </w:tc>
      </w:tr>
      <w:tr>
        <w:trPr>
          <w:trHeight w:val="168"/>
        </w:trPr>
        <w:tc>
          <w:tcPr>
            <w:tcW w:w="6220" w:type="dxa"/>
            <w:vAlign w:val="bottom"/>
          </w:tcPr>
          <w:p>
            <w:pPr>
              <w:ind w:left="80"/>
              <w:spacing w:after="0"/>
              <w:rPr>
                <w:sz w:val="20"/>
                <w:szCs w:val="20"/>
                <w:color w:val="auto"/>
              </w:rPr>
            </w:pPr>
            <w:r>
              <w:rPr>
                <w:rFonts w:ascii="Arial" w:cs="Arial" w:eastAsia="Arial" w:hAnsi="Arial"/>
                <w:sz w:val="14"/>
                <w:szCs w:val="14"/>
                <w:color w:val="auto"/>
              </w:rPr>
              <w:t>Other long-term liabilities</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373.1</w:t>
            </w: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358.7</w:t>
            </w:r>
          </w:p>
        </w:tc>
      </w:tr>
      <w:tr>
        <w:trPr>
          <w:trHeight w:val="167"/>
        </w:trPr>
        <w:tc>
          <w:tcPr>
            <w:tcW w:w="6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other liabilities</w:t>
            </w:r>
          </w:p>
        </w:tc>
        <w:tc>
          <w:tcPr>
            <w:tcW w:w="26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1,042.4</w:t>
            </w:r>
          </w:p>
        </w:tc>
        <w:tc>
          <w:tcPr>
            <w:tcW w:w="24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1,074.3</w:t>
            </w:r>
          </w:p>
        </w:tc>
        <w:tc>
          <w:tcPr>
            <w:tcW w:w="100" w:type="dxa"/>
            <w:vAlign w:val="bottom"/>
            <w:shd w:val="clear" w:color="auto" w:fill="CCEEFF"/>
          </w:tcPr>
          <w:p>
            <w:pPr>
              <w:spacing w:after="0"/>
              <w:rPr>
                <w:sz w:val="14"/>
                <w:szCs w:val="14"/>
                <w:color w:val="auto"/>
              </w:rPr>
            </w:pPr>
          </w:p>
        </w:tc>
      </w:tr>
      <w:tr>
        <w:trPr>
          <w:trHeight w:val="167"/>
        </w:trPr>
        <w:tc>
          <w:tcPr>
            <w:tcW w:w="6220" w:type="dxa"/>
            <w:vAlign w:val="bottom"/>
          </w:tcPr>
          <w:p>
            <w:pPr>
              <w:spacing w:after="0"/>
              <w:rPr>
                <w:sz w:val="20"/>
                <w:szCs w:val="20"/>
                <w:color w:val="auto"/>
              </w:rPr>
            </w:pPr>
            <w:r>
              <w:rPr>
                <w:rFonts w:ascii="Arial" w:cs="Arial" w:eastAsia="Arial" w:hAnsi="Arial"/>
                <w:sz w:val="14"/>
                <w:szCs w:val="14"/>
                <w:b w:val="1"/>
                <w:bCs w:val="1"/>
                <w:color w:val="auto"/>
              </w:rPr>
              <w:t>Shareholders' equity:</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 stock</w:t>
            </w: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r>
      <w:tr>
        <w:trPr>
          <w:trHeight w:val="167"/>
        </w:trPr>
        <w:tc>
          <w:tcPr>
            <w:tcW w:w="6220" w:type="dxa"/>
            <w:vAlign w:val="bottom"/>
          </w:tcPr>
          <w:p>
            <w:pPr>
              <w:ind w:left="80"/>
              <w:spacing w:after="0"/>
              <w:rPr>
                <w:sz w:val="20"/>
                <w:szCs w:val="20"/>
                <w:color w:val="auto"/>
              </w:rPr>
            </w:pPr>
            <w:r>
              <w:rPr>
                <w:rFonts w:ascii="Arial" w:cs="Arial" w:eastAsia="Arial" w:hAnsi="Arial"/>
                <w:sz w:val="14"/>
                <w:szCs w:val="14"/>
                <w:color w:val="auto"/>
              </w:rPr>
              <w:t>Capital in excess of par value</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2,781.7</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2,544.2</w:t>
            </w:r>
          </w:p>
        </w:tc>
      </w:tr>
      <w:tr>
        <w:trPr>
          <w:trHeight w:val="167"/>
        </w:trPr>
        <w:tc>
          <w:tcPr>
            <w:tcW w:w="6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Retained earnings</w:t>
            </w: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785.2</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1,109.6</w:t>
            </w:r>
          </w:p>
        </w:tc>
      </w:tr>
      <w:tr>
        <w:trPr>
          <w:trHeight w:val="167"/>
        </w:trPr>
        <w:tc>
          <w:tcPr>
            <w:tcW w:w="6220" w:type="dxa"/>
            <w:vAlign w:val="bottom"/>
          </w:tcPr>
          <w:p>
            <w:pPr>
              <w:ind w:left="60"/>
              <w:spacing w:after="0"/>
              <w:rPr>
                <w:sz w:val="20"/>
                <w:szCs w:val="20"/>
                <w:color w:val="auto"/>
              </w:rPr>
            </w:pPr>
            <w:r>
              <w:rPr>
                <w:rFonts w:ascii="Arial" w:cs="Arial" w:eastAsia="Arial" w:hAnsi="Arial"/>
                <w:sz w:val="14"/>
                <w:szCs w:val="14"/>
                <w:color w:val="auto"/>
              </w:rPr>
              <w:t>Accumulated other comprehensive income</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87.0</w:t>
            </w: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106.9</w:t>
            </w:r>
          </w:p>
        </w:tc>
      </w:tr>
      <w:tr>
        <w:trPr>
          <w:trHeight w:val="168"/>
        </w:trPr>
        <w:tc>
          <w:tcPr>
            <w:tcW w:w="6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Treasury stock, at cost</w:t>
            </w: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(1,257.8)</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(1,225.2)</w:t>
            </w:r>
          </w:p>
        </w:tc>
      </w:tr>
      <w:tr>
        <w:trPr>
          <w:trHeight w:val="168"/>
        </w:trPr>
        <w:tc>
          <w:tcPr>
            <w:tcW w:w="6220" w:type="dxa"/>
            <w:vAlign w:val="bottom"/>
            <w:tcBorders>
              <w:top w:val="single" w:sz="8" w:color="CCEEFF"/>
            </w:tcBorders>
          </w:tcPr>
          <w:p>
            <w:pPr>
              <w:ind w:left="220"/>
              <w:spacing w:after="0"/>
              <w:rPr>
                <w:sz w:val="20"/>
                <w:szCs w:val="20"/>
                <w:color w:val="auto"/>
              </w:rPr>
            </w:pPr>
            <w:r>
              <w:rPr>
                <w:rFonts w:ascii="Arial" w:cs="Arial" w:eastAsia="Arial" w:hAnsi="Arial"/>
                <w:sz w:val="14"/>
                <w:szCs w:val="14"/>
                <w:color w:val="auto"/>
              </w:rPr>
              <w:t>Total shareholders' equity</w:t>
            </w:r>
          </w:p>
        </w:tc>
        <w:tc>
          <w:tcPr>
            <w:tcW w:w="2620" w:type="dxa"/>
            <w:vAlign w:val="bottom"/>
            <w:tcBorders>
              <w:top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2,397.2</w:t>
            </w:r>
          </w:p>
        </w:tc>
        <w:tc>
          <w:tcPr>
            <w:tcW w:w="240" w:type="dxa"/>
            <w:vAlign w:val="bottom"/>
            <w:tcBorders>
              <w:top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2,536.5</w:t>
            </w:r>
          </w:p>
        </w:tc>
        <w:tc>
          <w:tcPr>
            <w:tcW w:w="100" w:type="dxa"/>
            <w:vAlign w:val="bottom"/>
            <w:tcBorders>
              <w:top w:val="single" w:sz="8" w:color="CCEEFF"/>
            </w:tcBorders>
          </w:tcPr>
          <w:p>
            <w:pPr>
              <w:spacing w:after="0"/>
              <w:rPr>
                <w:sz w:val="14"/>
                <w:szCs w:val="14"/>
                <w:color w:val="auto"/>
              </w:rPr>
            </w:pPr>
          </w:p>
        </w:tc>
      </w:tr>
      <w:tr>
        <w:trPr>
          <w:trHeight w:val="207"/>
        </w:trPr>
        <w:tc>
          <w:tcPr>
            <w:tcW w:w="6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liabilities and shareholders' equity</w:t>
            </w:r>
          </w:p>
        </w:tc>
        <w:tc>
          <w:tcPr>
            <w:tcW w:w="2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6,729.7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6,213.8</w:t>
            </w:r>
          </w:p>
        </w:tc>
      </w:tr>
      <w:tr>
        <w:trPr>
          <w:trHeight w:val="562"/>
        </w:trPr>
        <w:tc>
          <w:tcPr>
            <w:tcW w:w="6220" w:type="dxa"/>
            <w:vAlign w:val="bottom"/>
            <w:tcBorders>
              <w:top w:val="single" w:sz="8" w:color="CCEEFF"/>
              <w:bottom w:val="single" w:sz="8" w:color="808080"/>
            </w:tcBorders>
          </w:tcPr>
          <w:p>
            <w:pPr>
              <w:spacing w:after="0"/>
              <w:rPr>
                <w:sz w:val="24"/>
                <w:szCs w:val="24"/>
                <w:color w:val="auto"/>
              </w:rPr>
            </w:pPr>
          </w:p>
        </w:tc>
        <w:tc>
          <w:tcPr>
            <w:tcW w:w="262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940" w:type="dxa"/>
            <w:vAlign w:val="bottom"/>
            <w:tcBorders>
              <w:top w:val="single" w:sz="8" w:color="auto"/>
              <w:bottom w:val="single" w:sz="8" w:color="808080"/>
            </w:tcBorders>
          </w:tcPr>
          <w:p>
            <w:pPr>
              <w:spacing w:after="0"/>
              <w:rPr>
                <w:sz w:val="24"/>
                <w:szCs w:val="24"/>
                <w:color w:val="auto"/>
              </w:rPr>
            </w:pPr>
          </w:p>
        </w:tc>
        <w:tc>
          <w:tcPr>
            <w:tcW w:w="24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auto"/>
              <w:bottom w:val="single" w:sz="8" w:color="808080"/>
            </w:tcBorders>
          </w:tcPr>
          <w:p>
            <w:pPr>
              <w:spacing w:after="0"/>
              <w:rPr>
                <w:sz w:val="24"/>
                <w:szCs w:val="24"/>
                <w:color w:val="auto"/>
              </w:rPr>
            </w:pPr>
          </w:p>
        </w:tc>
        <w:tc>
          <w:tcPr>
            <w:tcW w:w="86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11" w:right="219" w:bottom="1440" w:gutter="0" w:footer="0" w:header="0"/>
        </w:sectPr>
      </w:pPr>
    </w:p>
    <w:bookmarkStart w:id="10" w:name="page11"/>
    <w:bookmarkEnd w:id="10"/>
    <w:p>
      <w:pPr>
        <w:jc w:val="center"/>
        <w:ind w:right="100"/>
        <w:spacing w:after="0"/>
        <w:rPr>
          <w:sz w:val="20"/>
          <w:szCs w:val="20"/>
          <w:color w:val="auto"/>
        </w:rPr>
      </w:pPr>
      <w:r>
        <w:rPr>
          <w:rFonts w:ascii="Arial" w:cs="Arial" w:eastAsia="Arial" w:hAnsi="Arial"/>
          <w:sz w:val="17"/>
          <w:szCs w:val="17"/>
          <w:color w:val="auto"/>
        </w:rPr>
        <w:t>Manpower Inc.</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Consolidated Statements of Cash Flows</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88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8"/>
        </w:trPr>
        <w:tc>
          <w:tcPr>
            <w:tcW w:w="88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67"/>
        </w:trPr>
        <w:tc>
          <w:tcPr>
            <w:tcW w:w="8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gridSpan w:val="3"/>
          </w:tcPr>
          <w:p>
            <w:pPr>
              <w:jc w:val="center"/>
              <w:ind w:left="10"/>
              <w:spacing w:after="0"/>
              <w:rPr>
                <w:sz w:val="20"/>
                <w:szCs w:val="20"/>
                <w:color w:val="auto"/>
              </w:rPr>
            </w:pPr>
            <w:r>
              <w:rPr>
                <w:rFonts w:ascii="Arial" w:cs="Arial" w:eastAsia="Arial" w:hAnsi="Arial"/>
                <w:sz w:val="14"/>
                <w:szCs w:val="14"/>
                <w:color w:val="auto"/>
                <w:w w:val="92"/>
              </w:rPr>
              <w:t>(Unaudited)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8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8860" w:type="dxa"/>
            <w:vAlign w:val="bottom"/>
          </w:tcPr>
          <w:p>
            <w:pPr>
              <w:ind w:left="80"/>
              <w:spacing w:after="0"/>
              <w:rPr>
                <w:sz w:val="20"/>
                <w:szCs w:val="20"/>
                <w:color w:val="auto"/>
              </w:rPr>
            </w:pPr>
            <w:r>
              <w:rPr>
                <w:rFonts w:ascii="Arial" w:cs="Arial" w:eastAsia="Arial" w:hAnsi="Arial"/>
                <w:sz w:val="14"/>
                <w:szCs w:val="14"/>
                <w:color w:val="auto"/>
              </w:rPr>
              <w:t>Net loss</w:t>
            </w:r>
          </w:p>
        </w:tc>
        <w:tc>
          <w:tcPr>
            <w:tcW w:w="700" w:type="dxa"/>
            <w:vAlign w:val="bottom"/>
          </w:tcPr>
          <w:p>
            <w:pPr>
              <w:jc w:val="right"/>
              <w:ind w:right="621"/>
              <w:spacing w:after="0"/>
              <w:rPr>
                <w:sz w:val="20"/>
                <w:szCs w:val="20"/>
                <w:color w:val="auto"/>
              </w:rPr>
            </w:pPr>
            <w:r>
              <w:rPr>
                <w:rFonts w:ascii="Arial" w:cs="Arial" w:eastAsia="Arial" w:hAnsi="Arial"/>
                <w:sz w:val="5"/>
                <w:szCs w:val="5"/>
                <w:color w:val="auto"/>
                <w:w w:val="70"/>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(263.6)</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(9.2)</w:t>
            </w:r>
          </w:p>
        </w:tc>
      </w:tr>
      <w:tr>
        <w:trPr>
          <w:trHeight w:val="167"/>
        </w:trPr>
        <w:tc>
          <w:tcPr>
            <w:tcW w:w="8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886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110.1</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97.2</w:t>
            </w:r>
          </w:p>
        </w:tc>
      </w:tr>
      <w:tr>
        <w:trPr>
          <w:trHeight w:val="167"/>
        </w:trPr>
        <w:tc>
          <w:tcPr>
            <w:tcW w:w="8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Non-cash goodwill and intangible asset impairment</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428.8</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61.0</w:t>
            </w:r>
          </w:p>
        </w:tc>
      </w:tr>
      <w:tr>
        <w:trPr>
          <w:trHeight w:val="167"/>
        </w:trPr>
        <w:tc>
          <w:tcPr>
            <w:tcW w:w="886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7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(68.5)</w:t>
            </w:r>
          </w:p>
        </w:tc>
        <w:tc>
          <w:tcPr>
            <w:tcW w:w="3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(29.2)</w:t>
            </w:r>
          </w:p>
        </w:tc>
      </w:tr>
      <w:tr>
        <w:trPr>
          <w:trHeight w:val="167"/>
        </w:trPr>
        <w:tc>
          <w:tcPr>
            <w:tcW w:w="8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Provision for doubtful accounts</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27.8</w:t>
            </w:r>
          </w:p>
        </w:tc>
      </w:tr>
      <w:tr>
        <w:trPr>
          <w:trHeight w:val="167"/>
        </w:trPr>
        <w:tc>
          <w:tcPr>
            <w:tcW w:w="8860" w:type="dxa"/>
            <w:vAlign w:val="bottom"/>
          </w:tcPr>
          <w:p>
            <w:pPr>
              <w:ind w:left="220"/>
              <w:spacing w:after="0"/>
              <w:rPr>
                <w:sz w:val="20"/>
                <w:szCs w:val="20"/>
                <w:color w:val="auto"/>
              </w:rPr>
            </w:pPr>
            <w:r>
              <w:rPr>
                <w:rFonts w:ascii="Arial" w:cs="Arial" w:eastAsia="Arial" w:hAnsi="Arial"/>
                <w:sz w:val="14"/>
                <w:szCs w:val="14"/>
                <w:color w:val="auto"/>
              </w:rPr>
              <w:t>Loss from sale of an equity investment</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10.3</w:t>
            </w:r>
          </w:p>
        </w:tc>
      </w:tr>
      <w:tr>
        <w:trPr>
          <w:trHeight w:val="167"/>
        </w:trPr>
        <w:tc>
          <w:tcPr>
            <w:tcW w:w="8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Share-based compensation</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17.5</w:t>
            </w:r>
          </w:p>
        </w:tc>
      </w:tr>
      <w:tr>
        <w:trPr>
          <w:trHeight w:val="167"/>
        </w:trPr>
        <w:tc>
          <w:tcPr>
            <w:tcW w:w="8860" w:type="dxa"/>
            <w:vAlign w:val="bottom"/>
          </w:tcPr>
          <w:p>
            <w:pPr>
              <w:ind w:left="220"/>
              <w:spacing w:after="0"/>
              <w:rPr>
                <w:sz w:val="20"/>
                <w:szCs w:val="20"/>
                <w:color w:val="auto"/>
              </w:rPr>
            </w:pPr>
            <w:r>
              <w:rPr>
                <w:rFonts w:ascii="Arial" w:cs="Arial" w:eastAsia="Arial" w:hAnsi="Arial"/>
                <w:sz w:val="14"/>
                <w:szCs w:val="14"/>
                <w:color w:val="auto"/>
              </w:rPr>
              <w:t>Excess tax benefit on exercise of stock options</w:t>
            </w:r>
          </w:p>
        </w:tc>
        <w:tc>
          <w:tcPr>
            <w:tcW w:w="7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(1.3)</w:t>
            </w:r>
          </w:p>
        </w:tc>
        <w:tc>
          <w:tcPr>
            <w:tcW w:w="3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(0.5)</w:t>
            </w:r>
          </w:p>
        </w:tc>
      </w:tr>
      <w:tr>
        <w:trPr>
          <w:trHeight w:val="167"/>
        </w:trPr>
        <w:tc>
          <w:tcPr>
            <w:tcW w:w="88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Changes in operating assets and liabilities, excluding the impact of acquisitions:</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8860" w:type="dxa"/>
            <w:vAlign w:val="bottom"/>
          </w:tcPr>
          <w:p>
            <w:pPr>
              <w:ind w:left="200"/>
              <w:spacing w:after="0"/>
              <w:rPr>
                <w:sz w:val="20"/>
                <w:szCs w:val="20"/>
                <w:color w:val="auto"/>
              </w:rPr>
            </w:pPr>
            <w:r>
              <w:rPr>
                <w:rFonts w:ascii="Arial" w:cs="Arial" w:eastAsia="Arial" w:hAnsi="Arial"/>
                <w:sz w:val="14"/>
                <w:szCs w:val="14"/>
                <w:color w:val="auto"/>
              </w:rPr>
              <w:t>Accounts receivable</w:t>
            </w:r>
          </w:p>
        </w:tc>
        <w:tc>
          <w:tcPr>
            <w:tcW w:w="7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(708.1)</w:t>
            </w:r>
          </w:p>
        </w:tc>
        <w:tc>
          <w:tcPr>
            <w:tcW w:w="3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663.6</w:t>
            </w:r>
          </w:p>
        </w:tc>
      </w:tr>
      <w:tr>
        <w:trPr>
          <w:trHeight w:val="167"/>
        </w:trPr>
        <w:tc>
          <w:tcPr>
            <w:tcW w:w="8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(71.5)</w:t>
            </w:r>
          </w:p>
        </w:tc>
      </w:tr>
      <w:tr>
        <w:trPr>
          <w:trHeight w:val="168"/>
        </w:trPr>
        <w:tc>
          <w:tcPr>
            <w:tcW w:w="8860" w:type="dxa"/>
            <w:vAlign w:val="bottom"/>
          </w:tcPr>
          <w:p>
            <w:pPr>
              <w:ind w:left="220"/>
              <w:spacing w:after="0"/>
              <w:rPr>
                <w:sz w:val="20"/>
                <w:szCs w:val="20"/>
                <w:color w:val="auto"/>
              </w:rPr>
            </w:pPr>
            <w:r>
              <w:rPr>
                <w:rFonts w:ascii="Arial" w:cs="Arial" w:eastAsia="Arial" w:hAnsi="Arial"/>
                <w:sz w:val="14"/>
                <w:szCs w:val="14"/>
                <w:color w:val="auto"/>
              </w:rPr>
              <w:t>Other liabilities</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621.8</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(352.7)</w:t>
            </w:r>
          </w:p>
        </w:tc>
      </w:tr>
      <w:tr>
        <w:trPr>
          <w:trHeight w:val="168"/>
        </w:trPr>
        <w:tc>
          <w:tcPr>
            <w:tcW w:w="8860" w:type="dxa"/>
            <w:vAlign w:val="bottom"/>
            <w:tcBorders>
              <w:bottom w:val="single" w:sz="8" w:color="CCEEFF"/>
              <w:right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Cash provided by operating activities</w:t>
            </w: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182.1</w:t>
            </w:r>
          </w:p>
        </w:tc>
        <w:tc>
          <w:tcPr>
            <w:tcW w:w="2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414.3</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7"/>
        </w:trPr>
        <w:tc>
          <w:tcPr>
            <w:tcW w:w="886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88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Capital expenditures</w:t>
            </w:r>
          </w:p>
        </w:tc>
        <w:tc>
          <w:tcPr>
            <w:tcW w:w="7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(58.5)</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(35.1)</w:t>
            </w:r>
          </w:p>
        </w:tc>
      </w:tr>
      <w:tr>
        <w:trPr>
          <w:trHeight w:val="167"/>
        </w:trPr>
        <w:tc>
          <w:tcPr>
            <w:tcW w:w="8860" w:type="dxa"/>
            <w:vAlign w:val="bottom"/>
          </w:tcPr>
          <w:p>
            <w:pPr>
              <w:ind w:left="60"/>
              <w:spacing w:after="0"/>
              <w:rPr>
                <w:sz w:val="20"/>
                <w:szCs w:val="20"/>
                <w:color w:val="auto"/>
              </w:rPr>
            </w:pPr>
            <w:r>
              <w:rPr>
                <w:rFonts w:ascii="Arial" w:cs="Arial" w:eastAsia="Arial" w:hAnsi="Arial"/>
                <w:sz w:val="14"/>
                <w:szCs w:val="14"/>
                <w:color w:val="auto"/>
              </w:rPr>
              <w:t>Acquisitions of businesses, net of cash acquired</w:t>
            </w:r>
          </w:p>
        </w:tc>
        <w:tc>
          <w:tcPr>
            <w:tcW w:w="7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(270.0)</w:t>
            </w:r>
          </w:p>
        </w:tc>
        <w:tc>
          <w:tcPr>
            <w:tcW w:w="3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(21.6)</w:t>
            </w:r>
          </w:p>
        </w:tc>
      </w:tr>
      <w:tr>
        <w:trPr>
          <w:trHeight w:val="167"/>
        </w:trPr>
        <w:tc>
          <w:tcPr>
            <w:tcW w:w="88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Proceeds from sale of an equity investment</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w:t>
            </w:r>
          </w:p>
        </w:tc>
      </w:tr>
      <w:tr>
        <w:trPr>
          <w:trHeight w:val="168"/>
        </w:trPr>
        <w:tc>
          <w:tcPr>
            <w:tcW w:w="8860" w:type="dxa"/>
            <w:vAlign w:val="bottom"/>
          </w:tcPr>
          <w:p>
            <w:pPr>
              <w:ind w:left="80"/>
              <w:spacing w:after="0"/>
              <w:rPr>
                <w:sz w:val="20"/>
                <w:szCs w:val="20"/>
                <w:color w:val="auto"/>
              </w:rPr>
            </w:pPr>
            <w:r>
              <w:rPr>
                <w:rFonts w:ascii="Arial" w:cs="Arial" w:eastAsia="Arial" w:hAnsi="Arial"/>
                <w:sz w:val="14"/>
                <w:szCs w:val="14"/>
                <w:color w:val="auto"/>
              </w:rPr>
              <w:t>Proceeds from sales of property and equipment</w:t>
            </w: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4"/>
                <w:szCs w:val="14"/>
                <w:color w:val="auto"/>
              </w:rPr>
            </w:pPr>
          </w:p>
        </w:tc>
      </w:tr>
      <w:tr>
        <w:trPr>
          <w:trHeight w:val="168"/>
        </w:trPr>
        <w:tc>
          <w:tcPr>
            <w:tcW w:w="886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Cash used in investing activities</w:t>
            </w:r>
          </w:p>
        </w:tc>
        <w:tc>
          <w:tcPr>
            <w:tcW w:w="7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(323.6)</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(39.8)</w:t>
            </w:r>
          </w:p>
        </w:tc>
      </w:tr>
      <w:tr>
        <w:trPr>
          <w:trHeight w:val="167"/>
        </w:trPr>
        <w:tc>
          <w:tcPr>
            <w:tcW w:w="886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7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67"/>
        </w:trPr>
        <w:tc>
          <w:tcPr>
            <w:tcW w:w="88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Net change in short-term borrowings</w:t>
            </w:r>
          </w:p>
        </w:tc>
        <w:tc>
          <w:tcPr>
            <w:tcW w:w="7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(15.6)</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(14.6)</w:t>
            </w:r>
          </w:p>
        </w:tc>
      </w:tr>
      <w:tr>
        <w:trPr>
          <w:trHeight w:val="167"/>
        </w:trPr>
        <w:tc>
          <w:tcPr>
            <w:tcW w:w="8860" w:type="dxa"/>
            <w:vAlign w:val="bottom"/>
          </w:tcPr>
          <w:p>
            <w:pPr>
              <w:ind w:left="80"/>
              <w:spacing w:after="0"/>
              <w:rPr>
                <w:sz w:val="20"/>
                <w:szCs w:val="20"/>
                <w:color w:val="auto"/>
              </w:rPr>
            </w:pPr>
            <w:r>
              <w:rPr>
                <w:rFonts w:ascii="Arial" w:cs="Arial" w:eastAsia="Arial" w:hAnsi="Arial"/>
                <w:sz w:val="14"/>
                <w:szCs w:val="14"/>
                <w:color w:val="auto"/>
              </w:rPr>
              <w:t>Proceeds from long-term debt</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146.5</w:t>
            </w:r>
          </w:p>
        </w:tc>
      </w:tr>
      <w:tr>
        <w:trPr>
          <w:trHeight w:val="167"/>
        </w:trPr>
        <w:tc>
          <w:tcPr>
            <w:tcW w:w="88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Repayments of long-term debt</w:t>
            </w:r>
          </w:p>
        </w:tc>
        <w:tc>
          <w:tcPr>
            <w:tcW w:w="7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(359.3)</w:t>
            </w:r>
          </w:p>
        </w:tc>
      </w:tr>
      <w:tr>
        <w:trPr>
          <w:trHeight w:val="167"/>
        </w:trPr>
        <w:tc>
          <w:tcPr>
            <w:tcW w:w="8860" w:type="dxa"/>
            <w:vAlign w:val="bottom"/>
          </w:tcPr>
          <w:p>
            <w:pPr>
              <w:ind w:left="80"/>
              <w:spacing w:after="0"/>
              <w:rPr>
                <w:sz w:val="20"/>
                <w:szCs w:val="20"/>
                <w:color w:val="auto"/>
              </w:rPr>
            </w:pPr>
            <w:r>
              <w:rPr>
                <w:rFonts w:ascii="Arial" w:cs="Arial" w:eastAsia="Arial" w:hAnsi="Arial"/>
                <w:sz w:val="14"/>
                <w:szCs w:val="14"/>
                <w:color w:val="auto"/>
              </w:rPr>
              <w:t>Proceeds from share-based awards</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27.1</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14.2</w:t>
            </w:r>
          </w:p>
        </w:tc>
      </w:tr>
      <w:tr>
        <w:trPr>
          <w:trHeight w:val="167"/>
        </w:trPr>
        <w:tc>
          <w:tcPr>
            <w:tcW w:w="88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Excess tax benefit on exercise of stock options</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0.5</w:t>
            </w:r>
          </w:p>
        </w:tc>
      </w:tr>
      <w:tr>
        <w:trPr>
          <w:trHeight w:val="167"/>
        </w:trPr>
        <w:tc>
          <w:tcPr>
            <w:tcW w:w="8860" w:type="dxa"/>
            <w:vAlign w:val="bottom"/>
          </w:tcPr>
          <w:p>
            <w:pPr>
              <w:ind w:left="80"/>
              <w:spacing w:after="0"/>
              <w:rPr>
                <w:sz w:val="20"/>
                <w:szCs w:val="20"/>
                <w:color w:val="auto"/>
              </w:rPr>
            </w:pPr>
            <w:r>
              <w:rPr>
                <w:rFonts w:ascii="Arial" w:cs="Arial" w:eastAsia="Arial" w:hAnsi="Arial"/>
                <w:sz w:val="14"/>
                <w:szCs w:val="14"/>
                <w:color w:val="auto"/>
              </w:rPr>
              <w:t>Repurchases of common stock</w:t>
            </w:r>
          </w:p>
        </w:tc>
        <w:tc>
          <w:tcPr>
            <w:tcW w:w="7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(34.8)</w:t>
            </w:r>
          </w:p>
        </w:tc>
        <w:tc>
          <w:tcPr>
            <w:tcW w:w="3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88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Dividends paid</w:t>
            </w:r>
          </w:p>
        </w:tc>
        <w:tc>
          <w:tcPr>
            <w:tcW w:w="7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(60.8)</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(58.0)</w:t>
            </w:r>
          </w:p>
        </w:tc>
      </w:tr>
      <w:tr>
        <w:trPr>
          <w:trHeight w:val="21"/>
        </w:trPr>
        <w:tc>
          <w:tcPr>
            <w:tcW w:w="88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7"/>
        </w:trPr>
        <w:tc>
          <w:tcPr>
            <w:tcW w:w="8860" w:type="dxa"/>
            <w:vAlign w:val="bottom"/>
          </w:tcPr>
          <w:p>
            <w:pPr>
              <w:ind w:left="420"/>
              <w:spacing w:after="0"/>
              <w:rPr>
                <w:sz w:val="20"/>
                <w:szCs w:val="20"/>
                <w:color w:val="auto"/>
              </w:rPr>
            </w:pPr>
            <w:r>
              <w:rPr>
                <w:rFonts w:ascii="Arial" w:cs="Arial" w:eastAsia="Arial" w:hAnsi="Arial"/>
                <w:sz w:val="14"/>
                <w:szCs w:val="14"/>
                <w:color w:val="auto"/>
              </w:rPr>
              <w:t>Cash used in financing activities</w:t>
            </w:r>
          </w:p>
        </w:tc>
        <w:tc>
          <w:tcPr>
            <w:tcW w:w="7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(82.1)</w:t>
            </w:r>
          </w:p>
        </w:tc>
        <w:tc>
          <w:tcPr>
            <w:tcW w:w="3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(270.7)</w:t>
            </w:r>
          </w:p>
        </w:tc>
      </w:tr>
      <w:tr>
        <w:trPr>
          <w:trHeight w:val="21"/>
        </w:trPr>
        <w:tc>
          <w:tcPr>
            <w:tcW w:w="8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8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Effect of exchange rate changes on cash</w:t>
            </w:r>
          </w:p>
        </w:tc>
        <w:tc>
          <w:tcPr>
            <w:tcW w:w="7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(18.4)</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36.8</w:t>
            </w:r>
          </w:p>
        </w:tc>
      </w:tr>
      <w:tr>
        <w:trPr>
          <w:trHeight w:val="21"/>
        </w:trPr>
        <w:tc>
          <w:tcPr>
            <w:tcW w:w="88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7"/>
        </w:trPr>
        <w:tc>
          <w:tcPr>
            <w:tcW w:w="8860" w:type="dxa"/>
            <w:vAlign w:val="bottom"/>
          </w:tcPr>
          <w:p>
            <w:pPr>
              <w:spacing w:after="0"/>
              <w:rPr>
                <w:sz w:val="20"/>
                <w:szCs w:val="20"/>
                <w:color w:val="auto"/>
              </w:rPr>
            </w:pPr>
            <w:r>
              <w:rPr>
                <w:rFonts w:ascii="Arial" w:cs="Arial" w:eastAsia="Arial" w:hAnsi="Arial"/>
                <w:sz w:val="14"/>
                <w:szCs w:val="14"/>
                <w:color w:val="auto"/>
              </w:rPr>
              <w:t>Change in cash and cash equivalents</w:t>
            </w:r>
          </w:p>
        </w:tc>
        <w:tc>
          <w:tcPr>
            <w:tcW w:w="7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(242.0)</w:t>
            </w:r>
          </w:p>
        </w:tc>
        <w:tc>
          <w:tcPr>
            <w:tcW w:w="3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140.6</w:t>
            </w:r>
          </w:p>
        </w:tc>
      </w:tr>
      <w:tr>
        <w:trPr>
          <w:trHeight w:val="168"/>
        </w:trPr>
        <w:tc>
          <w:tcPr>
            <w:tcW w:w="88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beginning of period</w:t>
            </w:r>
          </w:p>
        </w:tc>
        <w:tc>
          <w:tcPr>
            <w:tcW w:w="7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1,014.6</w:t>
            </w:r>
          </w:p>
        </w:tc>
        <w:tc>
          <w:tcPr>
            <w:tcW w:w="2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874.0</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7"/>
        </w:trPr>
        <w:tc>
          <w:tcPr>
            <w:tcW w:w="886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700" w:type="dxa"/>
            <w:vAlign w:val="bottom"/>
          </w:tcPr>
          <w:p>
            <w:pPr>
              <w:jc w:val="right"/>
              <w:ind w:right="621"/>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772.6</w:t>
            </w:r>
          </w:p>
        </w:tc>
        <w:tc>
          <w:tcPr>
            <w:tcW w:w="240" w:type="dxa"/>
            <w:vAlign w:val="bottom"/>
          </w:tcPr>
          <w:p>
            <w:pPr>
              <w:spacing w:after="0"/>
              <w:rPr>
                <w:sz w:val="14"/>
                <w:szCs w:val="14"/>
                <w:color w:val="auto"/>
              </w:rPr>
            </w:pP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1,014.6</w:t>
            </w:r>
          </w:p>
        </w:tc>
      </w:tr>
      <w:tr>
        <w:trPr>
          <w:trHeight w:val="20"/>
        </w:trPr>
        <w:tc>
          <w:tcPr>
            <w:tcW w:w="8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60"/>
          </w:cols>
          <w:pgMar w:left="220" w:top="311" w:right="219" w:bottom="1440" w:gutter="0" w:footer="0" w:header="0"/>
        </w:sectPr>
      </w:pPr>
    </w:p>
    <w:bookmarkStart w:id="11" w:name="page12"/>
    <w:bookmarkEnd w:id="11"/>
    <w:p>
      <w:pPr>
        <w:jc w:val="right"/>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248285</wp:posOffset>
            </wp:positionV>
            <wp:extent cx="6369050" cy="4776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220"/>
        <w:spacing w:after="0"/>
        <w:rPr>
          <w:sz w:val="20"/>
          <w:szCs w:val="20"/>
          <w:color w:val="auto"/>
        </w:rPr>
      </w:pPr>
      <w:r>
        <w:rPr>
          <w:rFonts w:ascii="Arial" w:cs="Arial" w:eastAsia="Arial" w:hAnsi="Arial"/>
          <w:sz w:val="22"/>
          <w:szCs w:val="22"/>
          <w:color w:val="FFFFFF"/>
        </w:rPr>
        <w:t>Manpower Inc.</w:t>
      </w:r>
    </w:p>
    <w:p>
      <w:pPr>
        <w:spacing w:after="0" w:line="71" w:lineRule="exact"/>
        <w:rPr>
          <w:sz w:val="20"/>
          <w:szCs w:val="20"/>
          <w:color w:val="auto"/>
        </w:rPr>
      </w:pPr>
    </w:p>
    <w:p>
      <w:pPr>
        <w:ind w:left="7160"/>
        <w:spacing w:after="0"/>
        <w:rPr>
          <w:sz w:val="20"/>
          <w:szCs w:val="20"/>
          <w:color w:val="auto"/>
        </w:rPr>
      </w:pPr>
      <w:r>
        <w:rPr>
          <w:rFonts w:ascii="Arial" w:cs="Arial" w:eastAsia="Arial" w:hAnsi="Arial"/>
          <w:sz w:val="22"/>
          <w:szCs w:val="22"/>
          <w:color w:val="FFFFFF"/>
        </w:rPr>
        <w:t>2010 4</w:t>
      </w:r>
      <w:r>
        <w:rPr>
          <w:rFonts w:ascii="Arial" w:cs="Arial" w:eastAsia="Arial" w:hAnsi="Arial"/>
          <w:sz w:val="15"/>
          <w:szCs w:val="15"/>
          <w:color w:val="FFFFFF"/>
        </w:rPr>
        <w:t>th</w:t>
      </w:r>
      <w:r>
        <w:rPr>
          <w:rFonts w:ascii="Arial" w:cs="Arial" w:eastAsia="Arial" w:hAnsi="Arial"/>
          <w:sz w:val="22"/>
          <w:szCs w:val="22"/>
          <w:color w:val="FFFFFF"/>
        </w:rPr>
        <w:t xml:space="preserv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480"/>
        <w:spacing w:after="0"/>
        <w:tabs>
          <w:tab w:leader="none" w:pos="8140" w:val="left"/>
        </w:tabs>
        <w:rPr>
          <w:sz w:val="20"/>
          <w:szCs w:val="20"/>
          <w:color w:val="auto"/>
        </w:rPr>
      </w:pPr>
      <w:r>
        <w:rPr>
          <w:rFonts w:ascii="Arial" w:cs="Arial" w:eastAsia="Arial" w:hAnsi="Arial"/>
          <w:sz w:val="22"/>
          <w:szCs w:val="22"/>
          <w:color w:val="6698C2"/>
        </w:rPr>
        <w:t>2011</w:t>
        <w:tab/>
        <w:t>February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2166620</wp:posOffset>
            </wp:positionV>
            <wp:extent cx="728345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10240"/>
          </w:cols>
          <w:pgMar w:left="1440" w:top="118" w:right="219" w:bottom="1440" w:gutter="0" w:footer="0" w:header="0"/>
        </w:sectPr>
      </w:pPr>
    </w:p>
    <w:bookmarkStart w:id="12" w:name="page13"/>
    <w:bookmarkEnd w:id="12"/>
    <w:p>
      <w:pPr>
        <w:jc w:val="right"/>
        <w:ind w:right="19"/>
        <w:spacing w:after="0"/>
        <w:tabs>
          <w:tab w:leader="none" w:pos="1280" w:val="left"/>
          <w:tab w:leader="none" w:pos="60" w:val="left"/>
        </w:tabs>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599440</wp:posOffset>
            </wp:positionH>
            <wp:positionV relativeFrom="page">
              <wp:posOffset>161925</wp:posOffset>
            </wp:positionV>
            <wp:extent cx="6369050" cy="4776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2</w:t>
      </w: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Arial" w:cs="Arial" w:eastAsia="Arial" w:hAnsi="Arial"/>
          <w:sz w:val="42"/>
          <w:szCs w:val="42"/>
          <w:color w:val="5F81AA"/>
        </w:rPr>
        <w:t>Forward-Looking Statement</w:t>
      </w:r>
    </w:p>
    <w:p>
      <w:pPr>
        <w:spacing w:after="0" w:line="200" w:lineRule="exact"/>
        <w:rPr>
          <w:sz w:val="20"/>
          <w:szCs w:val="20"/>
          <w:color w:val="auto"/>
        </w:rPr>
      </w:pPr>
    </w:p>
    <w:p>
      <w:pPr>
        <w:spacing w:after="0" w:line="24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This presentation includes forward-looking</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statements, including earnings projections</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which are subject to risks and uncertainties.</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Actual results might differ materially from</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those projected in the forward-looking</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statements. Additional information</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concerning factors that could cause actual</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results to materially differ from those in the</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forward-looking statements is contained in</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the Company’s Annual Report on Form 10-K</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dated December 31, 2009, which information</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is incorporated herein by reference, and</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such other factors as may be described from</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time to time in the Company’s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1470660</wp:posOffset>
            </wp:positionV>
            <wp:extent cx="728345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9019"/>
          </w:cols>
          <w:pgMar w:left="1440" w:top="465" w:right="1440" w:bottom="1440" w:gutter="0" w:footer="0" w:header="0"/>
        </w:sectPr>
      </w:pPr>
    </w:p>
    <w:bookmarkStart w:id="13" w:name="page14"/>
    <w:bookmarkEnd w:id="13"/>
    <w:p>
      <w:pPr>
        <w:jc w:val="right"/>
        <w:ind w:right="19"/>
        <w:spacing w:after="0"/>
        <w:tabs>
          <w:tab w:leader="none" w:pos="1280" w:val="left"/>
          <w:tab w:leader="none" w:pos="60" w:val="left"/>
        </w:tabs>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599440</wp:posOffset>
            </wp:positionH>
            <wp:positionV relativeFrom="page">
              <wp:posOffset>161925</wp:posOffset>
            </wp:positionV>
            <wp:extent cx="6369050" cy="4776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3</w:t>
      </w: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36"/>
          <w:szCs w:val="36"/>
          <w:color w:val="5F81AA"/>
        </w:rPr>
        <w:t>Consolidated Financial Highlights</w:t>
      </w:r>
    </w:p>
    <w:p>
      <w:pPr>
        <w:sectPr>
          <w:pgSz w:w="11900" w:h="16838" w:orient="portrait"/>
          <w:cols w:equalWidth="0" w:num="1">
            <w:col w:w="9019"/>
          </w:cols>
          <w:pgMar w:left="1440" w:top="465"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left="160"/>
        <w:spacing w:after="0"/>
        <w:rPr>
          <w:sz w:val="20"/>
          <w:szCs w:val="20"/>
          <w:color w:val="auto"/>
        </w:rPr>
      </w:pPr>
      <w:r>
        <w:rPr>
          <w:rFonts w:ascii="Arial" w:cs="Arial" w:eastAsia="Arial" w:hAnsi="Arial"/>
          <w:sz w:val="19"/>
          <w:szCs w:val="19"/>
          <w:b w:val="1"/>
          <w:bCs w:val="1"/>
          <w:color w:val="auto"/>
        </w:rPr>
        <w:t>As</w:t>
      </w:r>
    </w:p>
    <w:p>
      <w:pPr>
        <w:spacing w:after="0" w:line="40" w:lineRule="exact"/>
        <w:rPr>
          <w:sz w:val="20"/>
          <w:szCs w:val="20"/>
          <w:color w:val="auto"/>
        </w:rPr>
      </w:pPr>
    </w:p>
    <w:p>
      <w:pPr>
        <w:jc w:val="center"/>
        <w:ind w:left="160"/>
        <w:spacing w:after="0"/>
        <w:rPr>
          <w:sz w:val="20"/>
          <w:szCs w:val="20"/>
          <w:color w:val="auto"/>
        </w:rPr>
      </w:pPr>
      <w:r>
        <w:rPr>
          <w:rFonts w:ascii="Arial" w:cs="Arial" w:eastAsia="Arial" w:hAnsi="Arial"/>
          <w:sz w:val="19"/>
          <w:szCs w:val="19"/>
          <w:b w:val="1"/>
          <w:bCs w:val="1"/>
          <w:color w:val="auto"/>
        </w:rPr>
        <w:t>Reported</w:t>
      </w:r>
    </w:p>
    <w:p>
      <w:pPr>
        <w:spacing w:after="0" w:line="173" w:lineRule="exact"/>
        <w:rPr>
          <w:sz w:val="20"/>
          <w:szCs w:val="20"/>
          <w:color w:val="auto"/>
        </w:rPr>
      </w:pPr>
    </w:p>
    <w:p>
      <w:pPr>
        <w:ind w:left="720"/>
        <w:spacing w:after="0"/>
        <w:rPr>
          <w:sz w:val="20"/>
          <w:szCs w:val="20"/>
          <w:color w:val="auto"/>
        </w:rPr>
      </w:pPr>
      <w:r>
        <w:rPr>
          <w:rFonts w:ascii="Arial" w:cs="Arial" w:eastAsia="Arial" w:hAnsi="Arial"/>
          <w:sz w:val="33"/>
          <w:szCs w:val="33"/>
          <w:color w:val="auto"/>
        </w:rPr>
        <w:t>18%</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33"/>
          <w:szCs w:val="33"/>
          <w:color w:val="auto"/>
        </w:rPr>
        <w:t>22% CC</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33"/>
          <w:szCs w:val="33"/>
          <w:color w:val="auto"/>
        </w:rPr>
        <w:t>30 bps</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33"/>
          <w:szCs w:val="33"/>
          <w:color w:val="auto"/>
        </w:rPr>
        <w:t>N/A</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33"/>
          <w:szCs w:val="33"/>
          <w:color w:val="auto"/>
        </w:rPr>
        <w:t>N/A</w:t>
      </w:r>
    </w:p>
    <w:p>
      <w:pPr>
        <w:spacing w:after="0" w:line="247" w:lineRule="exact"/>
        <w:rPr>
          <w:sz w:val="20"/>
          <w:szCs w:val="20"/>
          <w:color w:val="auto"/>
        </w:rPr>
      </w:pPr>
    </w:p>
    <w:p>
      <w:pPr>
        <w:ind w:left="460"/>
        <w:spacing w:after="0"/>
        <w:rPr>
          <w:sz w:val="20"/>
          <w:szCs w:val="20"/>
          <w:color w:val="auto"/>
        </w:rPr>
      </w:pPr>
      <w:r>
        <w:rPr>
          <w:rFonts w:ascii="Arial" w:cs="Arial" w:eastAsia="Arial" w:hAnsi="Arial"/>
          <w:sz w:val="33"/>
          <w:szCs w:val="33"/>
          <w:color w:val="auto"/>
        </w:rPr>
        <w:t>760 bps</w:t>
      </w:r>
    </w:p>
    <w:p>
      <w:pPr>
        <w:spacing w:after="0" w:line="227" w:lineRule="exact"/>
        <w:rPr>
          <w:sz w:val="20"/>
          <w:szCs w:val="20"/>
          <w:color w:val="auto"/>
        </w:rPr>
      </w:pPr>
    </w:p>
    <w:p>
      <w:pPr>
        <w:ind w:left="700"/>
        <w:spacing w:after="0"/>
        <w:rPr>
          <w:sz w:val="20"/>
          <w:szCs w:val="20"/>
          <w:color w:val="auto"/>
        </w:rPr>
      </w:pPr>
      <w:r>
        <w:rPr>
          <w:rFonts w:ascii="Arial" w:cs="Arial" w:eastAsia="Arial" w:hAnsi="Arial"/>
          <w:sz w:val="33"/>
          <w:szCs w:val="33"/>
          <w:color w:val="auto"/>
        </w:rPr>
        <w:t>N/A</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33"/>
          <w:szCs w:val="33"/>
          <w:color w:val="auto"/>
        </w:rPr>
        <w:t>N/A</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Excluding</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Non-recurring</w:t>
      </w:r>
    </w:p>
    <w:p>
      <w:pPr>
        <w:ind w:left="400"/>
        <w:spacing w:after="0"/>
        <w:rPr>
          <w:sz w:val="20"/>
          <w:szCs w:val="20"/>
          <w:color w:val="auto"/>
        </w:rPr>
      </w:pPr>
      <w:r>
        <w:rPr>
          <w:rFonts w:ascii="Arial" w:cs="Arial" w:eastAsia="Arial" w:hAnsi="Arial"/>
          <w:sz w:val="19"/>
          <w:szCs w:val="19"/>
          <w:b w:val="1"/>
          <w:bCs w:val="1"/>
          <w:color w:val="auto"/>
        </w:rPr>
        <w:t>Items</w:t>
      </w:r>
      <w:r>
        <w:rPr>
          <w:rFonts w:ascii="Arial" w:cs="Arial" w:eastAsia="Arial" w:hAnsi="Arial"/>
          <w:sz w:val="30"/>
          <w:szCs w:val="30"/>
          <w:b w:val="1"/>
          <w:bCs w:val="1"/>
          <w:color w:val="D47C18"/>
          <w:vertAlign w:val="superscript"/>
        </w:rPr>
        <w:t>(1)</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33"/>
          <w:szCs w:val="33"/>
          <w:color w:val="auto"/>
        </w:rPr>
        <w:t>18%</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33"/>
          <w:szCs w:val="33"/>
          <w:color w:val="auto"/>
        </w:rPr>
        <w:t>22% CC</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33"/>
          <w:szCs w:val="33"/>
          <w:color w:val="auto"/>
        </w:rPr>
        <w:t>30 bps</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33"/>
          <w:szCs w:val="33"/>
          <w:color w:val="auto"/>
        </w:rPr>
        <w:t>110%</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33"/>
          <w:szCs w:val="33"/>
          <w:color w:val="auto"/>
        </w:rPr>
        <w:t>122% CC</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33"/>
          <w:szCs w:val="33"/>
          <w:color w:val="auto"/>
        </w:rPr>
        <w:t>100 bps</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33"/>
          <w:szCs w:val="33"/>
          <w:color w:val="auto"/>
        </w:rPr>
        <w:t>38%</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33"/>
          <w:szCs w:val="33"/>
          <w:color w:val="auto"/>
        </w:rPr>
        <w:t>42% CC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20" w:right="2039" w:hanging="89"/>
        <w:spacing w:after="0" w:line="419" w:lineRule="auto"/>
        <w:rPr>
          <w:sz w:val="20"/>
          <w:szCs w:val="20"/>
          <w:color w:val="auto"/>
        </w:rPr>
      </w:pPr>
      <w:r>
        <w:rPr>
          <w:rFonts w:ascii="Arial" w:cs="Arial" w:eastAsia="Arial" w:hAnsi="Arial"/>
          <w:sz w:val="36"/>
          <w:szCs w:val="36"/>
          <w:b w:val="1"/>
          <w:bCs w:val="1"/>
          <w:color w:val="auto"/>
        </w:rPr>
        <w:t xml:space="preserve">Q4 Highlights Revenue </w:t>
      </w:r>
      <w:r>
        <w:rPr>
          <w:rFonts w:ascii="Arial" w:cs="Arial" w:eastAsia="Arial" w:hAnsi="Arial"/>
          <w:sz w:val="39"/>
          <w:szCs w:val="39"/>
          <w:b w:val="1"/>
          <w:bCs w:val="1"/>
          <w:color w:val="D47C18"/>
        </w:rPr>
        <w:t>$5.2B</w:t>
      </w:r>
    </w:p>
    <w:p>
      <w:pPr>
        <w:spacing w:after="0" w:line="3" w:lineRule="exact"/>
        <w:rPr>
          <w:sz w:val="20"/>
          <w:szCs w:val="20"/>
          <w:color w:val="auto"/>
        </w:rPr>
      </w:pPr>
    </w:p>
    <w:p>
      <w:pPr>
        <w:ind w:left="20" w:right="479" w:hanging="9"/>
        <w:spacing w:after="0" w:line="447" w:lineRule="auto"/>
        <w:rPr>
          <w:sz w:val="20"/>
          <w:szCs w:val="20"/>
          <w:color w:val="auto"/>
        </w:rPr>
      </w:pPr>
      <w:r>
        <w:rPr>
          <w:rFonts w:ascii="Arial" w:cs="Arial" w:eastAsia="Arial" w:hAnsi="Arial"/>
          <w:sz w:val="36"/>
          <w:szCs w:val="36"/>
          <w:b w:val="1"/>
          <w:bCs w:val="1"/>
          <w:color w:val="auto"/>
        </w:rPr>
        <w:t xml:space="preserve">Gross Margin </w:t>
      </w:r>
      <w:r>
        <w:rPr>
          <w:rFonts w:ascii="Arial" w:cs="Arial" w:eastAsia="Arial" w:hAnsi="Arial"/>
          <w:sz w:val="39"/>
          <w:szCs w:val="39"/>
          <w:b w:val="1"/>
          <w:bCs w:val="1"/>
          <w:color w:val="D47C18"/>
        </w:rPr>
        <w:t>17.4%</w:t>
      </w:r>
      <w:r>
        <w:rPr>
          <w:rFonts w:ascii="Arial" w:cs="Arial" w:eastAsia="Arial" w:hAnsi="Arial"/>
          <w:sz w:val="36"/>
          <w:szCs w:val="36"/>
          <w:b w:val="1"/>
          <w:bCs w:val="1"/>
          <w:color w:val="auto"/>
        </w:rPr>
        <w:t xml:space="preserve"> Operating Loss </w:t>
      </w:r>
      <w:r>
        <w:rPr>
          <w:rFonts w:ascii="Arial" w:cs="Arial" w:eastAsia="Arial" w:hAnsi="Arial"/>
          <w:sz w:val="39"/>
          <w:szCs w:val="39"/>
          <w:b w:val="1"/>
          <w:bCs w:val="1"/>
          <w:color w:val="D47C18"/>
        </w:rPr>
        <w:t>($343M)</w:t>
      </w:r>
      <w:r>
        <w:rPr>
          <w:rFonts w:ascii="Arial" w:cs="Arial" w:eastAsia="Arial" w:hAnsi="Arial"/>
          <w:sz w:val="36"/>
          <w:szCs w:val="36"/>
          <w:b w:val="1"/>
          <w:bCs w:val="1"/>
          <w:color w:val="auto"/>
        </w:rPr>
        <w:t xml:space="preserve"> OP Margin </w:t>
      </w:r>
      <w:r>
        <w:rPr>
          <w:rFonts w:ascii="Arial" w:cs="Arial" w:eastAsia="Arial" w:hAnsi="Arial"/>
          <w:sz w:val="39"/>
          <w:szCs w:val="39"/>
          <w:b w:val="1"/>
          <w:bCs w:val="1"/>
          <w:color w:val="D47C18"/>
        </w:rPr>
        <w:t>(6.6%)</w:t>
      </w:r>
    </w:p>
    <w:p>
      <w:pPr>
        <w:spacing w:after="0" w:line="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 xml:space="preserve">EPS </w:t>
      </w:r>
      <w:r>
        <w:rPr>
          <w:rFonts w:ascii="Arial" w:cs="Arial" w:eastAsia="Arial" w:hAnsi="Arial"/>
          <w:sz w:val="39"/>
          <w:szCs w:val="39"/>
          <w:b w:val="1"/>
          <w:bCs w:val="1"/>
          <w:color w:val="D47C18"/>
        </w:rPr>
        <w:t>($4.29)</w:t>
      </w:r>
    </w:p>
    <w:p>
      <w:pPr>
        <w:spacing w:after="0" w:line="386" w:lineRule="exact"/>
        <w:rPr>
          <w:sz w:val="20"/>
          <w:szCs w:val="20"/>
          <w:color w:val="auto"/>
        </w:rPr>
      </w:pPr>
    </w:p>
    <w:p>
      <w:pPr>
        <w:sectPr>
          <w:pgSz w:w="11900" w:h="16838" w:orient="portrait"/>
          <w:cols w:equalWidth="0" w:num="3">
            <w:col w:w="1720" w:space="480"/>
            <w:col w:w="1480" w:space="580"/>
            <w:col w:w="4759"/>
          </w:cols>
          <w:pgMar w:left="1440" w:top="465" w:right="1440" w:bottom="1440" w:gutter="0" w:footer="0" w:header="0"/>
          <w:type w:val="continuous"/>
        </w:sectPr>
      </w:pPr>
    </w:p>
    <w:p>
      <w:pPr>
        <w:ind w:left="280" w:hanging="196"/>
        <w:spacing w:after="0"/>
        <w:tabs>
          <w:tab w:leader="none" w:pos="280" w:val="left"/>
        </w:tabs>
        <w:numPr>
          <w:ilvl w:val="0"/>
          <w:numId w:val="5"/>
        </w:numPr>
        <w:rPr>
          <w:rFonts w:ascii="Arial" w:cs="Arial" w:eastAsia="Arial" w:hAnsi="Arial"/>
          <w:sz w:val="23"/>
          <w:szCs w:val="23"/>
          <w:b w:val="1"/>
          <w:bCs w:val="1"/>
          <w:color w:val="auto"/>
          <w:vertAlign w:val="superscript"/>
        </w:rPr>
      </w:pPr>
      <w:r>
        <w:rPr>
          <w:rFonts w:ascii="Arial" w:cs="Arial" w:eastAsia="Arial" w:hAnsi="Arial"/>
          <w:sz w:val="17"/>
          <w:szCs w:val="17"/>
          <w:color w:val="auto"/>
        </w:rPr>
        <w:t>Excludes non-recurring items for 2010 as set forth on page 4, and reorganization expenses in 2009.</w:t>
      </w:r>
    </w:p>
    <w:p>
      <w:pPr>
        <w:spacing w:after="0" w:line="138" w:lineRule="exact"/>
        <w:rPr>
          <w:sz w:val="20"/>
          <w:szCs w:val="20"/>
          <w:color w:val="auto"/>
        </w:rPr>
      </w:pPr>
    </w:p>
    <w:p>
      <w:pPr>
        <w:ind w:left="160" w:right="499"/>
        <w:spacing w:after="0" w:line="289" w:lineRule="auto"/>
        <w:rPr>
          <w:sz w:val="20"/>
          <w:szCs w:val="20"/>
          <w:color w:val="auto"/>
        </w:rPr>
      </w:pPr>
      <w:r>
        <w:rPr>
          <w:rFonts w:ascii="Arial" w:cs="Arial" w:eastAsia="Arial" w:hAnsi="Arial"/>
          <w:sz w:val="15"/>
          <w:szCs w:val="15"/>
          <w:b w:val="1"/>
          <w:bCs w:val="1"/>
          <w:color w:val="auto"/>
        </w:rPr>
        <w:t>Throughout this presentation, the difference between reported variances and Constant Currency (CC) variances represents the impact of currency on our financial results. Constant Currency is further explained on our Web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217170</wp:posOffset>
            </wp:positionV>
            <wp:extent cx="728345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9019"/>
          </w:cols>
          <w:pgMar w:left="1440" w:top="465" w:right="1440" w:bottom="1440" w:gutter="0" w:footer="0" w:header="0"/>
          <w:type w:val="continuous"/>
        </w:sectPr>
      </w:pPr>
    </w:p>
    <w:bookmarkStart w:id="14" w:name="page15"/>
    <w:bookmarkEnd w:id="14"/>
    <w:p>
      <w:pPr>
        <w:jc w:val="right"/>
        <w:ind w:right="19"/>
        <w:spacing w:after="0"/>
        <w:tabs>
          <w:tab w:leader="none" w:pos="1280" w:val="left"/>
          <w:tab w:leader="none" w:pos="60" w:val="left"/>
        </w:tabs>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599440</wp:posOffset>
            </wp:positionH>
            <wp:positionV relativeFrom="page">
              <wp:posOffset>161925</wp:posOffset>
            </wp:positionV>
            <wp:extent cx="6369050" cy="47764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4</w:t>
      </w:r>
    </w:p>
    <w:p>
      <w:pPr>
        <w:spacing w:after="0" w:line="200" w:lineRule="exact"/>
        <w:rPr>
          <w:sz w:val="20"/>
          <w:szCs w:val="20"/>
          <w:color w:val="auto"/>
        </w:rPr>
      </w:pPr>
    </w:p>
    <w:p>
      <w:pPr>
        <w:spacing w:after="0" w:line="247" w:lineRule="exact"/>
        <w:rPr>
          <w:sz w:val="20"/>
          <w:szCs w:val="20"/>
          <w:color w:val="auto"/>
        </w:rPr>
      </w:pPr>
    </w:p>
    <w:p>
      <w:pPr>
        <w:ind w:left="320"/>
        <w:spacing w:after="0"/>
        <w:rPr>
          <w:sz w:val="20"/>
          <w:szCs w:val="20"/>
          <w:color w:val="auto"/>
        </w:rPr>
      </w:pPr>
      <w:r>
        <w:rPr>
          <w:rFonts w:ascii="Arial" w:cs="Arial" w:eastAsia="Arial" w:hAnsi="Arial"/>
          <w:sz w:val="36"/>
          <w:szCs w:val="36"/>
          <w:color w:val="5F81AA"/>
        </w:rPr>
        <w:t>Q4 Non-Recurring Items</w:t>
      </w:r>
    </w:p>
    <w:p>
      <w:pPr>
        <w:spacing w:after="0" w:line="6" w:lineRule="exact"/>
        <w:rPr>
          <w:sz w:val="20"/>
          <w:szCs w:val="20"/>
          <w:color w:val="auto"/>
        </w:rPr>
      </w:pPr>
    </w:p>
    <w:p>
      <w:pPr>
        <w:ind w:left="320"/>
        <w:spacing w:after="0"/>
        <w:rPr>
          <w:sz w:val="20"/>
          <w:szCs w:val="20"/>
          <w:color w:val="auto"/>
        </w:rPr>
      </w:pPr>
      <w:r>
        <w:rPr>
          <w:rFonts w:ascii="Arial" w:cs="Arial" w:eastAsia="Arial" w:hAnsi="Arial"/>
          <w:sz w:val="28"/>
          <w:szCs w:val="28"/>
          <w:color w:val="5F81AA"/>
        </w:rPr>
        <w:t>($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80" w:hanging="227"/>
        <w:spacing w:after="0"/>
        <w:tabs>
          <w:tab w:leader="none" w:pos="28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Includes reorganization charges for Jefferson Wells ($6.1M), France ($7.6M) and Right Management ($16.8M).</w:t>
      </w:r>
    </w:p>
    <w:p>
      <w:pPr>
        <w:spacing w:after="0" w:line="101" w:lineRule="exact"/>
        <w:rPr>
          <w:rFonts w:ascii="Arial" w:cs="Arial" w:eastAsia="Arial" w:hAnsi="Arial"/>
          <w:sz w:val="23"/>
          <w:szCs w:val="23"/>
          <w:color w:val="auto"/>
          <w:vertAlign w:val="superscript"/>
        </w:rPr>
      </w:pPr>
    </w:p>
    <w:p>
      <w:pPr>
        <w:ind w:left="320" w:right="539" w:hanging="267"/>
        <w:spacing w:after="0" w:line="219" w:lineRule="auto"/>
        <w:tabs>
          <w:tab w:leader="none" w:pos="234"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Includes goodwill and intangible asset impairment charges for Jefferson Wells ($32.9M) and Right Management ($395.9M).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390525</wp:posOffset>
            </wp:positionV>
            <wp:extent cx="728345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9019"/>
          </w:cols>
          <w:pgMar w:left="1440" w:top="465" w:right="1440" w:bottom="1440" w:gutter="0" w:footer="0" w:header="0"/>
        </w:sectPr>
      </w:pPr>
    </w:p>
    <w:bookmarkStart w:id="15" w:name="page16"/>
    <w:bookmarkEnd w:id="15"/>
    <w:p>
      <w:pPr>
        <w:jc w:val="right"/>
        <w:ind w:right="19"/>
        <w:spacing w:after="0"/>
        <w:tabs>
          <w:tab w:leader="none" w:pos="1280" w:val="left"/>
          <w:tab w:leader="none" w:pos="60" w:val="left"/>
        </w:tabs>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599440</wp:posOffset>
            </wp:positionH>
            <wp:positionV relativeFrom="page">
              <wp:posOffset>161925</wp:posOffset>
            </wp:positionV>
            <wp:extent cx="6369050" cy="47764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5</w:t>
      </w:r>
    </w:p>
    <w:p>
      <w:pPr>
        <w:spacing w:after="0" w:line="374" w:lineRule="exact"/>
        <w:rPr>
          <w:sz w:val="20"/>
          <w:szCs w:val="20"/>
          <w:color w:val="auto"/>
        </w:rPr>
      </w:pPr>
    </w:p>
    <w:p>
      <w:pPr>
        <w:ind w:left="240"/>
        <w:spacing w:after="0"/>
        <w:rPr>
          <w:sz w:val="20"/>
          <w:szCs w:val="20"/>
          <w:color w:val="auto"/>
        </w:rPr>
      </w:pPr>
      <w:r>
        <w:rPr>
          <w:rFonts w:ascii="Arial" w:cs="Arial" w:eastAsia="Arial" w:hAnsi="Arial"/>
          <w:sz w:val="36"/>
          <w:szCs w:val="36"/>
          <w:color w:val="5F81AA"/>
        </w:rPr>
        <w:t>Consolidated Gross Margin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4141470</wp:posOffset>
            </wp:positionV>
            <wp:extent cx="728345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9019"/>
          </w:cols>
          <w:pgMar w:left="1440" w:top="465" w:right="1440" w:bottom="1440" w:gutter="0" w:footer="0" w:header="0"/>
        </w:sectPr>
      </w:pPr>
    </w:p>
    <w:bookmarkStart w:id="16" w:name="page17"/>
    <w:bookmarkEnd w:id="16"/>
    <w:p>
      <w:pPr>
        <w:jc w:val="right"/>
        <w:ind w:right="19"/>
        <w:spacing w:after="0"/>
        <w:tabs>
          <w:tab w:leader="none" w:pos="1280" w:val="left"/>
          <w:tab w:leader="none" w:pos="60" w:val="left"/>
        </w:tabs>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599440</wp:posOffset>
            </wp:positionH>
            <wp:positionV relativeFrom="page">
              <wp:posOffset>161925</wp:posOffset>
            </wp:positionV>
            <wp:extent cx="6369050" cy="47764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6</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36"/>
          <w:szCs w:val="36"/>
          <w:color w:val="5F81AA"/>
        </w:rPr>
        <w:t>SG&amp;A Expense Sequential Bridge - Q4 vs. Q3</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25"/>
          <w:szCs w:val="25"/>
          <w:color w:val="5F81AA"/>
        </w:rPr>
        <w:t>(in millions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3958590</wp:posOffset>
            </wp:positionV>
            <wp:extent cx="728345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9019"/>
          </w:cols>
          <w:pgMar w:left="1440" w:top="465" w:right="1440" w:bottom="1440" w:gutter="0" w:footer="0" w:header="0"/>
        </w:sectPr>
      </w:pPr>
    </w:p>
    <w:bookmarkStart w:id="17" w:name="page18"/>
    <w:bookmarkEnd w:id="17"/>
    <w:p>
      <w:pPr>
        <w:ind w:left="1360"/>
        <w:spacing w:after="0"/>
        <w:tabs>
          <w:tab w:leader="none" w:pos="7780" w:val="left"/>
          <w:tab w:leader="none" w:pos="9000" w:val="left"/>
        </w:tabs>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599440</wp:posOffset>
            </wp:positionH>
            <wp:positionV relativeFrom="page">
              <wp:posOffset>161925</wp:posOffset>
            </wp:positionV>
            <wp:extent cx="6369050" cy="47764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7</w:t>
      </w:r>
    </w:p>
    <w:p>
      <w:pPr>
        <w:sectPr>
          <w:pgSz w:w="11900" w:h="16838" w:orient="portrait"/>
          <w:cols w:equalWidth="0" w:num="1">
            <w:col w:w="9160"/>
          </w:cols>
          <w:pgMar w:left="1340" w:top="465" w:right="1399" w:bottom="1440" w:gutter="0" w:footer="0" w:header="0"/>
        </w:sectPr>
      </w:pPr>
    </w:p>
    <w:p>
      <w:pPr>
        <w:spacing w:after="0" w:line="301" w:lineRule="exact"/>
        <w:rPr>
          <w:sz w:val="20"/>
          <w:szCs w:val="20"/>
          <w:color w:val="auto"/>
        </w:rPr>
      </w:pPr>
    </w:p>
    <w:p>
      <w:pPr>
        <w:ind w:left="360"/>
        <w:spacing w:after="0"/>
        <w:rPr>
          <w:sz w:val="20"/>
          <w:szCs w:val="20"/>
          <w:color w:val="auto"/>
        </w:rPr>
      </w:pPr>
      <w:r>
        <w:rPr>
          <w:rFonts w:ascii="Arial" w:cs="Arial" w:eastAsia="Arial" w:hAnsi="Arial"/>
          <w:sz w:val="36"/>
          <w:szCs w:val="36"/>
          <w:color w:val="5F81AA"/>
        </w:rPr>
        <w:t>Americas Segment</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28"/>
          <w:szCs w:val="28"/>
          <w:color w:val="5F81AA"/>
        </w:rPr>
        <w:t>(22% of Revenue)</w:t>
      </w:r>
    </w:p>
    <w:p>
      <w:pPr>
        <w:spacing w:after="0" w:line="168" w:lineRule="exact"/>
        <w:rPr>
          <w:sz w:val="20"/>
          <w:szCs w:val="20"/>
          <w:color w:val="auto"/>
        </w:rPr>
      </w:pPr>
    </w:p>
    <w:tbl>
      <w:tblPr>
        <w:tblLayout w:type="fixed"/>
        <w:tblInd w:w="740" w:type="dxa"/>
        <w:tblCellMar>
          <w:top w:w="0" w:type="dxa"/>
          <w:left w:w="0" w:type="dxa"/>
          <w:bottom w:w="0" w:type="dxa"/>
          <w:right w:w="0" w:type="dxa"/>
        </w:tblCellMar>
      </w:tblPr>
      <w:tr>
        <w:trPr>
          <w:trHeight w:val="345"/>
        </w:trPr>
        <w:tc>
          <w:tcPr>
            <w:tcW w:w="1620" w:type="dxa"/>
            <w:vAlign w:val="bottom"/>
            <w:vMerge w:val="restart"/>
          </w:tcPr>
          <w:p>
            <w:pPr>
              <w:jc w:val="center"/>
              <w:ind w:right="173"/>
              <w:spacing w:after="0"/>
              <w:rPr>
                <w:sz w:val="20"/>
                <w:szCs w:val="20"/>
                <w:color w:val="auto"/>
              </w:rPr>
            </w:pPr>
            <w:r>
              <w:rPr>
                <w:rFonts w:ascii="Arial" w:cs="Arial" w:eastAsia="Arial" w:hAnsi="Arial"/>
                <w:sz w:val="19"/>
                <w:szCs w:val="19"/>
                <w:b w:val="1"/>
                <w:bCs w:val="1"/>
                <w:color w:val="auto"/>
              </w:rPr>
              <w:t>As</w:t>
            </w:r>
          </w:p>
        </w:tc>
        <w:tc>
          <w:tcPr>
            <w:tcW w:w="1600" w:type="dxa"/>
            <w:vAlign w:val="bottom"/>
          </w:tcPr>
          <w:p>
            <w:pPr>
              <w:ind w:left="360"/>
              <w:spacing w:after="0"/>
              <w:rPr>
                <w:sz w:val="20"/>
                <w:szCs w:val="20"/>
                <w:color w:val="auto"/>
              </w:rPr>
            </w:pPr>
            <w:r>
              <w:rPr>
                <w:rFonts w:ascii="Arial" w:cs="Arial" w:eastAsia="Arial" w:hAnsi="Arial"/>
                <w:sz w:val="19"/>
                <w:szCs w:val="19"/>
                <w:b w:val="1"/>
                <w:bCs w:val="1"/>
                <w:color w:val="auto"/>
              </w:rPr>
              <w:t xml:space="preserve">Excluding </w:t>
            </w:r>
            <w:r>
              <w:rPr>
                <w:rFonts w:ascii="Arial" w:cs="Arial" w:eastAsia="Arial" w:hAnsi="Arial"/>
                <w:sz w:val="30"/>
                <w:szCs w:val="30"/>
                <w:b w:val="1"/>
                <w:bCs w:val="1"/>
                <w:color w:val="D47C18"/>
                <w:vertAlign w:val="superscript"/>
              </w:rPr>
              <w:t>(3)</w:t>
            </w:r>
          </w:p>
        </w:tc>
        <w:tc>
          <w:tcPr>
            <w:tcW w:w="0" w:type="dxa"/>
            <w:vAlign w:val="bottom"/>
          </w:tcPr>
          <w:p>
            <w:pPr>
              <w:spacing w:after="0"/>
              <w:rPr>
                <w:sz w:val="1"/>
                <w:szCs w:val="1"/>
                <w:color w:val="auto"/>
              </w:rPr>
            </w:pPr>
          </w:p>
        </w:tc>
      </w:tr>
      <w:tr>
        <w:trPr>
          <w:trHeight w:val="200"/>
        </w:trPr>
        <w:tc>
          <w:tcPr>
            <w:tcW w:w="1620" w:type="dxa"/>
            <w:vAlign w:val="bottom"/>
            <w:vMerge w:val="continue"/>
          </w:tcPr>
          <w:p>
            <w:pPr>
              <w:spacing w:after="0"/>
              <w:rPr>
                <w:sz w:val="17"/>
                <w:szCs w:val="17"/>
                <w:color w:val="auto"/>
              </w:rPr>
            </w:pPr>
          </w:p>
        </w:tc>
        <w:tc>
          <w:tcPr>
            <w:tcW w:w="1600" w:type="dxa"/>
            <w:vAlign w:val="bottom"/>
          </w:tcPr>
          <w:p>
            <w:pPr>
              <w:ind w:left="180"/>
              <w:spacing w:after="0" w:line="201" w:lineRule="exact"/>
              <w:rPr>
                <w:sz w:val="20"/>
                <w:szCs w:val="20"/>
                <w:color w:val="auto"/>
              </w:rPr>
            </w:pPr>
            <w:r>
              <w:rPr>
                <w:rFonts w:ascii="Arial" w:cs="Arial" w:eastAsia="Arial" w:hAnsi="Arial"/>
                <w:sz w:val="19"/>
                <w:szCs w:val="19"/>
                <w:b w:val="1"/>
                <w:bCs w:val="1"/>
                <w:color w:val="auto"/>
              </w:rPr>
              <w:t>Non-recurring</w:t>
            </w:r>
          </w:p>
        </w:tc>
        <w:tc>
          <w:tcPr>
            <w:tcW w:w="0" w:type="dxa"/>
            <w:vAlign w:val="bottom"/>
          </w:tcPr>
          <w:p>
            <w:pPr>
              <w:spacing w:after="0"/>
              <w:rPr>
                <w:sz w:val="1"/>
                <w:szCs w:val="1"/>
                <w:color w:val="auto"/>
              </w:rPr>
            </w:pPr>
          </w:p>
        </w:tc>
      </w:tr>
      <w:tr>
        <w:trPr>
          <w:trHeight w:val="288"/>
        </w:trPr>
        <w:tc>
          <w:tcPr>
            <w:tcW w:w="1620" w:type="dxa"/>
            <w:vAlign w:val="bottom"/>
          </w:tcPr>
          <w:p>
            <w:pPr>
              <w:jc w:val="center"/>
              <w:ind w:right="173"/>
              <w:spacing w:after="0"/>
              <w:rPr>
                <w:sz w:val="20"/>
                <w:szCs w:val="20"/>
                <w:color w:val="auto"/>
              </w:rPr>
            </w:pPr>
            <w:r>
              <w:rPr>
                <w:rFonts w:ascii="Arial" w:cs="Arial" w:eastAsia="Arial" w:hAnsi="Arial"/>
                <w:sz w:val="19"/>
                <w:szCs w:val="19"/>
                <w:b w:val="1"/>
                <w:bCs w:val="1"/>
                <w:color w:val="auto"/>
              </w:rPr>
              <w:t>Reported</w:t>
            </w:r>
          </w:p>
        </w:tc>
        <w:tc>
          <w:tcPr>
            <w:tcW w:w="1600" w:type="dxa"/>
            <w:vAlign w:val="bottom"/>
          </w:tcPr>
          <w:p>
            <w:pPr>
              <w:ind w:left="560"/>
              <w:spacing w:after="0"/>
              <w:rPr>
                <w:sz w:val="20"/>
                <w:szCs w:val="20"/>
                <w:color w:val="auto"/>
              </w:rPr>
            </w:pPr>
            <w:r>
              <w:rPr>
                <w:rFonts w:ascii="Arial" w:cs="Arial" w:eastAsia="Arial" w:hAnsi="Arial"/>
                <w:sz w:val="19"/>
                <w:szCs w:val="19"/>
                <w:b w:val="1"/>
                <w:bCs w:val="1"/>
                <w:color w:val="auto"/>
              </w:rPr>
              <w:t>Items</w:t>
            </w:r>
          </w:p>
        </w:tc>
        <w:tc>
          <w:tcPr>
            <w:tcW w:w="0" w:type="dxa"/>
            <w:vAlign w:val="bottom"/>
          </w:tcPr>
          <w:p>
            <w:pPr>
              <w:spacing w:after="0"/>
              <w:rPr>
                <w:sz w:val="1"/>
                <w:szCs w:val="1"/>
                <w:color w:val="auto"/>
              </w:rPr>
            </w:pPr>
          </w:p>
        </w:tc>
      </w:tr>
      <w:tr>
        <w:trPr>
          <w:trHeight w:val="517"/>
        </w:trPr>
        <w:tc>
          <w:tcPr>
            <w:tcW w:w="1620" w:type="dxa"/>
            <w:vAlign w:val="bottom"/>
          </w:tcPr>
          <w:p>
            <w:pPr>
              <w:jc w:val="right"/>
              <w:ind w:right="273"/>
              <w:spacing w:after="0"/>
              <w:rPr>
                <w:sz w:val="20"/>
                <w:szCs w:val="20"/>
                <w:color w:val="auto"/>
              </w:rPr>
            </w:pPr>
            <w:r>
              <w:rPr>
                <w:rFonts w:ascii="Arial" w:cs="Arial" w:eastAsia="Arial" w:hAnsi="Arial"/>
                <w:sz w:val="33"/>
                <w:szCs w:val="33"/>
                <w:color w:val="auto"/>
              </w:rPr>
              <w:t>47%</w:t>
            </w:r>
            <w:r>
              <w:rPr>
                <w:rFonts w:ascii="Arial" w:cs="Arial" w:eastAsia="Arial" w:hAnsi="Arial"/>
                <w:sz w:val="33"/>
                <w:szCs w:val="33"/>
                <w:b w:val="1"/>
                <w:bCs w:val="1"/>
                <w:color w:val="D47C18"/>
                <w:vertAlign w:val="superscript"/>
              </w:rPr>
              <w:t>(2)</w:t>
            </w:r>
          </w:p>
        </w:tc>
        <w:tc>
          <w:tcPr>
            <w:tcW w:w="1600" w:type="dxa"/>
            <w:vAlign w:val="bottom"/>
          </w:tcPr>
          <w:p>
            <w:pPr>
              <w:ind w:left="700"/>
              <w:spacing w:after="0"/>
              <w:rPr>
                <w:sz w:val="20"/>
                <w:szCs w:val="20"/>
                <w:color w:val="auto"/>
              </w:rPr>
            </w:pPr>
            <w:r>
              <w:rPr>
                <w:rFonts w:ascii="Arial" w:cs="Arial" w:eastAsia="Arial" w:hAnsi="Arial"/>
                <w:sz w:val="33"/>
                <w:szCs w:val="33"/>
                <w:color w:val="auto"/>
              </w:rPr>
              <w:t>47%</w:t>
            </w:r>
          </w:p>
        </w:tc>
        <w:tc>
          <w:tcPr>
            <w:tcW w:w="0" w:type="dxa"/>
            <w:vAlign w:val="bottom"/>
          </w:tcPr>
          <w:p>
            <w:pPr>
              <w:spacing w:after="0"/>
              <w:rPr>
                <w:sz w:val="1"/>
                <w:szCs w:val="1"/>
                <w:color w:val="auto"/>
              </w:rPr>
            </w:pPr>
          </w:p>
        </w:tc>
      </w:tr>
      <w:tr>
        <w:trPr>
          <w:trHeight w:val="455"/>
        </w:trPr>
        <w:tc>
          <w:tcPr>
            <w:tcW w:w="1620" w:type="dxa"/>
            <w:vAlign w:val="bottom"/>
          </w:tcPr>
          <w:p>
            <w:pPr>
              <w:jc w:val="right"/>
              <w:ind w:right="53"/>
              <w:spacing w:after="0"/>
              <w:rPr>
                <w:sz w:val="20"/>
                <w:szCs w:val="20"/>
                <w:color w:val="auto"/>
              </w:rPr>
            </w:pPr>
            <w:r>
              <w:rPr>
                <w:rFonts w:ascii="Arial" w:cs="Arial" w:eastAsia="Arial" w:hAnsi="Arial"/>
                <w:sz w:val="33"/>
                <w:szCs w:val="33"/>
                <w:color w:val="auto"/>
                <w:w w:val="93"/>
              </w:rPr>
              <w:t>46% CC</w:t>
            </w:r>
            <w:r>
              <w:rPr>
                <w:rFonts w:ascii="Arial" w:cs="Arial" w:eastAsia="Arial" w:hAnsi="Arial"/>
                <w:sz w:val="33"/>
                <w:szCs w:val="33"/>
                <w:b w:val="1"/>
                <w:bCs w:val="1"/>
                <w:color w:val="D47C18"/>
                <w:w w:val="93"/>
                <w:vertAlign w:val="superscript"/>
              </w:rPr>
              <w:t>(2)</w:t>
            </w:r>
          </w:p>
        </w:tc>
        <w:tc>
          <w:tcPr>
            <w:tcW w:w="1600" w:type="dxa"/>
            <w:vAlign w:val="bottom"/>
          </w:tcPr>
          <w:p>
            <w:pPr>
              <w:ind w:left="360"/>
              <w:spacing w:after="0"/>
              <w:rPr>
                <w:sz w:val="20"/>
                <w:szCs w:val="20"/>
                <w:color w:val="auto"/>
              </w:rPr>
            </w:pPr>
            <w:r>
              <w:rPr>
                <w:rFonts w:ascii="Arial" w:cs="Arial" w:eastAsia="Arial" w:hAnsi="Arial"/>
                <w:sz w:val="33"/>
                <w:szCs w:val="33"/>
                <w:color w:val="auto"/>
                <w:w w:val="99"/>
              </w:rPr>
              <w:t>46% CC</w:t>
            </w:r>
          </w:p>
        </w:tc>
        <w:tc>
          <w:tcPr>
            <w:tcW w:w="0" w:type="dxa"/>
            <w:vAlign w:val="bottom"/>
          </w:tcPr>
          <w:p>
            <w:pPr>
              <w:spacing w:after="0"/>
              <w:rPr>
                <w:sz w:val="1"/>
                <w:szCs w:val="1"/>
                <w:color w:val="auto"/>
              </w:rPr>
            </w:pPr>
          </w:p>
        </w:tc>
      </w:tr>
      <w:tr>
        <w:trPr>
          <w:trHeight w:val="616"/>
        </w:trPr>
        <w:tc>
          <w:tcPr>
            <w:tcW w:w="1620" w:type="dxa"/>
            <w:vAlign w:val="bottom"/>
          </w:tcPr>
          <w:p>
            <w:pPr>
              <w:jc w:val="center"/>
              <w:ind w:right="253"/>
              <w:spacing w:after="0"/>
              <w:rPr>
                <w:sz w:val="20"/>
                <w:szCs w:val="20"/>
                <w:color w:val="auto"/>
              </w:rPr>
            </w:pPr>
            <w:r>
              <w:rPr>
                <w:rFonts w:ascii="Arial" w:cs="Arial" w:eastAsia="Arial" w:hAnsi="Arial"/>
                <w:sz w:val="33"/>
                <w:szCs w:val="33"/>
                <w:color w:val="auto"/>
                <w:w w:val="98"/>
              </w:rPr>
              <w:t>N/A</w:t>
            </w:r>
          </w:p>
        </w:tc>
        <w:tc>
          <w:tcPr>
            <w:tcW w:w="1600" w:type="dxa"/>
            <w:vAlign w:val="bottom"/>
          </w:tcPr>
          <w:p>
            <w:pPr>
              <w:ind w:left="600"/>
              <w:spacing w:after="0"/>
              <w:rPr>
                <w:sz w:val="20"/>
                <w:szCs w:val="20"/>
                <w:color w:val="auto"/>
              </w:rPr>
            </w:pPr>
            <w:r>
              <w:rPr>
                <w:rFonts w:ascii="Arial" w:cs="Arial" w:eastAsia="Arial" w:hAnsi="Arial"/>
                <w:sz w:val="33"/>
                <w:szCs w:val="33"/>
                <w:color w:val="auto"/>
              </w:rPr>
              <w:t>N/A</w:t>
            </w:r>
          </w:p>
        </w:tc>
        <w:tc>
          <w:tcPr>
            <w:tcW w:w="0" w:type="dxa"/>
            <w:vAlign w:val="bottom"/>
          </w:tcPr>
          <w:p>
            <w:pPr>
              <w:spacing w:after="0"/>
              <w:rPr>
                <w:sz w:val="1"/>
                <w:szCs w:val="1"/>
                <w:color w:val="auto"/>
              </w:rPr>
            </w:pPr>
          </w:p>
        </w:tc>
      </w:tr>
      <w:tr>
        <w:trPr>
          <w:trHeight w:val="428"/>
        </w:trPr>
        <w:tc>
          <w:tcPr>
            <w:tcW w:w="1620" w:type="dxa"/>
            <w:vAlign w:val="bottom"/>
          </w:tcPr>
          <w:p>
            <w:pPr>
              <w:jc w:val="center"/>
              <w:ind w:right="233"/>
              <w:spacing w:after="0"/>
              <w:rPr>
                <w:sz w:val="20"/>
                <w:szCs w:val="20"/>
                <w:color w:val="auto"/>
              </w:rPr>
            </w:pPr>
            <w:r>
              <w:rPr>
                <w:rFonts w:ascii="Arial" w:cs="Arial" w:eastAsia="Arial" w:hAnsi="Arial"/>
                <w:sz w:val="33"/>
                <w:szCs w:val="33"/>
                <w:color w:val="auto"/>
              </w:rPr>
              <w:t>N/A</w:t>
            </w:r>
          </w:p>
        </w:tc>
        <w:tc>
          <w:tcPr>
            <w:tcW w:w="1600" w:type="dxa"/>
            <w:vAlign w:val="bottom"/>
          </w:tcPr>
          <w:p>
            <w:pPr>
              <w:ind w:left="600"/>
              <w:spacing w:after="0"/>
              <w:rPr>
                <w:sz w:val="20"/>
                <w:szCs w:val="20"/>
                <w:color w:val="auto"/>
              </w:rPr>
            </w:pPr>
            <w:r>
              <w:rPr>
                <w:rFonts w:ascii="Arial" w:cs="Arial" w:eastAsia="Arial" w:hAnsi="Arial"/>
                <w:sz w:val="33"/>
                <w:szCs w:val="33"/>
                <w:color w:val="auto"/>
              </w:rPr>
              <w:t>N/A</w:t>
            </w:r>
          </w:p>
        </w:tc>
        <w:tc>
          <w:tcPr>
            <w:tcW w:w="0" w:type="dxa"/>
            <w:vAlign w:val="bottom"/>
          </w:tcPr>
          <w:p>
            <w:pPr>
              <w:spacing w:after="0"/>
              <w:rPr>
                <w:sz w:val="1"/>
                <w:szCs w:val="1"/>
                <w:color w:val="auto"/>
              </w:rPr>
            </w:pPr>
          </w:p>
        </w:tc>
      </w:tr>
      <w:tr>
        <w:trPr>
          <w:trHeight w:val="721"/>
        </w:trPr>
        <w:tc>
          <w:tcPr>
            <w:tcW w:w="1620" w:type="dxa"/>
            <w:vAlign w:val="bottom"/>
          </w:tcPr>
          <w:p>
            <w:pPr>
              <w:jc w:val="center"/>
              <w:ind w:right="173"/>
              <w:spacing w:after="0"/>
              <w:rPr>
                <w:sz w:val="20"/>
                <w:szCs w:val="20"/>
                <w:color w:val="auto"/>
              </w:rPr>
            </w:pPr>
            <w:r>
              <w:rPr>
                <w:rFonts w:ascii="Arial" w:cs="Arial" w:eastAsia="Arial" w:hAnsi="Arial"/>
                <w:sz w:val="33"/>
                <w:szCs w:val="33"/>
                <w:color w:val="auto"/>
              </w:rPr>
              <w:t>230 bps</w:t>
            </w:r>
          </w:p>
        </w:tc>
        <w:tc>
          <w:tcPr>
            <w:tcW w:w="1600" w:type="dxa"/>
            <w:vAlign w:val="bottom"/>
          </w:tcPr>
          <w:p>
            <w:pPr>
              <w:ind w:left="360"/>
              <w:spacing w:after="0"/>
              <w:rPr>
                <w:sz w:val="20"/>
                <w:szCs w:val="20"/>
                <w:color w:val="auto"/>
              </w:rPr>
            </w:pPr>
            <w:r>
              <w:rPr>
                <w:rFonts w:ascii="Arial" w:cs="Arial" w:eastAsia="Arial" w:hAnsi="Arial"/>
                <w:sz w:val="33"/>
                <w:szCs w:val="33"/>
                <w:color w:val="auto"/>
              </w:rPr>
              <w:t>280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00" w:hanging="112"/>
        <w:spacing w:after="0" w:line="494" w:lineRule="auto"/>
        <w:rPr>
          <w:sz w:val="20"/>
          <w:szCs w:val="20"/>
          <w:color w:val="auto"/>
        </w:rPr>
      </w:pPr>
      <w:r>
        <w:rPr>
          <w:rFonts w:ascii="Arial" w:cs="Arial" w:eastAsia="Arial" w:hAnsi="Arial"/>
          <w:sz w:val="36"/>
          <w:szCs w:val="36"/>
          <w:b w:val="1"/>
          <w:bCs w:val="1"/>
          <w:color w:val="auto"/>
        </w:rPr>
        <w:t xml:space="preserve">Q4 Financial Highlights </w:t>
      </w:r>
      <w:r>
        <w:rPr>
          <w:rFonts w:ascii="Arial" w:cs="Arial" w:eastAsia="Arial" w:hAnsi="Arial"/>
          <w:sz w:val="30"/>
          <w:szCs w:val="30"/>
          <w:b w:val="1"/>
          <w:bCs w:val="1"/>
          <w:color w:val="D47C18"/>
          <w:vertAlign w:val="superscript"/>
        </w:rPr>
        <w:t>(1)</w:t>
      </w:r>
      <w:r>
        <w:rPr>
          <w:rFonts w:ascii="Arial" w:cs="Arial" w:eastAsia="Arial" w:hAnsi="Arial"/>
          <w:sz w:val="36"/>
          <w:szCs w:val="36"/>
          <w:b w:val="1"/>
          <w:bCs w:val="1"/>
          <w:color w:val="auto"/>
        </w:rPr>
        <w:t xml:space="preserve"> Revenue </w:t>
      </w:r>
      <w:r>
        <w:rPr>
          <w:rFonts w:ascii="Arial" w:cs="Arial" w:eastAsia="Arial" w:hAnsi="Arial"/>
          <w:sz w:val="39"/>
          <w:szCs w:val="39"/>
          <w:b w:val="1"/>
          <w:bCs w:val="1"/>
          <w:color w:val="D47C18"/>
        </w:rPr>
        <w:t>$1.1B</w:t>
      </w:r>
    </w:p>
    <w:p>
      <w:pPr>
        <w:spacing w:after="0" w:line="80"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36"/>
          <w:szCs w:val="36"/>
          <w:b w:val="1"/>
          <w:bCs w:val="1"/>
          <w:color w:val="auto"/>
        </w:rPr>
        <w:t>OUP</w:t>
      </w:r>
      <w:r>
        <w:rPr>
          <w:sz w:val="20"/>
          <w:szCs w:val="20"/>
          <w:color w:val="auto"/>
        </w:rPr>
        <w:tab/>
      </w:r>
      <w:r>
        <w:rPr>
          <w:rFonts w:ascii="Arial" w:cs="Arial" w:eastAsia="Arial" w:hAnsi="Arial"/>
          <w:sz w:val="39"/>
          <w:szCs w:val="39"/>
          <w:b w:val="1"/>
          <w:bCs w:val="1"/>
          <w:color w:val="D47C18"/>
        </w:rPr>
        <w:t>$24M</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 xml:space="preserve">OUP Margin </w:t>
      </w:r>
      <w:r>
        <w:rPr>
          <w:rFonts w:ascii="Arial" w:cs="Arial" w:eastAsia="Arial" w:hAnsi="Arial"/>
          <w:sz w:val="39"/>
          <w:szCs w:val="39"/>
          <w:b w:val="1"/>
          <w:bCs w:val="1"/>
          <w:color w:val="D47C18"/>
        </w:rPr>
        <w:t>2.1%</w:t>
      </w:r>
    </w:p>
    <w:p>
      <w:pPr>
        <w:spacing w:after="0" w:line="221" w:lineRule="exact"/>
        <w:rPr>
          <w:sz w:val="20"/>
          <w:szCs w:val="20"/>
          <w:color w:val="auto"/>
        </w:rPr>
      </w:pPr>
    </w:p>
    <w:p>
      <w:pPr>
        <w:sectPr>
          <w:pgSz w:w="11900" w:h="16838" w:orient="portrait"/>
          <w:cols w:equalWidth="0" w:num="2">
            <w:col w:w="3960" w:space="520"/>
            <w:col w:w="4680"/>
          </w:cols>
          <w:pgMar w:left="1340" w:top="465" w:right="1399" w:bottom="1440" w:gutter="0" w:footer="0" w:header="0"/>
          <w:type w:val="continuous"/>
        </w:sectPr>
      </w:pPr>
    </w:p>
    <w:p>
      <w:pPr>
        <w:spacing w:after="0" w:line="270" w:lineRule="exact"/>
        <w:rPr>
          <w:sz w:val="20"/>
          <w:szCs w:val="20"/>
          <w:color w:val="auto"/>
        </w:rPr>
      </w:pPr>
    </w:p>
    <w:p>
      <w:pPr>
        <w:ind w:left="700" w:right="720" w:hanging="265"/>
        <w:spacing w:after="0" w:line="219" w:lineRule="auto"/>
        <w:tabs>
          <w:tab w:leader="none" w:pos="676"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Included in these amounts is the US, which had revenue of $777M (+62%) and OUP of $14M. On an organic basis, US revenue was $563M and OUP was $4M. Included in the US is Jefferson Wells, which had revenue of $44M and OUP of -$9M, including $6.1M of reorganization charges.</w:t>
      </w:r>
    </w:p>
    <w:p>
      <w:pPr>
        <w:spacing w:after="0" w:line="50" w:lineRule="exact"/>
        <w:rPr>
          <w:rFonts w:ascii="Arial" w:cs="Arial" w:eastAsia="Arial" w:hAnsi="Arial"/>
          <w:sz w:val="23"/>
          <w:szCs w:val="23"/>
          <w:color w:val="auto"/>
          <w:vertAlign w:val="superscript"/>
        </w:rPr>
      </w:pPr>
    </w:p>
    <w:p>
      <w:pPr>
        <w:ind w:left="620" w:hanging="185"/>
        <w:spacing w:after="0"/>
        <w:tabs>
          <w:tab w:leader="none" w:pos="62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On an organic basis, Americas revenue increased 19% in USD (18% in CC).</w:t>
      </w:r>
    </w:p>
    <w:p>
      <w:pPr>
        <w:spacing w:after="0" w:line="101" w:lineRule="exact"/>
        <w:rPr>
          <w:rFonts w:ascii="Arial" w:cs="Arial" w:eastAsia="Arial" w:hAnsi="Arial"/>
          <w:sz w:val="22"/>
          <w:szCs w:val="22"/>
          <w:color w:val="auto"/>
          <w:vertAlign w:val="superscript"/>
        </w:rPr>
      </w:pPr>
    </w:p>
    <w:p>
      <w:pPr>
        <w:ind w:left="620" w:hanging="185"/>
        <w:spacing w:after="0" w:line="191" w:lineRule="auto"/>
        <w:tabs>
          <w:tab w:leader="none" w:pos="62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Excludes the impact of the reorganization charges of $6.1M in 2010 and $1.1M in 2009.</w:t>
      </w:r>
    </w:p>
    <w:p>
      <w:pPr>
        <w:spacing w:after="0" w:line="114"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color w:val="auto"/>
        </w:rPr>
        <w:t>Operating Unit Profit (OUP) is the measure that we use to evaluate segment performance. OUP is equal to segment revenues less direct costs and branch and national headquarters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186055</wp:posOffset>
            </wp:positionV>
            <wp:extent cx="728345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9160"/>
          </w:cols>
          <w:pgMar w:left="1340" w:top="465" w:right="1399" w:bottom="1440" w:gutter="0" w:footer="0" w:header="0"/>
          <w:type w:val="continuous"/>
        </w:sectPr>
      </w:pPr>
    </w:p>
    <w:bookmarkStart w:id="18" w:name="page19"/>
    <w:bookmarkEnd w:id="18"/>
    <w:p>
      <w:pPr>
        <w:jc w:val="right"/>
        <w:ind w:right="19"/>
        <w:spacing w:after="0"/>
        <w:tabs>
          <w:tab w:leader="none" w:pos="1280" w:val="left"/>
          <w:tab w:leader="none" w:pos="60" w:val="left"/>
        </w:tabs>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599440</wp:posOffset>
            </wp:positionH>
            <wp:positionV relativeFrom="page">
              <wp:posOffset>161925</wp:posOffset>
            </wp:positionV>
            <wp:extent cx="6369050" cy="47764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8</w:t>
      </w:r>
    </w:p>
    <w:p>
      <w:pPr>
        <w:spacing w:after="0" w:line="200" w:lineRule="exact"/>
        <w:rPr>
          <w:sz w:val="20"/>
          <w:szCs w:val="20"/>
          <w:color w:val="auto"/>
        </w:rPr>
      </w:pPr>
    </w:p>
    <w:p>
      <w:pPr>
        <w:spacing w:after="0" w:line="247" w:lineRule="exact"/>
        <w:rPr>
          <w:sz w:val="20"/>
          <w:szCs w:val="20"/>
          <w:color w:val="auto"/>
        </w:rPr>
      </w:pPr>
    </w:p>
    <w:p>
      <w:pPr>
        <w:ind w:left="260"/>
        <w:spacing w:after="0"/>
        <w:rPr>
          <w:sz w:val="20"/>
          <w:szCs w:val="20"/>
          <w:color w:val="auto"/>
        </w:rPr>
      </w:pPr>
      <w:r>
        <w:rPr>
          <w:rFonts w:ascii="Arial" w:cs="Arial" w:eastAsia="Arial" w:hAnsi="Arial"/>
          <w:sz w:val="36"/>
          <w:szCs w:val="36"/>
          <w:color w:val="5F81AA"/>
        </w:rPr>
        <w:t>Americas - Q4 Revenue Growth YoY</w:t>
      </w:r>
    </w:p>
    <w:p>
      <w:pPr>
        <w:spacing w:after="0" w:line="273" w:lineRule="exact"/>
        <w:rPr>
          <w:sz w:val="20"/>
          <w:szCs w:val="20"/>
          <w:color w:val="auto"/>
        </w:rPr>
      </w:pPr>
    </w:p>
    <w:p>
      <w:pPr>
        <w:ind w:left="340" w:right="7299" w:hanging="5"/>
        <w:spacing w:after="0" w:line="292" w:lineRule="auto"/>
        <w:tabs>
          <w:tab w:leader="none" w:pos="584"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of Segment Revenue</w:t>
      </w:r>
    </w:p>
    <w:p>
      <w:pPr>
        <w:ind w:left="2620"/>
        <w:spacing w:after="0"/>
        <w:rPr>
          <w:sz w:val="20"/>
          <w:szCs w:val="20"/>
          <w:color w:val="auto"/>
        </w:rPr>
      </w:pPr>
      <w:r>
        <w:rPr>
          <w:rFonts w:ascii="Arial" w:cs="Arial" w:eastAsia="Arial" w:hAnsi="Arial"/>
          <w:sz w:val="15"/>
          <w:szCs w:val="15"/>
          <w:b w:val="1"/>
          <w:bCs w:val="1"/>
          <w:color w:val="D47C18"/>
        </w:rPr>
        <w:t>(1)</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25"/>
          <w:szCs w:val="25"/>
          <w:b w:val="1"/>
          <w:bCs w:val="1"/>
          <w:color w:val="D47C18"/>
        </w:rPr>
        <w:t>69%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0"/>
        <w:spacing w:after="0"/>
        <w:rPr>
          <w:sz w:val="20"/>
          <w:szCs w:val="20"/>
          <w:color w:val="auto"/>
        </w:rPr>
      </w:pPr>
      <w:r>
        <w:rPr>
          <w:rFonts w:ascii="Arial" w:cs="Arial" w:eastAsia="Arial" w:hAnsi="Arial"/>
          <w:sz w:val="25"/>
          <w:szCs w:val="25"/>
          <w:b w:val="1"/>
          <w:bCs w:val="1"/>
          <w:color w:val="D47C18"/>
        </w:rPr>
        <w:t>11%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spacing w:after="0"/>
        <w:rPr>
          <w:sz w:val="20"/>
          <w:szCs w:val="20"/>
          <w:color w:val="auto"/>
        </w:rPr>
      </w:pPr>
      <w:r>
        <w:rPr>
          <w:rFonts w:ascii="Arial" w:cs="Arial" w:eastAsia="Arial" w:hAnsi="Arial"/>
          <w:sz w:val="25"/>
          <w:szCs w:val="25"/>
          <w:b w:val="1"/>
          <w:bCs w:val="1"/>
          <w:color w:val="D47C18"/>
        </w:rPr>
        <w:t>6%</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0"/>
        <w:spacing w:after="0"/>
        <w:rPr>
          <w:sz w:val="20"/>
          <w:szCs w:val="20"/>
          <w:color w:val="auto"/>
        </w:rPr>
      </w:pPr>
      <w:r>
        <w:rPr>
          <w:rFonts w:ascii="Arial" w:cs="Arial" w:eastAsia="Arial" w:hAnsi="Arial"/>
          <w:sz w:val="25"/>
          <w:szCs w:val="25"/>
          <w:b w:val="1"/>
          <w:bCs w:val="1"/>
          <w:color w:val="D47C18"/>
        </w:rPr>
        <w:t>14%</w:t>
      </w:r>
    </w:p>
    <w:p>
      <w:pPr>
        <w:sectPr>
          <w:pgSz w:w="11900" w:h="16838" w:orient="portrait"/>
          <w:cols w:equalWidth="0" w:num="1">
            <w:col w:w="9019"/>
          </w:cols>
          <w:pgMar w:left="1440" w:top="4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60"/>
        <w:spacing w:after="0"/>
        <w:rPr>
          <w:sz w:val="20"/>
          <w:szCs w:val="20"/>
          <w:color w:val="auto"/>
        </w:rPr>
      </w:pPr>
      <w:r>
        <w:rPr>
          <w:rFonts w:ascii="Arial" w:cs="Arial" w:eastAsia="Arial" w:hAnsi="Arial"/>
          <w:sz w:val="19"/>
          <w:szCs w:val="19"/>
          <w:b w:val="1"/>
          <w:bCs w:val="1"/>
          <w:color w:val="auto"/>
        </w:rPr>
        <w:t>Revenue</w:t>
      </w:r>
    </w:p>
    <w:p>
      <w:pPr>
        <w:spacing w:after="0" w:line="35" w:lineRule="exact"/>
        <w:rPr>
          <w:sz w:val="20"/>
          <w:szCs w:val="20"/>
          <w:color w:val="auto"/>
        </w:rPr>
      </w:pPr>
    </w:p>
    <w:p>
      <w:pPr>
        <w:ind w:left="3320"/>
        <w:spacing w:after="0"/>
        <w:rPr>
          <w:sz w:val="20"/>
          <w:szCs w:val="20"/>
          <w:color w:val="auto"/>
        </w:rPr>
      </w:pPr>
      <w:r>
        <w:rPr>
          <w:rFonts w:ascii="Arial" w:cs="Arial" w:eastAsia="Arial" w:hAnsi="Arial"/>
          <w:sz w:val="19"/>
          <w:szCs w:val="19"/>
          <w:b w:val="1"/>
          <w:bCs w:val="1"/>
          <w:color w:val="auto"/>
        </w:rPr>
        <w:t>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 Growth - CC</w:t>
      </w:r>
    </w:p>
    <w:p>
      <w:pPr>
        <w:spacing w:after="0" w:line="254" w:lineRule="exact"/>
        <w:rPr>
          <w:sz w:val="20"/>
          <w:szCs w:val="20"/>
          <w:color w:val="auto"/>
        </w:rPr>
      </w:pPr>
    </w:p>
    <w:p>
      <w:pPr>
        <w:sectPr>
          <w:pgSz w:w="11900" w:h="16838" w:orient="portrait"/>
          <w:cols w:equalWidth="0" w:num="2">
            <w:col w:w="4180" w:space="720"/>
            <w:col w:w="4119"/>
          </w:cols>
          <w:pgMar w:left="1440" w:top="465" w:right="1440" w:bottom="1440" w:gutter="0" w:footer="0" w:header="0"/>
          <w:type w:val="continuous"/>
        </w:sectPr>
      </w:pPr>
    </w:p>
    <w:p>
      <w:pPr>
        <w:ind w:left="340" w:hanging="235"/>
        <w:spacing w:after="0" w:line="235"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On an organic basis, US revenue (including Jefferson Wells) was $563M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449580</wp:posOffset>
            </wp:positionV>
            <wp:extent cx="728345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9019"/>
          </w:cols>
          <w:pgMar w:left="1440" w:top="465" w:right="1440" w:bottom="1440" w:gutter="0" w:footer="0" w:header="0"/>
          <w:type w:val="continuous"/>
        </w:sectPr>
      </w:pPr>
    </w:p>
    <w:bookmarkStart w:id="19" w:name="page20"/>
    <w:bookmarkEnd w:id="19"/>
    <w:p>
      <w:pPr>
        <w:jc w:val="right"/>
        <w:ind w:right="19"/>
        <w:spacing w:after="0"/>
        <w:tabs>
          <w:tab w:leader="none" w:pos="1280" w:val="left"/>
          <w:tab w:leader="none" w:pos="60" w:val="left"/>
        </w:tabs>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599440</wp:posOffset>
            </wp:positionH>
            <wp:positionV relativeFrom="page">
              <wp:posOffset>161925</wp:posOffset>
            </wp:positionV>
            <wp:extent cx="6369050" cy="47764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9</w:t>
      </w:r>
    </w:p>
    <w:p>
      <w:pPr>
        <w:spacing w:after="0" w:line="200" w:lineRule="exact"/>
        <w:rPr>
          <w:sz w:val="20"/>
          <w:szCs w:val="20"/>
          <w:color w:val="auto"/>
        </w:rPr>
      </w:pPr>
    </w:p>
    <w:p>
      <w:pPr>
        <w:spacing w:after="0" w:line="258" w:lineRule="exact"/>
        <w:rPr>
          <w:sz w:val="20"/>
          <w:szCs w:val="20"/>
          <w:color w:val="auto"/>
        </w:rPr>
      </w:pPr>
    </w:p>
    <w:p>
      <w:pPr>
        <w:ind w:left="260"/>
        <w:spacing w:after="0"/>
        <w:rPr>
          <w:sz w:val="20"/>
          <w:szCs w:val="20"/>
          <w:color w:val="auto"/>
        </w:rPr>
      </w:pPr>
      <w:r>
        <w:rPr>
          <w:rFonts w:ascii="Arial" w:cs="Arial" w:eastAsia="Arial" w:hAnsi="Arial"/>
          <w:sz w:val="36"/>
          <w:szCs w:val="36"/>
          <w:color w:val="5F81AA"/>
        </w:rPr>
        <w:t>France Segment</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28"/>
          <w:szCs w:val="28"/>
          <w:color w:val="5F81AA"/>
        </w:rPr>
        <w:t>(27% of Revenue)</w:t>
      </w:r>
    </w:p>
    <w:p>
      <w:pPr>
        <w:spacing w:after="0" w:line="311" w:lineRule="exact"/>
        <w:rPr>
          <w:sz w:val="20"/>
          <w:szCs w:val="20"/>
          <w:color w:val="auto"/>
        </w:rPr>
      </w:pPr>
    </w:p>
    <w:tbl>
      <w:tblPr>
        <w:tblLayout w:type="fixed"/>
        <w:tblInd w:w="600" w:type="dxa"/>
        <w:tblCellMar>
          <w:top w:w="0" w:type="dxa"/>
          <w:left w:w="0" w:type="dxa"/>
          <w:bottom w:w="0" w:type="dxa"/>
          <w:right w:w="0" w:type="dxa"/>
        </w:tblCellMar>
      </w:tblPr>
      <w:tr>
        <w:trPr>
          <w:trHeight w:val="414"/>
        </w:trPr>
        <w:tc>
          <w:tcPr>
            <w:tcW w:w="1620" w:type="dxa"/>
            <w:vAlign w:val="bottom"/>
            <w:vMerge w:val="restart"/>
          </w:tcPr>
          <w:p>
            <w:pPr>
              <w:jc w:val="center"/>
              <w:ind w:right="130"/>
              <w:spacing w:after="0"/>
              <w:rPr>
                <w:sz w:val="20"/>
                <w:szCs w:val="20"/>
                <w:color w:val="auto"/>
              </w:rPr>
            </w:pPr>
            <w:r>
              <w:rPr>
                <w:rFonts w:ascii="Arial" w:cs="Arial" w:eastAsia="Arial" w:hAnsi="Arial"/>
                <w:sz w:val="19"/>
                <w:szCs w:val="19"/>
                <w:b w:val="1"/>
                <w:bCs w:val="1"/>
                <w:color w:val="auto"/>
              </w:rPr>
              <w:t>Reported</w:t>
            </w:r>
          </w:p>
        </w:tc>
        <w:tc>
          <w:tcPr>
            <w:tcW w:w="1860" w:type="dxa"/>
            <w:vAlign w:val="bottom"/>
          </w:tcPr>
          <w:p>
            <w:pPr>
              <w:jc w:val="center"/>
              <w:spacing w:after="0"/>
              <w:rPr>
                <w:sz w:val="20"/>
                <w:szCs w:val="20"/>
                <w:color w:val="auto"/>
              </w:rPr>
            </w:pPr>
            <w:r>
              <w:rPr>
                <w:rFonts w:ascii="Arial" w:cs="Arial" w:eastAsia="Arial" w:hAnsi="Arial"/>
                <w:sz w:val="19"/>
                <w:szCs w:val="19"/>
                <w:b w:val="1"/>
                <w:bCs w:val="1"/>
                <w:color w:val="auto"/>
                <w:w w:val="98"/>
              </w:rPr>
              <w:t>Excluding</w:t>
            </w:r>
            <w:r>
              <w:rPr>
                <w:rFonts w:ascii="Arial" w:cs="Arial" w:eastAsia="Arial" w:hAnsi="Arial"/>
                <w:sz w:val="30"/>
                <w:szCs w:val="30"/>
                <w:b w:val="1"/>
                <w:bCs w:val="1"/>
                <w:color w:val="D47C18"/>
                <w:w w:val="98"/>
                <w:vertAlign w:val="superscript"/>
              </w:rPr>
              <w:t>(1)</w:t>
            </w:r>
          </w:p>
        </w:tc>
        <w:tc>
          <w:tcPr>
            <w:tcW w:w="4180" w:type="dxa"/>
            <w:vAlign w:val="bottom"/>
            <w:vMerge w:val="restart"/>
          </w:tcPr>
          <w:p>
            <w:pPr>
              <w:ind w:left="160"/>
              <w:spacing w:after="0"/>
              <w:rPr>
                <w:sz w:val="20"/>
                <w:szCs w:val="20"/>
                <w:color w:val="auto"/>
              </w:rPr>
            </w:pPr>
            <w:r>
              <w:rPr>
                <w:rFonts w:ascii="Arial" w:cs="Arial" w:eastAsia="Arial" w:hAnsi="Arial"/>
                <w:sz w:val="36"/>
                <w:szCs w:val="36"/>
                <w:b w:val="1"/>
                <w:bCs w:val="1"/>
                <w:color w:val="auto"/>
                <w:w w:val="99"/>
              </w:rPr>
              <w:t>Q4 Financial Highlights</w:t>
            </w:r>
          </w:p>
        </w:tc>
        <w:tc>
          <w:tcPr>
            <w:tcW w:w="0" w:type="dxa"/>
            <w:vAlign w:val="bottom"/>
          </w:tcPr>
          <w:p>
            <w:pPr>
              <w:spacing w:after="0"/>
              <w:rPr>
                <w:sz w:val="1"/>
                <w:szCs w:val="1"/>
                <w:color w:val="auto"/>
              </w:rPr>
            </w:pPr>
          </w:p>
        </w:tc>
      </w:tr>
      <w:tr>
        <w:trPr>
          <w:trHeight w:val="0"/>
        </w:trPr>
        <w:tc>
          <w:tcPr>
            <w:tcW w:w="1620" w:type="dxa"/>
            <w:vAlign w:val="bottom"/>
            <w:vMerge w:val="continue"/>
          </w:tcPr>
          <w:p>
            <w:pPr>
              <w:spacing w:after="0" w:line="20" w:lineRule="exact"/>
              <w:rPr>
                <w:sz w:val="1"/>
                <w:szCs w:val="1"/>
                <w:color w:val="auto"/>
              </w:rPr>
            </w:pPr>
          </w:p>
        </w:tc>
        <w:tc>
          <w:tcPr>
            <w:tcW w:w="1860" w:type="dxa"/>
            <w:vAlign w:val="bottom"/>
          </w:tcPr>
          <w:p>
            <w:pPr>
              <w:jc w:val="center"/>
              <w:ind w:right="26"/>
              <w:spacing w:after="0" w:line="1" w:lineRule="exact"/>
              <w:rPr>
                <w:sz w:val="20"/>
                <w:szCs w:val="20"/>
                <w:color w:val="auto"/>
              </w:rPr>
            </w:pPr>
            <w:r>
              <w:rPr>
                <w:rFonts w:ascii="Arial" w:cs="Arial" w:eastAsia="Arial" w:hAnsi="Arial"/>
                <w:sz w:val="1"/>
                <w:szCs w:val="1"/>
                <w:b w:val="1"/>
                <w:bCs w:val="1"/>
                <w:color w:val="auto"/>
              </w:rPr>
              <w:t>Items</w:t>
            </w:r>
          </w:p>
        </w:tc>
        <w:tc>
          <w:tcPr>
            <w:tcW w:w="4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620" w:type="dxa"/>
            <w:vAlign w:val="bottom"/>
          </w:tcPr>
          <w:p>
            <w:pPr>
              <w:jc w:val="center"/>
              <w:ind w:right="110"/>
              <w:spacing w:after="0"/>
              <w:rPr>
                <w:sz w:val="20"/>
                <w:szCs w:val="20"/>
                <w:color w:val="auto"/>
              </w:rPr>
            </w:pPr>
            <w:r>
              <w:rPr>
                <w:rFonts w:ascii="Arial" w:cs="Arial" w:eastAsia="Arial" w:hAnsi="Arial"/>
                <w:sz w:val="19"/>
                <w:szCs w:val="19"/>
                <w:b w:val="1"/>
                <w:bCs w:val="1"/>
                <w:color w:val="auto"/>
                <w:w w:val="98"/>
              </w:rPr>
              <w:t>As</w:t>
            </w:r>
          </w:p>
        </w:tc>
        <w:tc>
          <w:tcPr>
            <w:tcW w:w="1860" w:type="dxa"/>
            <w:vAlign w:val="bottom"/>
          </w:tcPr>
          <w:p>
            <w:pPr>
              <w:jc w:val="center"/>
              <w:ind w:right="26"/>
              <w:spacing w:after="0"/>
              <w:rPr>
                <w:sz w:val="20"/>
                <w:szCs w:val="20"/>
                <w:color w:val="auto"/>
              </w:rPr>
            </w:pPr>
            <w:r>
              <w:rPr>
                <w:rFonts w:ascii="Arial" w:cs="Arial" w:eastAsia="Arial" w:hAnsi="Arial"/>
                <w:sz w:val="19"/>
                <w:szCs w:val="19"/>
                <w:b w:val="1"/>
                <w:bCs w:val="1"/>
                <w:color w:val="auto"/>
              </w:rPr>
              <w:t>Non-recurring</w:t>
            </w:r>
          </w:p>
        </w:tc>
        <w:tc>
          <w:tcPr>
            <w:tcW w:w="4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8"/>
        </w:trPr>
        <w:tc>
          <w:tcPr>
            <w:tcW w:w="1620" w:type="dxa"/>
            <w:vAlign w:val="bottom"/>
          </w:tcPr>
          <w:p>
            <w:pPr>
              <w:jc w:val="right"/>
              <w:ind w:right="490"/>
              <w:spacing w:after="0"/>
              <w:rPr>
                <w:sz w:val="20"/>
                <w:szCs w:val="20"/>
                <w:color w:val="auto"/>
              </w:rPr>
            </w:pPr>
            <w:r>
              <w:rPr>
                <w:rFonts w:ascii="Arial" w:cs="Arial" w:eastAsia="Arial" w:hAnsi="Arial"/>
                <w:sz w:val="33"/>
                <w:szCs w:val="33"/>
                <w:color w:val="auto"/>
              </w:rPr>
              <w:t>10%</w:t>
            </w:r>
          </w:p>
        </w:tc>
        <w:tc>
          <w:tcPr>
            <w:tcW w:w="1860" w:type="dxa"/>
            <w:vAlign w:val="bottom"/>
          </w:tcPr>
          <w:p>
            <w:pPr>
              <w:jc w:val="center"/>
              <w:spacing w:after="0"/>
              <w:rPr>
                <w:sz w:val="20"/>
                <w:szCs w:val="20"/>
                <w:color w:val="auto"/>
              </w:rPr>
            </w:pPr>
            <w:r>
              <w:rPr>
                <w:rFonts w:ascii="Arial" w:cs="Arial" w:eastAsia="Arial" w:hAnsi="Arial"/>
                <w:sz w:val="33"/>
                <w:szCs w:val="33"/>
                <w:color w:val="auto"/>
                <w:w w:val="99"/>
              </w:rPr>
              <w:t>10%</w:t>
            </w:r>
          </w:p>
        </w:tc>
        <w:tc>
          <w:tcPr>
            <w:tcW w:w="4180" w:type="dxa"/>
            <w:vAlign w:val="bottom"/>
          </w:tcPr>
          <w:p>
            <w:pPr>
              <w:ind w:left="280"/>
              <w:spacing w:after="0"/>
              <w:rPr>
                <w:sz w:val="20"/>
                <w:szCs w:val="20"/>
                <w:color w:val="auto"/>
              </w:rPr>
            </w:pPr>
            <w:r>
              <w:rPr>
                <w:rFonts w:ascii="Arial" w:cs="Arial" w:eastAsia="Arial" w:hAnsi="Arial"/>
                <w:sz w:val="36"/>
                <w:szCs w:val="36"/>
                <w:b w:val="1"/>
                <w:bCs w:val="1"/>
                <w:color w:val="auto"/>
              </w:rPr>
              <w:t xml:space="preserve">Revenue </w:t>
            </w:r>
            <w:r>
              <w:rPr>
                <w:rFonts w:ascii="Arial" w:cs="Arial" w:eastAsia="Arial" w:hAnsi="Arial"/>
                <w:sz w:val="39"/>
                <w:szCs w:val="39"/>
                <w:b w:val="1"/>
                <w:bCs w:val="1"/>
                <w:color w:val="D47C18"/>
              </w:rPr>
              <w:t>$1.4B</w:t>
            </w:r>
          </w:p>
        </w:tc>
        <w:tc>
          <w:tcPr>
            <w:tcW w:w="0" w:type="dxa"/>
            <w:vAlign w:val="bottom"/>
          </w:tcPr>
          <w:p>
            <w:pPr>
              <w:spacing w:after="0"/>
              <w:rPr>
                <w:sz w:val="1"/>
                <w:szCs w:val="1"/>
                <w:color w:val="auto"/>
              </w:rPr>
            </w:pPr>
          </w:p>
        </w:tc>
      </w:tr>
      <w:tr>
        <w:trPr>
          <w:trHeight w:val="403"/>
        </w:trPr>
        <w:tc>
          <w:tcPr>
            <w:tcW w:w="1620" w:type="dxa"/>
            <w:vAlign w:val="bottom"/>
          </w:tcPr>
          <w:p>
            <w:pPr>
              <w:jc w:val="center"/>
              <w:ind w:right="150"/>
              <w:spacing w:after="0"/>
              <w:rPr>
                <w:sz w:val="20"/>
                <w:szCs w:val="20"/>
                <w:color w:val="auto"/>
              </w:rPr>
            </w:pPr>
            <w:r>
              <w:rPr>
                <w:rFonts w:ascii="Arial" w:cs="Arial" w:eastAsia="Arial" w:hAnsi="Arial"/>
                <w:sz w:val="33"/>
                <w:szCs w:val="33"/>
                <w:color w:val="auto"/>
              </w:rPr>
              <w:t>19% CC</w:t>
            </w:r>
          </w:p>
        </w:tc>
        <w:tc>
          <w:tcPr>
            <w:tcW w:w="1860" w:type="dxa"/>
            <w:vAlign w:val="bottom"/>
          </w:tcPr>
          <w:p>
            <w:pPr>
              <w:jc w:val="center"/>
              <w:ind w:left="6"/>
              <w:spacing w:after="0"/>
              <w:rPr>
                <w:sz w:val="20"/>
                <w:szCs w:val="20"/>
                <w:color w:val="auto"/>
              </w:rPr>
            </w:pPr>
            <w:r>
              <w:rPr>
                <w:rFonts w:ascii="Arial" w:cs="Arial" w:eastAsia="Arial" w:hAnsi="Arial"/>
                <w:sz w:val="33"/>
                <w:szCs w:val="33"/>
                <w:color w:val="auto"/>
              </w:rPr>
              <w:t>19% CC</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620" w:type="dxa"/>
            <w:vAlign w:val="bottom"/>
          </w:tcPr>
          <w:p>
            <w:pPr>
              <w:jc w:val="right"/>
              <w:ind w:right="390"/>
              <w:spacing w:after="0"/>
              <w:rPr>
                <w:sz w:val="20"/>
                <w:szCs w:val="20"/>
                <w:color w:val="auto"/>
              </w:rPr>
            </w:pPr>
            <w:r>
              <w:rPr>
                <w:rFonts w:ascii="Arial" w:cs="Arial" w:eastAsia="Arial" w:hAnsi="Arial"/>
                <w:sz w:val="33"/>
                <w:szCs w:val="33"/>
                <w:color w:val="auto"/>
              </w:rPr>
              <w:t>138%</w:t>
            </w:r>
          </w:p>
        </w:tc>
        <w:tc>
          <w:tcPr>
            <w:tcW w:w="1860" w:type="dxa"/>
            <w:vAlign w:val="bottom"/>
          </w:tcPr>
          <w:p>
            <w:pPr>
              <w:jc w:val="center"/>
              <w:spacing w:after="0"/>
              <w:rPr>
                <w:sz w:val="20"/>
                <w:szCs w:val="20"/>
                <w:color w:val="auto"/>
              </w:rPr>
            </w:pPr>
            <w:r>
              <w:rPr>
                <w:rFonts w:ascii="Arial" w:cs="Arial" w:eastAsia="Arial" w:hAnsi="Arial"/>
                <w:sz w:val="33"/>
                <w:szCs w:val="33"/>
                <w:color w:val="auto"/>
              </w:rPr>
              <w:t>101%</w:t>
            </w:r>
          </w:p>
        </w:tc>
        <w:tc>
          <w:tcPr>
            <w:tcW w:w="4180" w:type="dxa"/>
            <w:vAlign w:val="bottom"/>
            <w:vMerge w:val="restart"/>
          </w:tcPr>
          <w:p>
            <w:pPr>
              <w:ind w:left="300"/>
              <w:spacing w:after="0"/>
              <w:rPr>
                <w:sz w:val="20"/>
                <w:szCs w:val="20"/>
                <w:color w:val="auto"/>
              </w:rPr>
            </w:pPr>
            <w:r>
              <w:rPr>
                <w:rFonts w:ascii="Arial" w:cs="Arial" w:eastAsia="Arial" w:hAnsi="Arial"/>
                <w:sz w:val="36"/>
                <w:szCs w:val="36"/>
                <w:b w:val="1"/>
                <w:bCs w:val="1"/>
                <w:color w:val="auto"/>
              </w:rPr>
              <w:t xml:space="preserve">OUP </w:t>
            </w:r>
            <w:r>
              <w:rPr>
                <w:rFonts w:ascii="Arial" w:cs="Arial" w:eastAsia="Arial" w:hAnsi="Arial"/>
                <w:sz w:val="39"/>
                <w:szCs w:val="39"/>
                <w:b w:val="1"/>
                <w:bCs w:val="1"/>
                <w:color w:val="D47C18"/>
              </w:rPr>
              <w:t>$12M</w:t>
            </w:r>
          </w:p>
        </w:tc>
        <w:tc>
          <w:tcPr>
            <w:tcW w:w="0" w:type="dxa"/>
            <w:vAlign w:val="bottom"/>
          </w:tcPr>
          <w:p>
            <w:pPr>
              <w:spacing w:after="0"/>
              <w:rPr>
                <w:sz w:val="1"/>
                <w:szCs w:val="1"/>
                <w:color w:val="auto"/>
              </w:rPr>
            </w:pPr>
          </w:p>
        </w:tc>
      </w:tr>
      <w:tr>
        <w:trPr>
          <w:trHeight w:val="251"/>
        </w:trPr>
        <w:tc>
          <w:tcPr>
            <w:tcW w:w="1620" w:type="dxa"/>
            <w:vAlign w:val="bottom"/>
            <w:vMerge w:val="restart"/>
          </w:tcPr>
          <w:p>
            <w:pPr>
              <w:jc w:val="center"/>
              <w:ind w:right="50"/>
              <w:spacing w:after="0"/>
              <w:rPr>
                <w:sz w:val="20"/>
                <w:szCs w:val="20"/>
                <w:color w:val="auto"/>
              </w:rPr>
            </w:pPr>
            <w:r>
              <w:rPr>
                <w:rFonts w:ascii="Arial" w:cs="Arial" w:eastAsia="Arial" w:hAnsi="Arial"/>
                <w:sz w:val="33"/>
                <w:szCs w:val="33"/>
                <w:color w:val="auto"/>
              </w:rPr>
              <w:t>157% CC</w:t>
            </w:r>
          </w:p>
        </w:tc>
        <w:tc>
          <w:tcPr>
            <w:tcW w:w="1860" w:type="dxa"/>
            <w:vAlign w:val="bottom"/>
            <w:vMerge w:val="restart"/>
          </w:tcPr>
          <w:p>
            <w:pPr>
              <w:jc w:val="center"/>
              <w:spacing w:after="0"/>
              <w:rPr>
                <w:sz w:val="20"/>
                <w:szCs w:val="20"/>
                <w:color w:val="auto"/>
              </w:rPr>
            </w:pPr>
            <w:r>
              <w:rPr>
                <w:rFonts w:ascii="Arial" w:cs="Arial" w:eastAsia="Arial" w:hAnsi="Arial"/>
                <w:sz w:val="33"/>
                <w:szCs w:val="33"/>
                <w:color w:val="auto"/>
              </w:rPr>
              <w:t>119% CC</w:t>
            </w:r>
          </w:p>
        </w:tc>
        <w:tc>
          <w:tcPr>
            <w:tcW w:w="4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62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4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7"/>
        </w:trPr>
        <w:tc>
          <w:tcPr>
            <w:tcW w:w="1620" w:type="dxa"/>
            <w:vAlign w:val="bottom"/>
          </w:tcPr>
          <w:p>
            <w:pPr>
              <w:jc w:val="center"/>
              <w:ind w:right="130"/>
              <w:spacing w:after="0"/>
              <w:rPr>
                <w:sz w:val="20"/>
                <w:szCs w:val="20"/>
                <w:color w:val="auto"/>
              </w:rPr>
            </w:pPr>
            <w:r>
              <w:rPr>
                <w:rFonts w:ascii="Arial" w:cs="Arial" w:eastAsia="Arial" w:hAnsi="Arial"/>
                <w:sz w:val="33"/>
                <w:szCs w:val="33"/>
                <w:color w:val="auto"/>
              </w:rPr>
              <w:t>40</w:t>
            </w:r>
          </w:p>
        </w:tc>
        <w:tc>
          <w:tcPr>
            <w:tcW w:w="1860" w:type="dxa"/>
            <w:vAlign w:val="bottom"/>
          </w:tcPr>
          <w:p>
            <w:pPr>
              <w:jc w:val="center"/>
              <w:spacing w:after="0"/>
              <w:rPr>
                <w:sz w:val="20"/>
                <w:szCs w:val="20"/>
                <w:color w:val="auto"/>
              </w:rPr>
            </w:pPr>
            <w:r>
              <w:rPr>
                <w:rFonts w:ascii="Arial" w:cs="Arial" w:eastAsia="Arial" w:hAnsi="Arial"/>
                <w:sz w:val="33"/>
                <w:szCs w:val="33"/>
                <w:color w:val="auto"/>
              </w:rPr>
              <w:t>70</w:t>
            </w:r>
          </w:p>
        </w:tc>
        <w:tc>
          <w:tcPr>
            <w:tcW w:w="4180" w:type="dxa"/>
            <w:vAlign w:val="bottom"/>
          </w:tcPr>
          <w:p>
            <w:pPr>
              <w:ind w:left="300"/>
              <w:spacing w:after="0"/>
              <w:rPr>
                <w:sz w:val="20"/>
                <w:szCs w:val="20"/>
                <w:color w:val="auto"/>
              </w:rPr>
            </w:pPr>
            <w:r>
              <w:rPr>
                <w:rFonts w:ascii="Arial" w:cs="Arial" w:eastAsia="Arial" w:hAnsi="Arial"/>
                <w:sz w:val="36"/>
                <w:szCs w:val="36"/>
                <w:b w:val="1"/>
                <w:bCs w:val="1"/>
                <w:color w:val="auto"/>
              </w:rPr>
              <w:t xml:space="preserve">OUP Margin </w:t>
            </w:r>
            <w:r>
              <w:rPr>
                <w:rFonts w:ascii="Arial" w:cs="Arial" w:eastAsia="Arial" w:hAnsi="Arial"/>
                <w:sz w:val="39"/>
                <w:szCs w:val="39"/>
                <w:b w:val="1"/>
                <w:bCs w:val="1"/>
                <w:color w:val="D47C18"/>
              </w:rPr>
              <w:t>0.8%</w:t>
            </w:r>
          </w:p>
        </w:tc>
        <w:tc>
          <w:tcPr>
            <w:tcW w:w="0" w:type="dxa"/>
            <w:vAlign w:val="bottom"/>
          </w:tcPr>
          <w:p>
            <w:pPr>
              <w:spacing w:after="0"/>
              <w:rPr>
                <w:sz w:val="1"/>
                <w:szCs w:val="1"/>
                <w:color w:val="auto"/>
              </w:rPr>
            </w:pPr>
          </w:p>
        </w:tc>
      </w:tr>
      <w:tr>
        <w:trPr>
          <w:trHeight w:val="403"/>
        </w:trPr>
        <w:tc>
          <w:tcPr>
            <w:tcW w:w="1620" w:type="dxa"/>
            <w:vAlign w:val="bottom"/>
          </w:tcPr>
          <w:p>
            <w:pPr>
              <w:jc w:val="center"/>
              <w:ind w:right="130"/>
              <w:spacing w:after="0"/>
              <w:rPr>
                <w:sz w:val="20"/>
                <w:szCs w:val="20"/>
                <w:color w:val="auto"/>
              </w:rPr>
            </w:pPr>
            <w:r>
              <w:rPr>
                <w:rFonts w:ascii="Arial" w:cs="Arial" w:eastAsia="Arial" w:hAnsi="Arial"/>
                <w:sz w:val="33"/>
                <w:szCs w:val="33"/>
                <w:color w:val="auto"/>
              </w:rPr>
              <w:t>bps</w:t>
            </w:r>
          </w:p>
        </w:tc>
        <w:tc>
          <w:tcPr>
            <w:tcW w:w="1860" w:type="dxa"/>
            <w:vAlign w:val="bottom"/>
          </w:tcPr>
          <w:p>
            <w:pPr>
              <w:jc w:val="center"/>
              <w:spacing w:after="0"/>
              <w:rPr>
                <w:sz w:val="20"/>
                <w:szCs w:val="20"/>
                <w:color w:val="auto"/>
              </w:rPr>
            </w:pPr>
            <w:r>
              <w:rPr>
                <w:rFonts w:ascii="Arial" w:cs="Arial" w:eastAsia="Arial" w:hAnsi="Arial"/>
                <w:sz w:val="33"/>
                <w:szCs w:val="33"/>
                <w:color w:val="auto"/>
              </w:rPr>
              <w:t>bps</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540" w:right="799" w:hanging="205"/>
        <w:spacing w:after="0" w:line="219" w:lineRule="auto"/>
        <w:tabs>
          <w:tab w:leader="none" w:pos="517"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Excludes the impact of $7.6M of reorganization charges in 2010, and $4.7M of reorganization charges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549910</wp:posOffset>
            </wp:positionV>
            <wp:extent cx="728345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9019"/>
          </w:cols>
          <w:pgMar w:left="1440" w:top="465" w:right="1440" w:bottom="1440" w:gutter="0" w:footer="0" w:header="0"/>
        </w:sectPr>
      </w:pPr>
    </w:p>
    <w:bookmarkStart w:id="20" w:name="page21"/>
    <w:bookmarkEnd w:id="20"/>
    <w:p>
      <w:pPr>
        <w:ind w:left="1260"/>
        <w:spacing w:after="0"/>
        <w:tabs>
          <w:tab w:leader="none" w:pos="7680" w:val="left"/>
          <w:tab w:leader="none" w:pos="8900" w:val="left"/>
        </w:tabs>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599440</wp:posOffset>
            </wp:positionH>
            <wp:positionV relativeFrom="page">
              <wp:posOffset>161925</wp:posOffset>
            </wp:positionV>
            <wp:extent cx="6369050" cy="47764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10</w:t>
      </w:r>
    </w:p>
    <w:p>
      <w:pPr>
        <w:sectPr>
          <w:pgSz w:w="11900" w:h="16838" w:orient="portrait"/>
          <w:cols w:equalWidth="0" w:num="1">
            <w:col w:w="9080"/>
          </w:cols>
          <w:pgMar w:left="1440" w:top="465" w:right="137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240"/>
        <w:spacing w:after="0"/>
        <w:rPr>
          <w:sz w:val="20"/>
          <w:szCs w:val="20"/>
          <w:color w:val="auto"/>
        </w:rPr>
      </w:pPr>
      <w:r>
        <w:rPr>
          <w:rFonts w:ascii="Arial" w:cs="Arial" w:eastAsia="Arial" w:hAnsi="Arial"/>
          <w:sz w:val="36"/>
          <w:szCs w:val="36"/>
          <w:color w:val="5F81AA"/>
        </w:rPr>
        <w:t>EMEA Segment</w:t>
      </w:r>
    </w:p>
    <w:p>
      <w:pPr>
        <w:spacing w:after="0" w:line="6" w:lineRule="exact"/>
        <w:rPr>
          <w:sz w:val="20"/>
          <w:szCs w:val="20"/>
          <w:color w:val="auto"/>
        </w:rPr>
      </w:pPr>
    </w:p>
    <w:p>
      <w:pPr>
        <w:ind w:left="240"/>
        <w:spacing w:after="0"/>
        <w:rPr>
          <w:sz w:val="20"/>
          <w:szCs w:val="20"/>
          <w:color w:val="auto"/>
        </w:rPr>
      </w:pPr>
      <w:r>
        <w:rPr>
          <w:rFonts w:ascii="Arial" w:cs="Arial" w:eastAsia="Arial" w:hAnsi="Arial"/>
          <w:sz w:val="28"/>
          <w:szCs w:val="28"/>
          <w:color w:val="5F81AA"/>
        </w:rPr>
        <w:t>(38% of Revenue)</w:t>
      </w:r>
    </w:p>
    <w:p>
      <w:pPr>
        <w:spacing w:after="0" w:line="367" w:lineRule="exact"/>
        <w:rPr>
          <w:sz w:val="20"/>
          <w:szCs w:val="20"/>
          <w:color w:val="auto"/>
        </w:rPr>
      </w:pPr>
    </w:p>
    <w:tbl>
      <w:tblPr>
        <w:tblLayout w:type="fixed"/>
        <w:tblInd w:w="580" w:type="dxa"/>
        <w:tblCellMar>
          <w:top w:w="0" w:type="dxa"/>
          <w:left w:w="0" w:type="dxa"/>
          <w:bottom w:w="0" w:type="dxa"/>
          <w:right w:w="0" w:type="dxa"/>
        </w:tblCellMar>
      </w:tblPr>
      <w:tr>
        <w:trPr>
          <w:trHeight w:val="345"/>
        </w:trPr>
        <w:tc>
          <w:tcPr>
            <w:tcW w:w="1640" w:type="dxa"/>
            <w:vAlign w:val="bottom"/>
            <w:vMerge w:val="restart"/>
          </w:tcPr>
          <w:p>
            <w:pPr>
              <w:jc w:val="center"/>
              <w:ind w:right="93"/>
              <w:spacing w:after="0"/>
              <w:rPr>
                <w:sz w:val="20"/>
                <w:szCs w:val="20"/>
                <w:color w:val="auto"/>
              </w:rPr>
            </w:pPr>
            <w:r>
              <w:rPr>
                <w:rFonts w:ascii="Arial" w:cs="Arial" w:eastAsia="Arial" w:hAnsi="Arial"/>
                <w:sz w:val="19"/>
                <w:szCs w:val="19"/>
                <w:b w:val="1"/>
                <w:bCs w:val="1"/>
                <w:color w:val="auto"/>
                <w:w w:val="98"/>
              </w:rPr>
              <w:t>As</w:t>
            </w:r>
          </w:p>
        </w:tc>
        <w:tc>
          <w:tcPr>
            <w:tcW w:w="1620" w:type="dxa"/>
            <w:vAlign w:val="bottom"/>
          </w:tcPr>
          <w:p>
            <w:pPr>
              <w:jc w:val="center"/>
              <w:ind w:left="139"/>
              <w:spacing w:after="0"/>
              <w:rPr>
                <w:sz w:val="20"/>
                <w:szCs w:val="20"/>
                <w:color w:val="auto"/>
              </w:rPr>
            </w:pPr>
            <w:r>
              <w:rPr>
                <w:rFonts w:ascii="Arial" w:cs="Arial" w:eastAsia="Arial" w:hAnsi="Arial"/>
                <w:sz w:val="19"/>
                <w:szCs w:val="19"/>
                <w:b w:val="1"/>
                <w:bCs w:val="1"/>
                <w:color w:val="auto"/>
                <w:w w:val="98"/>
              </w:rPr>
              <w:t>Excluding</w:t>
            </w:r>
            <w:r>
              <w:rPr>
                <w:rFonts w:ascii="Arial" w:cs="Arial" w:eastAsia="Arial" w:hAnsi="Arial"/>
                <w:sz w:val="30"/>
                <w:szCs w:val="30"/>
                <w:b w:val="1"/>
                <w:bCs w:val="1"/>
                <w:color w:val="D47C18"/>
                <w:w w:val="98"/>
                <w:vertAlign w:val="superscript"/>
              </w:rPr>
              <w:t>(1)</w:t>
            </w:r>
          </w:p>
        </w:tc>
        <w:tc>
          <w:tcPr>
            <w:tcW w:w="0" w:type="dxa"/>
            <w:vAlign w:val="bottom"/>
          </w:tcPr>
          <w:p>
            <w:pPr>
              <w:spacing w:after="0"/>
              <w:rPr>
                <w:sz w:val="1"/>
                <w:szCs w:val="1"/>
                <w:color w:val="auto"/>
              </w:rPr>
            </w:pPr>
          </w:p>
        </w:tc>
      </w:tr>
      <w:tr>
        <w:trPr>
          <w:trHeight w:val="200"/>
        </w:trPr>
        <w:tc>
          <w:tcPr>
            <w:tcW w:w="1640" w:type="dxa"/>
            <w:vAlign w:val="bottom"/>
            <w:vMerge w:val="continue"/>
          </w:tcPr>
          <w:p>
            <w:pPr>
              <w:spacing w:after="0"/>
              <w:rPr>
                <w:sz w:val="17"/>
                <w:szCs w:val="17"/>
                <w:color w:val="auto"/>
              </w:rPr>
            </w:pPr>
          </w:p>
        </w:tc>
        <w:tc>
          <w:tcPr>
            <w:tcW w:w="1620" w:type="dxa"/>
            <w:vAlign w:val="bottom"/>
          </w:tcPr>
          <w:p>
            <w:pPr>
              <w:jc w:val="center"/>
              <w:spacing w:after="0" w:line="201" w:lineRule="exact"/>
              <w:rPr>
                <w:sz w:val="20"/>
                <w:szCs w:val="20"/>
                <w:color w:val="auto"/>
              </w:rPr>
            </w:pPr>
            <w:r>
              <w:rPr>
                <w:rFonts w:ascii="Arial" w:cs="Arial" w:eastAsia="Arial" w:hAnsi="Arial"/>
                <w:sz w:val="19"/>
                <w:szCs w:val="19"/>
                <w:b w:val="1"/>
                <w:bCs w:val="1"/>
                <w:color w:val="auto"/>
              </w:rPr>
              <w:t>Non-recurring</w:t>
            </w:r>
          </w:p>
        </w:tc>
        <w:tc>
          <w:tcPr>
            <w:tcW w:w="0" w:type="dxa"/>
            <w:vAlign w:val="bottom"/>
          </w:tcPr>
          <w:p>
            <w:pPr>
              <w:spacing w:after="0"/>
              <w:rPr>
                <w:sz w:val="1"/>
                <w:szCs w:val="1"/>
                <w:color w:val="auto"/>
              </w:rPr>
            </w:pPr>
          </w:p>
        </w:tc>
      </w:tr>
      <w:tr>
        <w:trPr>
          <w:trHeight w:val="288"/>
        </w:trPr>
        <w:tc>
          <w:tcPr>
            <w:tcW w:w="1640" w:type="dxa"/>
            <w:vAlign w:val="bottom"/>
          </w:tcPr>
          <w:p>
            <w:pPr>
              <w:jc w:val="center"/>
              <w:ind w:right="113"/>
              <w:spacing w:after="0"/>
              <w:rPr>
                <w:sz w:val="20"/>
                <w:szCs w:val="20"/>
                <w:color w:val="auto"/>
              </w:rPr>
            </w:pPr>
            <w:r>
              <w:rPr>
                <w:rFonts w:ascii="Arial" w:cs="Arial" w:eastAsia="Arial" w:hAnsi="Arial"/>
                <w:sz w:val="19"/>
                <w:szCs w:val="19"/>
                <w:b w:val="1"/>
                <w:bCs w:val="1"/>
                <w:color w:val="auto"/>
              </w:rPr>
              <w:t>Reported</w:t>
            </w:r>
          </w:p>
        </w:tc>
        <w:tc>
          <w:tcPr>
            <w:tcW w:w="1620" w:type="dxa"/>
            <w:vAlign w:val="bottom"/>
          </w:tcPr>
          <w:p>
            <w:pPr>
              <w:jc w:val="center"/>
              <w:spacing w:after="0"/>
              <w:rPr>
                <w:sz w:val="20"/>
                <w:szCs w:val="20"/>
                <w:color w:val="auto"/>
              </w:rPr>
            </w:pPr>
            <w:r>
              <w:rPr>
                <w:rFonts w:ascii="Arial" w:cs="Arial" w:eastAsia="Arial" w:hAnsi="Arial"/>
                <w:sz w:val="19"/>
                <w:szCs w:val="19"/>
                <w:b w:val="1"/>
                <w:bCs w:val="1"/>
                <w:color w:val="auto"/>
              </w:rPr>
              <w:t>Items</w:t>
            </w:r>
          </w:p>
        </w:tc>
        <w:tc>
          <w:tcPr>
            <w:tcW w:w="0" w:type="dxa"/>
            <w:vAlign w:val="bottom"/>
          </w:tcPr>
          <w:p>
            <w:pPr>
              <w:spacing w:after="0"/>
              <w:rPr>
                <w:sz w:val="1"/>
                <w:szCs w:val="1"/>
                <w:color w:val="auto"/>
              </w:rPr>
            </w:pPr>
          </w:p>
        </w:tc>
      </w:tr>
      <w:tr>
        <w:trPr>
          <w:trHeight w:val="564"/>
        </w:trPr>
        <w:tc>
          <w:tcPr>
            <w:tcW w:w="1640" w:type="dxa"/>
            <w:vAlign w:val="bottom"/>
          </w:tcPr>
          <w:p>
            <w:pPr>
              <w:jc w:val="right"/>
              <w:ind w:right="493"/>
              <w:spacing w:after="0"/>
              <w:rPr>
                <w:sz w:val="20"/>
                <w:szCs w:val="20"/>
                <w:color w:val="auto"/>
              </w:rPr>
            </w:pPr>
            <w:r>
              <w:rPr>
                <w:rFonts w:ascii="Arial" w:cs="Arial" w:eastAsia="Arial" w:hAnsi="Arial"/>
                <w:sz w:val="33"/>
                <w:szCs w:val="33"/>
                <w:color w:val="auto"/>
              </w:rPr>
              <w:t>13%</w:t>
            </w:r>
          </w:p>
        </w:tc>
        <w:tc>
          <w:tcPr>
            <w:tcW w:w="1620" w:type="dxa"/>
            <w:vAlign w:val="bottom"/>
          </w:tcPr>
          <w:p>
            <w:pPr>
              <w:jc w:val="center"/>
              <w:ind w:left="139"/>
              <w:spacing w:after="0"/>
              <w:rPr>
                <w:sz w:val="20"/>
                <w:szCs w:val="20"/>
                <w:color w:val="auto"/>
              </w:rPr>
            </w:pPr>
            <w:r>
              <w:rPr>
                <w:rFonts w:ascii="Arial" w:cs="Arial" w:eastAsia="Arial" w:hAnsi="Arial"/>
                <w:sz w:val="33"/>
                <w:szCs w:val="33"/>
                <w:color w:val="auto"/>
                <w:w w:val="99"/>
              </w:rPr>
              <w:t>13%</w:t>
            </w:r>
          </w:p>
        </w:tc>
        <w:tc>
          <w:tcPr>
            <w:tcW w:w="0" w:type="dxa"/>
            <w:vAlign w:val="bottom"/>
          </w:tcPr>
          <w:p>
            <w:pPr>
              <w:spacing w:after="0"/>
              <w:rPr>
                <w:sz w:val="1"/>
                <w:szCs w:val="1"/>
                <w:color w:val="auto"/>
              </w:rPr>
            </w:pPr>
          </w:p>
        </w:tc>
      </w:tr>
      <w:tr>
        <w:trPr>
          <w:trHeight w:val="407"/>
        </w:trPr>
        <w:tc>
          <w:tcPr>
            <w:tcW w:w="1640" w:type="dxa"/>
            <w:vAlign w:val="bottom"/>
          </w:tcPr>
          <w:p>
            <w:pPr>
              <w:jc w:val="center"/>
              <w:ind w:right="133"/>
              <w:spacing w:after="0"/>
              <w:rPr>
                <w:sz w:val="20"/>
                <w:szCs w:val="20"/>
                <w:color w:val="auto"/>
              </w:rPr>
            </w:pPr>
            <w:r>
              <w:rPr>
                <w:rFonts w:ascii="Arial" w:cs="Arial" w:eastAsia="Arial" w:hAnsi="Arial"/>
                <w:sz w:val="33"/>
                <w:szCs w:val="33"/>
                <w:color w:val="auto"/>
              </w:rPr>
              <w:t>19% CC</w:t>
            </w:r>
          </w:p>
        </w:tc>
        <w:tc>
          <w:tcPr>
            <w:tcW w:w="1620" w:type="dxa"/>
            <w:vAlign w:val="bottom"/>
          </w:tcPr>
          <w:p>
            <w:pPr>
              <w:jc w:val="center"/>
              <w:ind w:left="239"/>
              <w:spacing w:after="0"/>
              <w:rPr>
                <w:sz w:val="20"/>
                <w:szCs w:val="20"/>
                <w:color w:val="auto"/>
              </w:rPr>
            </w:pPr>
            <w:r>
              <w:rPr>
                <w:rFonts w:ascii="Arial" w:cs="Arial" w:eastAsia="Arial" w:hAnsi="Arial"/>
                <w:sz w:val="33"/>
                <w:szCs w:val="33"/>
                <w:color w:val="auto"/>
              </w:rPr>
              <w:t>19% CC</w:t>
            </w:r>
          </w:p>
        </w:tc>
        <w:tc>
          <w:tcPr>
            <w:tcW w:w="0" w:type="dxa"/>
            <w:vAlign w:val="bottom"/>
          </w:tcPr>
          <w:p>
            <w:pPr>
              <w:spacing w:after="0"/>
              <w:rPr>
                <w:sz w:val="1"/>
                <w:szCs w:val="1"/>
                <w:color w:val="auto"/>
              </w:rPr>
            </w:pPr>
          </w:p>
        </w:tc>
      </w:tr>
      <w:tr>
        <w:trPr>
          <w:trHeight w:val="590"/>
        </w:trPr>
        <w:tc>
          <w:tcPr>
            <w:tcW w:w="1640" w:type="dxa"/>
            <w:vAlign w:val="bottom"/>
          </w:tcPr>
          <w:p>
            <w:pPr>
              <w:jc w:val="right"/>
              <w:ind w:right="393"/>
              <w:spacing w:after="0"/>
              <w:rPr>
                <w:sz w:val="20"/>
                <w:szCs w:val="20"/>
                <w:color w:val="auto"/>
              </w:rPr>
            </w:pPr>
            <w:r>
              <w:rPr>
                <w:rFonts w:ascii="Arial" w:cs="Arial" w:eastAsia="Arial" w:hAnsi="Arial"/>
                <w:sz w:val="33"/>
                <w:szCs w:val="33"/>
                <w:color w:val="auto"/>
              </w:rPr>
              <w:t>116%</w:t>
            </w:r>
          </w:p>
        </w:tc>
        <w:tc>
          <w:tcPr>
            <w:tcW w:w="1620" w:type="dxa"/>
            <w:vAlign w:val="bottom"/>
          </w:tcPr>
          <w:p>
            <w:pPr>
              <w:jc w:val="center"/>
              <w:ind w:left="119"/>
              <w:spacing w:after="0"/>
              <w:rPr>
                <w:sz w:val="20"/>
                <w:szCs w:val="20"/>
                <w:color w:val="auto"/>
              </w:rPr>
            </w:pPr>
            <w:r>
              <w:rPr>
                <w:rFonts w:ascii="Arial" w:cs="Arial" w:eastAsia="Arial" w:hAnsi="Arial"/>
                <w:sz w:val="33"/>
                <w:szCs w:val="33"/>
                <w:color w:val="auto"/>
              </w:rPr>
              <w:t>85%</w:t>
            </w:r>
          </w:p>
        </w:tc>
        <w:tc>
          <w:tcPr>
            <w:tcW w:w="0" w:type="dxa"/>
            <w:vAlign w:val="bottom"/>
          </w:tcPr>
          <w:p>
            <w:pPr>
              <w:spacing w:after="0"/>
              <w:rPr>
                <w:sz w:val="1"/>
                <w:szCs w:val="1"/>
                <w:color w:val="auto"/>
              </w:rPr>
            </w:pPr>
          </w:p>
        </w:tc>
      </w:tr>
      <w:tr>
        <w:trPr>
          <w:trHeight w:val="434"/>
        </w:trPr>
        <w:tc>
          <w:tcPr>
            <w:tcW w:w="1640" w:type="dxa"/>
            <w:vAlign w:val="bottom"/>
          </w:tcPr>
          <w:p>
            <w:pPr>
              <w:jc w:val="center"/>
              <w:ind w:right="73"/>
              <w:spacing w:after="0"/>
              <w:rPr>
                <w:sz w:val="20"/>
                <w:szCs w:val="20"/>
                <w:color w:val="auto"/>
              </w:rPr>
            </w:pPr>
            <w:r>
              <w:rPr>
                <w:rFonts w:ascii="Arial" w:cs="Arial" w:eastAsia="Arial" w:hAnsi="Arial"/>
                <w:sz w:val="33"/>
                <w:szCs w:val="33"/>
                <w:color w:val="auto"/>
              </w:rPr>
              <w:t>128% CC</w:t>
            </w:r>
          </w:p>
        </w:tc>
        <w:tc>
          <w:tcPr>
            <w:tcW w:w="1620" w:type="dxa"/>
            <w:vAlign w:val="bottom"/>
          </w:tcPr>
          <w:p>
            <w:pPr>
              <w:jc w:val="center"/>
              <w:ind w:left="39"/>
              <w:spacing w:after="0"/>
              <w:rPr>
                <w:sz w:val="20"/>
                <w:szCs w:val="20"/>
                <w:color w:val="auto"/>
              </w:rPr>
            </w:pPr>
            <w:r>
              <w:rPr>
                <w:rFonts w:ascii="Arial" w:cs="Arial" w:eastAsia="Arial" w:hAnsi="Arial"/>
                <w:sz w:val="33"/>
                <w:szCs w:val="33"/>
                <w:color w:val="auto"/>
              </w:rPr>
              <w:t>95% CC</w:t>
            </w:r>
          </w:p>
        </w:tc>
        <w:tc>
          <w:tcPr>
            <w:tcW w:w="0" w:type="dxa"/>
            <w:vAlign w:val="bottom"/>
          </w:tcPr>
          <w:p>
            <w:pPr>
              <w:spacing w:after="0"/>
              <w:rPr>
                <w:sz w:val="1"/>
                <w:szCs w:val="1"/>
                <w:color w:val="auto"/>
              </w:rPr>
            </w:pPr>
          </w:p>
        </w:tc>
      </w:tr>
      <w:tr>
        <w:trPr>
          <w:trHeight w:val="752"/>
        </w:trPr>
        <w:tc>
          <w:tcPr>
            <w:tcW w:w="1640" w:type="dxa"/>
            <w:vAlign w:val="bottom"/>
          </w:tcPr>
          <w:p>
            <w:pPr>
              <w:jc w:val="center"/>
              <w:ind w:right="113"/>
              <w:spacing w:after="0"/>
              <w:rPr>
                <w:sz w:val="20"/>
                <w:szCs w:val="20"/>
                <w:color w:val="auto"/>
              </w:rPr>
            </w:pPr>
            <w:r>
              <w:rPr>
                <w:rFonts w:ascii="Arial" w:cs="Arial" w:eastAsia="Arial" w:hAnsi="Arial"/>
                <w:sz w:val="33"/>
                <w:szCs w:val="33"/>
                <w:color w:val="auto"/>
              </w:rPr>
              <w:t>190 bps</w:t>
            </w:r>
          </w:p>
        </w:tc>
        <w:tc>
          <w:tcPr>
            <w:tcW w:w="1620" w:type="dxa"/>
            <w:vAlign w:val="bottom"/>
          </w:tcPr>
          <w:p>
            <w:pPr>
              <w:jc w:val="center"/>
              <w:ind w:left="39"/>
              <w:spacing w:after="0"/>
              <w:rPr>
                <w:sz w:val="20"/>
                <w:szCs w:val="20"/>
                <w:color w:val="auto"/>
              </w:rPr>
            </w:pPr>
            <w:r>
              <w:rPr>
                <w:rFonts w:ascii="Arial" w:cs="Arial" w:eastAsia="Arial" w:hAnsi="Arial"/>
                <w:sz w:val="33"/>
                <w:szCs w:val="33"/>
                <w:color w:val="auto"/>
              </w:rPr>
              <w:t>160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20" w:hanging="111"/>
        <w:spacing w:after="0" w:line="476" w:lineRule="auto"/>
        <w:rPr>
          <w:sz w:val="20"/>
          <w:szCs w:val="20"/>
          <w:color w:val="auto"/>
        </w:rPr>
      </w:pPr>
      <w:r>
        <w:rPr>
          <w:rFonts w:ascii="Arial" w:cs="Arial" w:eastAsia="Arial" w:hAnsi="Arial"/>
          <w:sz w:val="36"/>
          <w:szCs w:val="36"/>
          <w:b w:val="1"/>
          <w:bCs w:val="1"/>
          <w:color w:val="auto"/>
        </w:rPr>
        <w:t xml:space="preserve">Q4 Financial Highlights Revenue </w:t>
      </w:r>
      <w:r>
        <w:rPr>
          <w:rFonts w:ascii="Arial" w:cs="Arial" w:eastAsia="Arial" w:hAnsi="Arial"/>
          <w:sz w:val="39"/>
          <w:szCs w:val="39"/>
          <w:b w:val="1"/>
          <w:bCs w:val="1"/>
          <w:color w:val="D47C18"/>
        </w:rPr>
        <w:t>$2.0B</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 xml:space="preserve">OUP </w:t>
      </w:r>
      <w:r>
        <w:rPr>
          <w:rFonts w:ascii="Arial" w:cs="Arial" w:eastAsia="Arial" w:hAnsi="Arial"/>
          <w:sz w:val="39"/>
          <w:szCs w:val="39"/>
          <w:b w:val="1"/>
          <w:bCs w:val="1"/>
          <w:color w:val="D47C18"/>
        </w:rPr>
        <w:t>$82M</w:t>
      </w: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 xml:space="preserve">OUP Margin </w:t>
      </w:r>
      <w:r>
        <w:rPr>
          <w:rFonts w:ascii="Arial" w:cs="Arial" w:eastAsia="Arial" w:hAnsi="Arial"/>
          <w:sz w:val="39"/>
          <w:szCs w:val="39"/>
          <w:b w:val="1"/>
          <w:bCs w:val="1"/>
          <w:color w:val="D47C18"/>
        </w:rPr>
        <w:t>4.1%</w:t>
      </w:r>
    </w:p>
    <w:p>
      <w:pPr>
        <w:spacing w:after="0" w:line="231" w:lineRule="exact"/>
        <w:rPr>
          <w:sz w:val="20"/>
          <w:szCs w:val="20"/>
          <w:color w:val="auto"/>
        </w:rPr>
      </w:pPr>
    </w:p>
    <w:p>
      <w:pPr>
        <w:sectPr>
          <w:pgSz w:w="11900" w:h="16838" w:orient="portrait"/>
          <w:cols w:equalWidth="0" w:num="2">
            <w:col w:w="3840" w:space="520"/>
            <w:col w:w="4720"/>
          </w:cols>
          <w:pgMar w:left="1440" w:top="465"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 w:hanging="185"/>
        <w:spacing w:after="0"/>
        <w:tabs>
          <w:tab w:leader="none" w:pos="52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Excludes the impact of the reorganization charges of $6.4M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675005</wp:posOffset>
            </wp:positionV>
            <wp:extent cx="728345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9080"/>
          </w:cols>
          <w:pgMar w:left="1440" w:top="465" w:right="1379" w:bottom="1440" w:gutter="0" w:footer="0" w:header="0"/>
          <w:type w:val="continuous"/>
        </w:sectPr>
      </w:pPr>
    </w:p>
    <w:bookmarkStart w:id="21" w:name="page22"/>
    <w:bookmarkEnd w:id="21"/>
    <w:p>
      <w:pPr>
        <w:ind w:left="2480"/>
        <w:spacing w:after="0"/>
        <w:tabs>
          <w:tab w:leader="none" w:pos="8900" w:val="left"/>
          <w:tab w:leader="none" w:pos="10120" w:val="left"/>
        </w:tabs>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599440</wp:posOffset>
            </wp:positionH>
            <wp:positionV relativeFrom="page">
              <wp:posOffset>161925</wp:posOffset>
            </wp:positionV>
            <wp:extent cx="6369050" cy="47764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11</w:t>
      </w:r>
    </w:p>
    <w:p>
      <w:pPr>
        <w:spacing w:after="0" w:line="384" w:lineRule="exact"/>
        <w:rPr>
          <w:sz w:val="20"/>
          <w:szCs w:val="20"/>
          <w:color w:val="auto"/>
        </w:rPr>
      </w:pPr>
    </w:p>
    <w:p>
      <w:pPr>
        <w:ind w:left="1480"/>
        <w:spacing w:after="0"/>
        <w:rPr>
          <w:sz w:val="20"/>
          <w:szCs w:val="20"/>
          <w:color w:val="auto"/>
        </w:rPr>
      </w:pPr>
      <w:r>
        <w:rPr>
          <w:rFonts w:ascii="Arial" w:cs="Arial" w:eastAsia="Arial" w:hAnsi="Arial"/>
          <w:sz w:val="36"/>
          <w:szCs w:val="36"/>
          <w:color w:val="5F81AA"/>
        </w:rPr>
        <w:t>EMEA - Q4 Revenue Growth YoY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jc w:val="center"/>
              <w:ind w:left="4443"/>
              <w:spacing w:after="0"/>
              <w:rPr>
                <w:sz w:val="20"/>
                <w:szCs w:val="20"/>
                <w:color w:val="auto"/>
              </w:rPr>
            </w:pPr>
            <w:r>
              <w:rPr>
                <w:rFonts w:ascii="Arial" w:cs="Arial" w:eastAsia="Arial" w:hAnsi="Arial"/>
                <w:sz w:val="19"/>
                <w:szCs w:val="19"/>
                <w:b w:val="1"/>
                <w:bCs w:val="1"/>
                <w:color w:val="auto"/>
              </w:rPr>
              <w:t>Revenue</w:t>
            </w:r>
          </w:p>
        </w:tc>
        <w:tc>
          <w:tcPr>
            <w:tcW w:w="5300" w:type="dxa"/>
            <w:vAlign w:val="bottom"/>
          </w:tcPr>
          <w:p>
            <w:pPr>
              <w:ind w:left="420"/>
              <w:spacing w:after="0"/>
              <w:rPr>
                <w:sz w:val="20"/>
                <w:szCs w:val="20"/>
                <w:color w:val="auto"/>
              </w:rPr>
            </w:pPr>
            <w:r>
              <w:rPr>
                <w:rFonts w:ascii="Arial" w:cs="Arial" w:eastAsia="Arial" w:hAnsi="Arial"/>
                <w:sz w:val="19"/>
                <w:szCs w:val="19"/>
                <w:b w:val="1"/>
                <w:bCs w:val="1"/>
                <w:color w:val="auto"/>
              </w:rPr>
              <w:t>Revenue Growth - CC</w:t>
            </w:r>
          </w:p>
        </w:tc>
      </w:tr>
      <w:tr>
        <w:trPr>
          <w:trHeight w:val="258"/>
        </w:trPr>
        <w:tc>
          <w:tcPr>
            <w:tcW w:w="6160" w:type="dxa"/>
            <w:vAlign w:val="bottom"/>
          </w:tcPr>
          <w:p>
            <w:pPr>
              <w:jc w:val="center"/>
              <w:ind w:left="4423"/>
              <w:spacing w:after="0"/>
              <w:rPr>
                <w:sz w:val="20"/>
                <w:szCs w:val="20"/>
                <w:color w:val="auto"/>
              </w:rPr>
            </w:pPr>
            <w:r>
              <w:rPr>
                <w:rFonts w:ascii="Arial" w:cs="Arial" w:eastAsia="Arial" w:hAnsi="Arial"/>
                <w:sz w:val="19"/>
                <w:szCs w:val="19"/>
                <w:b w:val="1"/>
                <w:bCs w:val="1"/>
                <w:color w:val="auto"/>
              </w:rPr>
              <w:t>Growth</w:t>
            </w:r>
          </w:p>
        </w:tc>
        <w:tc>
          <w:tcPr>
            <w:tcW w:w="5300" w:type="dxa"/>
            <w:vAlign w:val="bottom"/>
          </w:tcPr>
          <w:p>
            <w:pPr>
              <w:spacing w:after="0"/>
              <w:rPr>
                <w:sz w:val="22"/>
                <w:szCs w:val="22"/>
                <w:color w:val="auto"/>
              </w:rPr>
            </w:pPr>
          </w:p>
        </w:tc>
      </w:tr>
      <w:tr>
        <w:trPr>
          <w:trHeight w:val="512"/>
        </w:trPr>
        <w:tc>
          <w:tcPr>
            <w:tcW w:w="6160" w:type="dxa"/>
            <w:vAlign w:val="bottom"/>
            <w:tcBorders>
              <w:bottom w:val="single" w:sz="8" w:color="808080"/>
            </w:tcBorders>
          </w:tcPr>
          <w:p>
            <w:pPr>
              <w:spacing w:after="0"/>
              <w:rPr>
                <w:sz w:val="24"/>
                <w:szCs w:val="24"/>
                <w:color w:val="auto"/>
              </w:rPr>
            </w:pPr>
          </w:p>
        </w:tc>
        <w:tc>
          <w:tcPr>
            <w:tcW w:w="5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65" w:right="219" w:bottom="1440" w:gutter="0" w:footer="0" w:header="0"/>
        </w:sectPr>
      </w:pPr>
    </w:p>
    <w:bookmarkStart w:id="22" w:name="page23"/>
    <w:bookmarkEnd w:id="22"/>
    <w:p>
      <w:pPr>
        <w:jc w:val="right"/>
        <w:spacing w:after="0"/>
        <w:tabs>
          <w:tab w:leader="none" w:pos="1360" w:val="left"/>
          <w:tab w:leader="none" w:pos="140" w:val="left"/>
        </w:tabs>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599440</wp:posOffset>
            </wp:positionH>
            <wp:positionV relativeFrom="page">
              <wp:posOffset>161925</wp:posOffset>
            </wp:positionV>
            <wp:extent cx="6369050" cy="47764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12</w:t>
      </w:r>
    </w:p>
    <w:p>
      <w:pPr>
        <w:spacing w:after="0" w:line="200" w:lineRule="exact"/>
        <w:rPr>
          <w:sz w:val="20"/>
          <w:szCs w:val="20"/>
          <w:color w:val="auto"/>
        </w:rPr>
      </w:pPr>
    </w:p>
    <w:p>
      <w:pPr>
        <w:spacing w:after="0" w:line="247" w:lineRule="exact"/>
        <w:rPr>
          <w:sz w:val="20"/>
          <w:szCs w:val="20"/>
          <w:color w:val="auto"/>
        </w:rPr>
      </w:pPr>
    </w:p>
    <w:p>
      <w:pPr>
        <w:ind w:left="320"/>
        <w:spacing w:after="0"/>
        <w:rPr>
          <w:sz w:val="20"/>
          <w:szCs w:val="20"/>
          <w:color w:val="auto"/>
        </w:rPr>
      </w:pPr>
      <w:r>
        <w:rPr>
          <w:rFonts w:ascii="Arial" w:cs="Arial" w:eastAsia="Arial" w:hAnsi="Arial"/>
          <w:sz w:val="36"/>
          <w:szCs w:val="36"/>
          <w:color w:val="5F81AA"/>
        </w:rPr>
        <w:t>Asia Pacific Segment</w:t>
      </w:r>
    </w:p>
    <w:p>
      <w:pPr>
        <w:spacing w:after="0" w:line="6" w:lineRule="exact"/>
        <w:rPr>
          <w:sz w:val="20"/>
          <w:szCs w:val="20"/>
          <w:color w:val="auto"/>
        </w:rPr>
      </w:pPr>
    </w:p>
    <w:p>
      <w:pPr>
        <w:ind w:left="320"/>
        <w:spacing w:after="0"/>
        <w:rPr>
          <w:sz w:val="20"/>
          <w:szCs w:val="20"/>
          <w:color w:val="auto"/>
        </w:rPr>
      </w:pPr>
      <w:r>
        <w:rPr>
          <w:rFonts w:ascii="Arial" w:cs="Arial" w:eastAsia="Arial" w:hAnsi="Arial"/>
          <w:sz w:val="28"/>
          <w:szCs w:val="28"/>
          <w:color w:val="5F81AA"/>
        </w:rPr>
        <w:t>(11% of Revenue)</w:t>
      </w:r>
    </w:p>
    <w:p>
      <w:pPr>
        <w:spacing w:after="0" w:line="322" w:lineRule="exact"/>
        <w:rPr>
          <w:sz w:val="20"/>
          <w:szCs w:val="20"/>
          <w:color w:val="auto"/>
        </w:rPr>
      </w:pPr>
    </w:p>
    <w:tbl>
      <w:tblPr>
        <w:tblLayout w:type="fixed"/>
        <w:tblInd w:w="640" w:type="dxa"/>
        <w:tblCellMar>
          <w:top w:w="0" w:type="dxa"/>
          <w:left w:w="0" w:type="dxa"/>
          <w:bottom w:w="0" w:type="dxa"/>
          <w:right w:w="0" w:type="dxa"/>
        </w:tblCellMar>
      </w:tblPr>
      <w:tr>
        <w:trPr>
          <w:trHeight w:val="414"/>
        </w:trPr>
        <w:tc>
          <w:tcPr>
            <w:tcW w:w="1520" w:type="dxa"/>
            <w:vAlign w:val="bottom"/>
            <w:vMerge w:val="restart"/>
          </w:tcPr>
          <w:p>
            <w:pPr>
              <w:jc w:val="center"/>
              <w:ind w:right="110"/>
              <w:spacing w:after="0"/>
              <w:rPr>
                <w:sz w:val="20"/>
                <w:szCs w:val="20"/>
                <w:color w:val="auto"/>
              </w:rPr>
            </w:pPr>
            <w:r>
              <w:rPr>
                <w:rFonts w:ascii="Arial" w:cs="Arial" w:eastAsia="Arial" w:hAnsi="Arial"/>
                <w:sz w:val="19"/>
                <w:szCs w:val="19"/>
                <w:b w:val="1"/>
                <w:bCs w:val="1"/>
                <w:color w:val="auto"/>
              </w:rPr>
              <w:t>Reported</w:t>
            </w:r>
          </w:p>
        </w:tc>
        <w:tc>
          <w:tcPr>
            <w:tcW w:w="1860" w:type="dxa"/>
            <w:vAlign w:val="bottom"/>
          </w:tcPr>
          <w:p>
            <w:pPr>
              <w:jc w:val="center"/>
              <w:ind w:left="26"/>
              <w:spacing w:after="0"/>
              <w:rPr>
                <w:sz w:val="20"/>
                <w:szCs w:val="20"/>
                <w:color w:val="auto"/>
              </w:rPr>
            </w:pPr>
            <w:r>
              <w:rPr>
                <w:rFonts w:ascii="Arial" w:cs="Arial" w:eastAsia="Arial" w:hAnsi="Arial"/>
                <w:sz w:val="19"/>
                <w:szCs w:val="19"/>
                <w:b w:val="1"/>
                <w:bCs w:val="1"/>
                <w:color w:val="auto"/>
                <w:w w:val="98"/>
              </w:rPr>
              <w:t>Excluding</w:t>
            </w:r>
            <w:r>
              <w:rPr>
                <w:rFonts w:ascii="Arial" w:cs="Arial" w:eastAsia="Arial" w:hAnsi="Arial"/>
                <w:sz w:val="30"/>
                <w:szCs w:val="30"/>
                <w:b w:val="1"/>
                <w:bCs w:val="1"/>
                <w:color w:val="D47C18"/>
                <w:w w:val="98"/>
                <w:vertAlign w:val="superscript"/>
              </w:rPr>
              <w:t>(1)</w:t>
            </w:r>
          </w:p>
        </w:tc>
        <w:tc>
          <w:tcPr>
            <w:tcW w:w="4240" w:type="dxa"/>
            <w:vAlign w:val="bottom"/>
            <w:vMerge w:val="restart"/>
          </w:tcPr>
          <w:p>
            <w:pPr>
              <w:ind w:left="220"/>
              <w:spacing w:after="0"/>
              <w:rPr>
                <w:sz w:val="20"/>
                <w:szCs w:val="20"/>
                <w:color w:val="auto"/>
              </w:rPr>
            </w:pPr>
            <w:r>
              <w:rPr>
                <w:rFonts w:ascii="Arial" w:cs="Arial" w:eastAsia="Arial" w:hAnsi="Arial"/>
                <w:sz w:val="36"/>
                <w:szCs w:val="36"/>
                <w:b w:val="1"/>
                <w:bCs w:val="1"/>
                <w:color w:val="auto"/>
                <w:w w:val="99"/>
              </w:rPr>
              <w:t>Q4 Financial Highlights</w:t>
            </w:r>
          </w:p>
        </w:tc>
        <w:tc>
          <w:tcPr>
            <w:tcW w:w="0" w:type="dxa"/>
            <w:vAlign w:val="bottom"/>
          </w:tcPr>
          <w:p>
            <w:pPr>
              <w:spacing w:after="0"/>
              <w:rPr>
                <w:sz w:val="1"/>
                <w:szCs w:val="1"/>
                <w:color w:val="auto"/>
              </w:rPr>
            </w:pPr>
          </w:p>
        </w:tc>
      </w:tr>
      <w:tr>
        <w:trPr>
          <w:trHeight w:val="0"/>
        </w:trPr>
        <w:tc>
          <w:tcPr>
            <w:tcW w:w="1520" w:type="dxa"/>
            <w:vAlign w:val="bottom"/>
            <w:vMerge w:val="continue"/>
          </w:tcPr>
          <w:p>
            <w:pPr>
              <w:spacing w:after="0" w:line="20" w:lineRule="exact"/>
              <w:rPr>
                <w:sz w:val="1"/>
                <w:szCs w:val="1"/>
                <w:color w:val="auto"/>
              </w:rPr>
            </w:pPr>
          </w:p>
        </w:tc>
        <w:tc>
          <w:tcPr>
            <w:tcW w:w="1860" w:type="dxa"/>
            <w:vAlign w:val="bottom"/>
          </w:tcPr>
          <w:p>
            <w:pPr>
              <w:jc w:val="center"/>
              <w:spacing w:after="0" w:line="1" w:lineRule="exact"/>
              <w:rPr>
                <w:sz w:val="20"/>
                <w:szCs w:val="20"/>
                <w:color w:val="auto"/>
              </w:rPr>
            </w:pPr>
            <w:r>
              <w:rPr>
                <w:rFonts w:ascii="Arial" w:cs="Arial" w:eastAsia="Arial" w:hAnsi="Arial"/>
                <w:sz w:val="1"/>
                <w:szCs w:val="1"/>
                <w:b w:val="1"/>
                <w:bCs w:val="1"/>
                <w:color w:val="auto"/>
              </w:rPr>
              <w:t>Items</w:t>
            </w:r>
          </w:p>
        </w:tc>
        <w:tc>
          <w:tcPr>
            <w:tcW w:w="4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520" w:type="dxa"/>
            <w:vAlign w:val="bottom"/>
          </w:tcPr>
          <w:p>
            <w:pPr>
              <w:jc w:val="center"/>
              <w:ind w:right="90"/>
              <w:spacing w:after="0"/>
              <w:rPr>
                <w:sz w:val="20"/>
                <w:szCs w:val="20"/>
                <w:color w:val="auto"/>
              </w:rPr>
            </w:pPr>
            <w:r>
              <w:rPr>
                <w:rFonts w:ascii="Arial" w:cs="Arial" w:eastAsia="Arial" w:hAnsi="Arial"/>
                <w:sz w:val="19"/>
                <w:szCs w:val="19"/>
                <w:b w:val="1"/>
                <w:bCs w:val="1"/>
                <w:color w:val="auto"/>
                <w:w w:val="98"/>
              </w:rPr>
              <w:t>As</w:t>
            </w:r>
          </w:p>
        </w:tc>
        <w:tc>
          <w:tcPr>
            <w:tcW w:w="1860" w:type="dxa"/>
            <w:vAlign w:val="bottom"/>
          </w:tcPr>
          <w:p>
            <w:pPr>
              <w:jc w:val="center"/>
              <w:spacing w:after="0"/>
              <w:rPr>
                <w:sz w:val="20"/>
                <w:szCs w:val="20"/>
                <w:color w:val="auto"/>
              </w:rPr>
            </w:pPr>
            <w:r>
              <w:rPr>
                <w:rFonts w:ascii="Arial" w:cs="Arial" w:eastAsia="Arial" w:hAnsi="Arial"/>
                <w:sz w:val="19"/>
                <w:szCs w:val="19"/>
                <w:b w:val="1"/>
                <w:bCs w:val="1"/>
                <w:color w:val="auto"/>
              </w:rPr>
              <w:t>Non-recurring</w:t>
            </w:r>
          </w:p>
        </w:tc>
        <w:tc>
          <w:tcPr>
            <w:tcW w:w="4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8"/>
        </w:trPr>
        <w:tc>
          <w:tcPr>
            <w:tcW w:w="1520" w:type="dxa"/>
            <w:vAlign w:val="bottom"/>
          </w:tcPr>
          <w:p>
            <w:pPr>
              <w:jc w:val="center"/>
              <w:ind w:right="170"/>
              <w:spacing w:after="0"/>
              <w:rPr>
                <w:sz w:val="20"/>
                <w:szCs w:val="20"/>
                <w:color w:val="auto"/>
              </w:rPr>
            </w:pPr>
            <w:r>
              <w:rPr>
                <w:rFonts w:ascii="Arial" w:cs="Arial" w:eastAsia="Arial" w:hAnsi="Arial"/>
                <w:sz w:val="33"/>
                <w:szCs w:val="33"/>
                <w:color w:val="auto"/>
              </w:rPr>
              <w:t>26%</w:t>
            </w:r>
          </w:p>
        </w:tc>
        <w:tc>
          <w:tcPr>
            <w:tcW w:w="1860" w:type="dxa"/>
            <w:vAlign w:val="bottom"/>
          </w:tcPr>
          <w:p>
            <w:pPr>
              <w:jc w:val="center"/>
              <w:ind w:left="26"/>
              <w:spacing w:after="0"/>
              <w:rPr>
                <w:sz w:val="20"/>
                <w:szCs w:val="20"/>
                <w:color w:val="auto"/>
              </w:rPr>
            </w:pPr>
            <w:r>
              <w:rPr>
                <w:rFonts w:ascii="Arial" w:cs="Arial" w:eastAsia="Arial" w:hAnsi="Arial"/>
                <w:sz w:val="33"/>
                <w:szCs w:val="33"/>
                <w:color w:val="auto"/>
                <w:w w:val="99"/>
              </w:rPr>
              <w:t>26%</w:t>
            </w:r>
          </w:p>
        </w:tc>
        <w:tc>
          <w:tcPr>
            <w:tcW w:w="4240" w:type="dxa"/>
            <w:vAlign w:val="bottom"/>
          </w:tcPr>
          <w:p>
            <w:pPr>
              <w:ind w:left="340"/>
              <w:spacing w:after="0"/>
              <w:rPr>
                <w:sz w:val="20"/>
                <w:szCs w:val="20"/>
                <w:color w:val="auto"/>
              </w:rPr>
            </w:pPr>
            <w:r>
              <w:rPr>
                <w:rFonts w:ascii="Arial" w:cs="Arial" w:eastAsia="Arial" w:hAnsi="Arial"/>
                <w:sz w:val="36"/>
                <w:szCs w:val="36"/>
                <w:b w:val="1"/>
                <w:bCs w:val="1"/>
                <w:color w:val="auto"/>
              </w:rPr>
              <w:t xml:space="preserve">Revenue </w:t>
            </w:r>
            <w:r>
              <w:rPr>
                <w:rFonts w:ascii="Arial" w:cs="Arial" w:eastAsia="Arial" w:hAnsi="Arial"/>
                <w:sz w:val="39"/>
                <w:szCs w:val="39"/>
                <w:b w:val="1"/>
                <w:bCs w:val="1"/>
                <w:color w:val="D47C18"/>
              </w:rPr>
              <w:t>$588M</w:t>
            </w:r>
          </w:p>
        </w:tc>
        <w:tc>
          <w:tcPr>
            <w:tcW w:w="0" w:type="dxa"/>
            <w:vAlign w:val="bottom"/>
          </w:tcPr>
          <w:p>
            <w:pPr>
              <w:spacing w:after="0"/>
              <w:rPr>
                <w:sz w:val="1"/>
                <w:szCs w:val="1"/>
                <w:color w:val="auto"/>
              </w:rPr>
            </w:pPr>
          </w:p>
        </w:tc>
      </w:tr>
      <w:tr>
        <w:trPr>
          <w:trHeight w:val="403"/>
        </w:trPr>
        <w:tc>
          <w:tcPr>
            <w:tcW w:w="1520" w:type="dxa"/>
            <w:vAlign w:val="bottom"/>
          </w:tcPr>
          <w:p>
            <w:pPr>
              <w:jc w:val="center"/>
              <w:ind w:right="130"/>
              <w:spacing w:after="0"/>
              <w:rPr>
                <w:sz w:val="20"/>
                <w:szCs w:val="20"/>
                <w:color w:val="auto"/>
              </w:rPr>
            </w:pPr>
            <w:r>
              <w:rPr>
                <w:rFonts w:ascii="Arial" w:cs="Arial" w:eastAsia="Arial" w:hAnsi="Arial"/>
                <w:sz w:val="33"/>
                <w:szCs w:val="33"/>
                <w:color w:val="auto"/>
              </w:rPr>
              <w:t>16% CC</w:t>
            </w:r>
          </w:p>
        </w:tc>
        <w:tc>
          <w:tcPr>
            <w:tcW w:w="1860" w:type="dxa"/>
            <w:vAlign w:val="bottom"/>
          </w:tcPr>
          <w:p>
            <w:pPr>
              <w:jc w:val="center"/>
              <w:spacing w:after="0"/>
              <w:rPr>
                <w:sz w:val="20"/>
                <w:szCs w:val="20"/>
                <w:color w:val="auto"/>
              </w:rPr>
            </w:pPr>
            <w:r>
              <w:rPr>
                <w:rFonts w:ascii="Arial" w:cs="Arial" w:eastAsia="Arial" w:hAnsi="Arial"/>
                <w:sz w:val="33"/>
                <w:szCs w:val="33"/>
                <w:color w:val="auto"/>
              </w:rPr>
              <w:t>16% CC</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520" w:type="dxa"/>
            <w:vAlign w:val="bottom"/>
          </w:tcPr>
          <w:p>
            <w:pPr>
              <w:jc w:val="center"/>
              <w:ind w:right="170"/>
              <w:spacing w:after="0"/>
              <w:rPr>
                <w:sz w:val="20"/>
                <w:szCs w:val="20"/>
                <w:color w:val="auto"/>
              </w:rPr>
            </w:pPr>
            <w:r>
              <w:rPr>
                <w:rFonts w:ascii="Arial" w:cs="Arial" w:eastAsia="Arial" w:hAnsi="Arial"/>
                <w:sz w:val="33"/>
                <w:szCs w:val="33"/>
                <w:color w:val="auto"/>
              </w:rPr>
              <w:t>42%</w:t>
            </w:r>
          </w:p>
        </w:tc>
        <w:tc>
          <w:tcPr>
            <w:tcW w:w="1860" w:type="dxa"/>
            <w:vAlign w:val="bottom"/>
          </w:tcPr>
          <w:p>
            <w:pPr>
              <w:jc w:val="center"/>
              <w:ind w:left="6"/>
              <w:spacing w:after="0"/>
              <w:rPr>
                <w:sz w:val="20"/>
                <w:szCs w:val="20"/>
                <w:color w:val="auto"/>
              </w:rPr>
            </w:pPr>
            <w:r>
              <w:rPr>
                <w:rFonts w:ascii="Arial" w:cs="Arial" w:eastAsia="Arial" w:hAnsi="Arial"/>
                <w:sz w:val="33"/>
                <w:szCs w:val="33"/>
                <w:color w:val="auto"/>
              </w:rPr>
              <w:t>34%</w:t>
            </w:r>
          </w:p>
        </w:tc>
        <w:tc>
          <w:tcPr>
            <w:tcW w:w="4240" w:type="dxa"/>
            <w:vAlign w:val="bottom"/>
            <w:vMerge w:val="restart"/>
          </w:tcPr>
          <w:p>
            <w:pPr>
              <w:ind w:left="360"/>
              <w:spacing w:after="0"/>
              <w:rPr>
                <w:sz w:val="20"/>
                <w:szCs w:val="20"/>
                <w:color w:val="auto"/>
              </w:rPr>
            </w:pPr>
            <w:r>
              <w:rPr>
                <w:rFonts w:ascii="Arial" w:cs="Arial" w:eastAsia="Arial" w:hAnsi="Arial"/>
                <w:sz w:val="36"/>
                <w:szCs w:val="36"/>
                <w:b w:val="1"/>
                <w:bCs w:val="1"/>
                <w:color w:val="auto"/>
              </w:rPr>
              <w:t xml:space="preserve">OUP </w:t>
            </w:r>
            <w:r>
              <w:rPr>
                <w:rFonts w:ascii="Arial" w:cs="Arial" w:eastAsia="Arial" w:hAnsi="Arial"/>
                <w:sz w:val="39"/>
                <w:szCs w:val="39"/>
                <w:b w:val="1"/>
                <w:bCs w:val="1"/>
                <w:color w:val="D47C18"/>
              </w:rPr>
              <w:t>$10M</w:t>
            </w:r>
          </w:p>
        </w:tc>
        <w:tc>
          <w:tcPr>
            <w:tcW w:w="0" w:type="dxa"/>
            <w:vAlign w:val="bottom"/>
          </w:tcPr>
          <w:p>
            <w:pPr>
              <w:spacing w:after="0"/>
              <w:rPr>
                <w:sz w:val="1"/>
                <w:szCs w:val="1"/>
                <w:color w:val="auto"/>
              </w:rPr>
            </w:pPr>
          </w:p>
        </w:tc>
      </w:tr>
      <w:tr>
        <w:trPr>
          <w:trHeight w:val="251"/>
        </w:trPr>
        <w:tc>
          <w:tcPr>
            <w:tcW w:w="1520" w:type="dxa"/>
            <w:vAlign w:val="bottom"/>
            <w:vMerge w:val="restart"/>
          </w:tcPr>
          <w:p>
            <w:pPr>
              <w:jc w:val="center"/>
              <w:ind w:right="110"/>
              <w:spacing w:after="0"/>
              <w:rPr>
                <w:sz w:val="20"/>
                <w:szCs w:val="20"/>
                <w:color w:val="auto"/>
              </w:rPr>
            </w:pPr>
            <w:r>
              <w:rPr>
                <w:rFonts w:ascii="Arial" w:cs="Arial" w:eastAsia="Arial" w:hAnsi="Arial"/>
                <w:sz w:val="33"/>
                <w:szCs w:val="33"/>
                <w:color w:val="auto"/>
              </w:rPr>
              <w:t>32% CC</w:t>
            </w:r>
          </w:p>
        </w:tc>
        <w:tc>
          <w:tcPr>
            <w:tcW w:w="1860" w:type="dxa"/>
            <w:vAlign w:val="bottom"/>
            <w:vMerge w:val="restart"/>
          </w:tcPr>
          <w:p>
            <w:pPr>
              <w:jc w:val="center"/>
              <w:ind w:left="46"/>
              <w:spacing w:after="0"/>
              <w:rPr>
                <w:sz w:val="20"/>
                <w:szCs w:val="20"/>
                <w:color w:val="auto"/>
              </w:rPr>
            </w:pPr>
            <w:r>
              <w:rPr>
                <w:rFonts w:ascii="Arial" w:cs="Arial" w:eastAsia="Arial" w:hAnsi="Arial"/>
                <w:sz w:val="33"/>
                <w:szCs w:val="33"/>
                <w:color w:val="auto"/>
              </w:rPr>
              <w:t>25% CC</w:t>
            </w:r>
          </w:p>
        </w:tc>
        <w:tc>
          <w:tcPr>
            <w:tcW w:w="4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52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4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7"/>
        </w:trPr>
        <w:tc>
          <w:tcPr>
            <w:tcW w:w="1520" w:type="dxa"/>
            <w:vAlign w:val="bottom"/>
          </w:tcPr>
          <w:p>
            <w:pPr>
              <w:jc w:val="center"/>
              <w:ind w:right="110"/>
              <w:spacing w:after="0"/>
              <w:rPr>
                <w:sz w:val="20"/>
                <w:szCs w:val="20"/>
                <w:color w:val="auto"/>
              </w:rPr>
            </w:pPr>
            <w:r>
              <w:rPr>
                <w:rFonts w:ascii="Arial" w:cs="Arial" w:eastAsia="Arial" w:hAnsi="Arial"/>
                <w:sz w:val="33"/>
                <w:szCs w:val="33"/>
                <w:color w:val="auto"/>
              </w:rPr>
              <w:t>20</w:t>
            </w:r>
          </w:p>
        </w:tc>
        <w:tc>
          <w:tcPr>
            <w:tcW w:w="1860" w:type="dxa"/>
            <w:vAlign w:val="bottom"/>
          </w:tcPr>
          <w:p>
            <w:pPr>
              <w:jc w:val="center"/>
              <w:spacing w:after="0"/>
              <w:rPr>
                <w:sz w:val="20"/>
                <w:szCs w:val="20"/>
                <w:color w:val="auto"/>
              </w:rPr>
            </w:pPr>
            <w:r>
              <w:rPr>
                <w:rFonts w:ascii="Arial" w:cs="Arial" w:eastAsia="Arial" w:hAnsi="Arial"/>
                <w:sz w:val="33"/>
                <w:szCs w:val="33"/>
                <w:color w:val="auto"/>
              </w:rPr>
              <w:t>10</w:t>
            </w:r>
          </w:p>
        </w:tc>
        <w:tc>
          <w:tcPr>
            <w:tcW w:w="4240" w:type="dxa"/>
            <w:vAlign w:val="bottom"/>
          </w:tcPr>
          <w:p>
            <w:pPr>
              <w:ind w:left="360"/>
              <w:spacing w:after="0"/>
              <w:rPr>
                <w:sz w:val="20"/>
                <w:szCs w:val="20"/>
                <w:color w:val="auto"/>
              </w:rPr>
            </w:pPr>
            <w:r>
              <w:rPr>
                <w:rFonts w:ascii="Arial" w:cs="Arial" w:eastAsia="Arial" w:hAnsi="Arial"/>
                <w:sz w:val="36"/>
                <w:szCs w:val="36"/>
                <w:b w:val="1"/>
                <w:bCs w:val="1"/>
                <w:color w:val="auto"/>
              </w:rPr>
              <w:t xml:space="preserve">OUP Margin </w:t>
            </w:r>
            <w:r>
              <w:rPr>
                <w:rFonts w:ascii="Arial" w:cs="Arial" w:eastAsia="Arial" w:hAnsi="Arial"/>
                <w:sz w:val="39"/>
                <w:szCs w:val="39"/>
                <w:b w:val="1"/>
                <w:bCs w:val="1"/>
                <w:color w:val="D47C18"/>
              </w:rPr>
              <w:t>1.7%</w:t>
            </w:r>
          </w:p>
        </w:tc>
        <w:tc>
          <w:tcPr>
            <w:tcW w:w="0" w:type="dxa"/>
            <w:vAlign w:val="bottom"/>
          </w:tcPr>
          <w:p>
            <w:pPr>
              <w:spacing w:after="0"/>
              <w:rPr>
                <w:sz w:val="1"/>
                <w:szCs w:val="1"/>
                <w:color w:val="auto"/>
              </w:rPr>
            </w:pPr>
          </w:p>
        </w:tc>
      </w:tr>
      <w:tr>
        <w:trPr>
          <w:trHeight w:val="403"/>
        </w:trPr>
        <w:tc>
          <w:tcPr>
            <w:tcW w:w="1520" w:type="dxa"/>
            <w:vAlign w:val="bottom"/>
          </w:tcPr>
          <w:p>
            <w:pPr>
              <w:jc w:val="center"/>
              <w:ind w:right="110"/>
              <w:spacing w:after="0"/>
              <w:rPr>
                <w:sz w:val="20"/>
                <w:szCs w:val="20"/>
                <w:color w:val="auto"/>
              </w:rPr>
            </w:pPr>
            <w:r>
              <w:rPr>
                <w:rFonts w:ascii="Arial" w:cs="Arial" w:eastAsia="Arial" w:hAnsi="Arial"/>
                <w:sz w:val="33"/>
                <w:szCs w:val="33"/>
                <w:color w:val="auto"/>
              </w:rPr>
              <w:t>bps</w:t>
            </w:r>
          </w:p>
        </w:tc>
        <w:tc>
          <w:tcPr>
            <w:tcW w:w="1860" w:type="dxa"/>
            <w:vAlign w:val="bottom"/>
          </w:tcPr>
          <w:p>
            <w:pPr>
              <w:jc w:val="center"/>
              <w:spacing w:after="0"/>
              <w:rPr>
                <w:sz w:val="20"/>
                <w:szCs w:val="20"/>
                <w:color w:val="auto"/>
              </w:rPr>
            </w:pPr>
            <w:r>
              <w:rPr>
                <w:rFonts w:ascii="Arial" w:cs="Arial" w:eastAsia="Arial" w:hAnsi="Arial"/>
                <w:sz w:val="33"/>
                <w:szCs w:val="33"/>
                <w:color w:val="auto"/>
              </w:rPr>
              <w:t>bps</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520" w:hanging="185"/>
        <w:spacing w:after="0"/>
        <w:tabs>
          <w:tab w:leader="none" w:pos="52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Excludes the impact of the reorganization charges of $0.4M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675005</wp:posOffset>
            </wp:positionV>
            <wp:extent cx="728345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9080"/>
          </w:cols>
          <w:pgMar w:left="1440" w:top="465" w:right="1379" w:bottom="1440" w:gutter="0" w:footer="0" w:header="0"/>
        </w:sectPr>
      </w:pPr>
    </w:p>
    <w:bookmarkStart w:id="23" w:name="page24"/>
    <w:bookmarkEnd w:id="23"/>
    <w:p>
      <w:pPr>
        <w:jc w:val="right"/>
        <w:ind w:right="1160"/>
        <w:spacing w:after="0"/>
        <w:tabs>
          <w:tab w:leader="none" w:pos="2520" w:val="left"/>
          <w:tab w:leader="none" w:pos="1300" w:val="left"/>
        </w:tabs>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599440</wp:posOffset>
            </wp:positionH>
            <wp:positionV relativeFrom="page">
              <wp:posOffset>161925</wp:posOffset>
            </wp:positionV>
            <wp:extent cx="6369050" cy="47764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13</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80"/>
        <w:spacing w:after="0"/>
        <w:rPr>
          <w:sz w:val="20"/>
          <w:szCs w:val="20"/>
          <w:color w:val="auto"/>
        </w:rPr>
      </w:pPr>
      <w:r>
        <w:rPr>
          <w:rFonts w:ascii="Arial" w:cs="Arial" w:eastAsia="Arial" w:hAnsi="Arial"/>
          <w:sz w:val="36"/>
          <w:szCs w:val="36"/>
          <w:color w:val="5F81AA"/>
        </w:rPr>
        <w:t>Asia Pacific - Q4 Revenue Growth YoY</w:t>
      </w:r>
    </w:p>
    <w:p>
      <w:pPr>
        <w:spacing w:after="0" w:line="200" w:lineRule="exact"/>
        <w:rPr>
          <w:sz w:val="20"/>
          <w:szCs w:val="20"/>
          <w:color w:val="auto"/>
        </w:rPr>
      </w:pPr>
    </w:p>
    <w:p>
      <w:pPr>
        <w:spacing w:after="0" w:line="251" w:lineRule="exact"/>
        <w:rPr>
          <w:sz w:val="20"/>
          <w:szCs w:val="20"/>
          <w:color w:val="auto"/>
        </w:rPr>
      </w:pPr>
    </w:p>
    <w:p>
      <w:pPr>
        <w:ind w:left="1280" w:right="9060" w:hanging="264"/>
        <w:spacing w:after="0" w:line="310" w:lineRule="auto"/>
        <w:tabs>
          <w:tab w:leader="none" w:pos="1269"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of Segment Revenue</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5"/>
          <w:szCs w:val="25"/>
          <w:b w:val="1"/>
          <w:bCs w:val="1"/>
          <w:color w:val="D47C18"/>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80"/>
        <w:spacing w:after="0"/>
        <w:rPr>
          <w:sz w:val="20"/>
          <w:szCs w:val="20"/>
          <w:color w:val="auto"/>
        </w:rPr>
      </w:pPr>
      <w:r>
        <w:rPr>
          <w:rFonts w:ascii="Arial" w:cs="Arial" w:eastAsia="Arial" w:hAnsi="Arial"/>
          <w:sz w:val="25"/>
          <w:szCs w:val="25"/>
          <w:b w:val="1"/>
          <w:bCs w:val="1"/>
          <w:color w:val="D47C18"/>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480"/>
        <w:spacing w:after="0"/>
        <w:rPr>
          <w:sz w:val="20"/>
          <w:szCs w:val="20"/>
          <w:color w:val="auto"/>
        </w:rPr>
      </w:pPr>
      <w:r>
        <w:rPr>
          <w:rFonts w:ascii="Arial" w:cs="Arial" w:eastAsia="Arial" w:hAnsi="Arial"/>
          <w:sz w:val="25"/>
          <w:szCs w:val="25"/>
          <w:b w:val="1"/>
          <w:bCs w:val="1"/>
          <w:color w:val="D47C18"/>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jc w:val="center"/>
              <w:ind w:left="4023"/>
              <w:spacing w:after="0"/>
              <w:rPr>
                <w:sz w:val="20"/>
                <w:szCs w:val="20"/>
                <w:color w:val="auto"/>
              </w:rPr>
            </w:pPr>
            <w:r>
              <w:rPr>
                <w:rFonts w:ascii="Arial" w:cs="Arial" w:eastAsia="Arial" w:hAnsi="Arial"/>
                <w:sz w:val="19"/>
                <w:szCs w:val="19"/>
                <w:b w:val="1"/>
                <w:bCs w:val="1"/>
                <w:color w:val="auto"/>
              </w:rPr>
              <w:t>Revenue</w:t>
            </w:r>
          </w:p>
        </w:tc>
        <w:tc>
          <w:tcPr>
            <w:tcW w:w="5720" w:type="dxa"/>
            <w:vAlign w:val="bottom"/>
          </w:tcPr>
          <w:p>
            <w:pPr>
              <w:ind w:left="420"/>
              <w:spacing w:after="0"/>
              <w:rPr>
                <w:sz w:val="20"/>
                <w:szCs w:val="20"/>
                <w:color w:val="auto"/>
              </w:rPr>
            </w:pPr>
            <w:r>
              <w:rPr>
                <w:rFonts w:ascii="Arial" w:cs="Arial" w:eastAsia="Arial" w:hAnsi="Arial"/>
                <w:sz w:val="19"/>
                <w:szCs w:val="19"/>
                <w:b w:val="1"/>
                <w:bCs w:val="1"/>
                <w:color w:val="auto"/>
              </w:rPr>
              <w:t>Revenue Growth - CC</w:t>
            </w:r>
          </w:p>
        </w:tc>
      </w:tr>
      <w:tr>
        <w:trPr>
          <w:trHeight w:val="258"/>
        </w:trPr>
        <w:tc>
          <w:tcPr>
            <w:tcW w:w="5740" w:type="dxa"/>
            <w:vAlign w:val="bottom"/>
          </w:tcPr>
          <w:p>
            <w:pPr>
              <w:jc w:val="center"/>
              <w:ind w:left="4023"/>
              <w:spacing w:after="0"/>
              <w:rPr>
                <w:sz w:val="20"/>
                <w:szCs w:val="20"/>
                <w:color w:val="auto"/>
              </w:rPr>
            </w:pPr>
            <w:r>
              <w:rPr>
                <w:rFonts w:ascii="Arial" w:cs="Arial" w:eastAsia="Arial" w:hAnsi="Arial"/>
                <w:sz w:val="19"/>
                <w:szCs w:val="19"/>
                <w:b w:val="1"/>
                <w:bCs w:val="1"/>
                <w:color w:val="auto"/>
              </w:rPr>
              <w:t>Growth</w:t>
            </w:r>
          </w:p>
        </w:tc>
        <w:tc>
          <w:tcPr>
            <w:tcW w:w="5720" w:type="dxa"/>
            <w:vAlign w:val="bottom"/>
          </w:tcPr>
          <w:p>
            <w:pPr>
              <w:spacing w:after="0"/>
              <w:rPr>
                <w:sz w:val="22"/>
                <w:szCs w:val="22"/>
                <w:color w:val="auto"/>
              </w:rPr>
            </w:pPr>
          </w:p>
        </w:tc>
      </w:tr>
      <w:tr>
        <w:trPr>
          <w:trHeight w:val="794"/>
        </w:trPr>
        <w:tc>
          <w:tcPr>
            <w:tcW w:w="574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65" w:right="219" w:bottom="1440" w:gutter="0" w:footer="0" w:header="0"/>
        </w:sectPr>
      </w:pPr>
    </w:p>
    <w:bookmarkStart w:id="24" w:name="page25"/>
    <w:bookmarkEnd w:id="24"/>
    <w:p>
      <w:pPr>
        <w:jc w:val="right"/>
        <w:spacing w:after="0"/>
        <w:tabs>
          <w:tab w:leader="none" w:pos="1360" w:val="left"/>
          <w:tab w:leader="none" w:pos="140" w:val="left"/>
        </w:tabs>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599440</wp:posOffset>
            </wp:positionH>
            <wp:positionV relativeFrom="page">
              <wp:posOffset>161925</wp:posOffset>
            </wp:positionV>
            <wp:extent cx="6369050" cy="47764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14</w:t>
      </w:r>
    </w:p>
    <w:p>
      <w:pPr>
        <w:spacing w:after="0" w:line="200" w:lineRule="exact"/>
        <w:rPr>
          <w:sz w:val="20"/>
          <w:szCs w:val="20"/>
          <w:color w:val="auto"/>
        </w:rPr>
      </w:pPr>
    </w:p>
    <w:p>
      <w:pPr>
        <w:spacing w:after="0" w:line="247" w:lineRule="exact"/>
        <w:rPr>
          <w:sz w:val="20"/>
          <w:szCs w:val="20"/>
          <w:color w:val="auto"/>
        </w:rPr>
      </w:pPr>
    </w:p>
    <w:p>
      <w:pPr>
        <w:ind w:left="320"/>
        <w:spacing w:after="0"/>
        <w:rPr>
          <w:sz w:val="20"/>
          <w:szCs w:val="20"/>
          <w:color w:val="auto"/>
        </w:rPr>
      </w:pPr>
      <w:r>
        <w:rPr>
          <w:rFonts w:ascii="Arial" w:cs="Arial" w:eastAsia="Arial" w:hAnsi="Arial"/>
          <w:sz w:val="36"/>
          <w:szCs w:val="36"/>
          <w:color w:val="5F81AA"/>
        </w:rPr>
        <w:t>Right Management Segment</w:t>
      </w:r>
    </w:p>
    <w:p>
      <w:pPr>
        <w:spacing w:after="0" w:line="6" w:lineRule="exact"/>
        <w:rPr>
          <w:sz w:val="20"/>
          <w:szCs w:val="20"/>
          <w:color w:val="auto"/>
        </w:rPr>
      </w:pPr>
    </w:p>
    <w:p>
      <w:pPr>
        <w:ind w:left="320"/>
        <w:spacing w:after="0"/>
        <w:rPr>
          <w:sz w:val="20"/>
          <w:szCs w:val="20"/>
          <w:color w:val="auto"/>
        </w:rPr>
      </w:pPr>
      <w:r>
        <w:rPr>
          <w:rFonts w:ascii="Arial" w:cs="Arial" w:eastAsia="Arial" w:hAnsi="Arial"/>
          <w:sz w:val="28"/>
          <w:szCs w:val="28"/>
          <w:color w:val="5F81AA"/>
        </w:rPr>
        <w:t>(2% of Revenue)</w:t>
      </w:r>
    </w:p>
    <w:p>
      <w:pPr>
        <w:spacing w:after="0" w:line="322" w:lineRule="exact"/>
        <w:rPr>
          <w:sz w:val="20"/>
          <w:szCs w:val="20"/>
          <w:color w:val="auto"/>
        </w:rPr>
      </w:pPr>
    </w:p>
    <w:tbl>
      <w:tblPr>
        <w:tblLayout w:type="fixed"/>
        <w:tblInd w:w="640" w:type="dxa"/>
        <w:tblCellMar>
          <w:top w:w="0" w:type="dxa"/>
          <w:left w:w="0" w:type="dxa"/>
          <w:bottom w:w="0" w:type="dxa"/>
          <w:right w:w="0" w:type="dxa"/>
        </w:tblCellMar>
      </w:tblPr>
      <w:tr>
        <w:trPr>
          <w:trHeight w:val="414"/>
        </w:trPr>
        <w:tc>
          <w:tcPr>
            <w:tcW w:w="1520" w:type="dxa"/>
            <w:vAlign w:val="bottom"/>
            <w:vMerge w:val="restart"/>
          </w:tcPr>
          <w:p>
            <w:pPr>
              <w:jc w:val="center"/>
              <w:ind w:right="110"/>
              <w:spacing w:after="0"/>
              <w:rPr>
                <w:sz w:val="20"/>
                <w:szCs w:val="20"/>
                <w:color w:val="auto"/>
              </w:rPr>
            </w:pPr>
            <w:r>
              <w:rPr>
                <w:rFonts w:ascii="Arial" w:cs="Arial" w:eastAsia="Arial" w:hAnsi="Arial"/>
                <w:sz w:val="19"/>
                <w:szCs w:val="19"/>
                <w:b w:val="1"/>
                <w:bCs w:val="1"/>
                <w:color w:val="auto"/>
              </w:rPr>
              <w:t>Reported</w:t>
            </w:r>
          </w:p>
        </w:tc>
        <w:tc>
          <w:tcPr>
            <w:tcW w:w="1880" w:type="dxa"/>
            <w:vAlign w:val="bottom"/>
          </w:tcPr>
          <w:p>
            <w:pPr>
              <w:jc w:val="center"/>
              <w:ind w:left="6"/>
              <w:spacing w:after="0"/>
              <w:rPr>
                <w:sz w:val="20"/>
                <w:szCs w:val="20"/>
                <w:color w:val="auto"/>
              </w:rPr>
            </w:pPr>
            <w:r>
              <w:rPr>
                <w:rFonts w:ascii="Arial" w:cs="Arial" w:eastAsia="Arial" w:hAnsi="Arial"/>
                <w:sz w:val="19"/>
                <w:szCs w:val="19"/>
                <w:b w:val="1"/>
                <w:bCs w:val="1"/>
                <w:color w:val="auto"/>
                <w:w w:val="98"/>
              </w:rPr>
              <w:t>Excluding</w:t>
            </w:r>
            <w:r>
              <w:rPr>
                <w:rFonts w:ascii="Arial" w:cs="Arial" w:eastAsia="Arial" w:hAnsi="Arial"/>
                <w:sz w:val="30"/>
                <w:szCs w:val="30"/>
                <w:b w:val="1"/>
                <w:bCs w:val="1"/>
                <w:color w:val="D47C18"/>
                <w:w w:val="98"/>
                <w:vertAlign w:val="superscript"/>
              </w:rPr>
              <w:t>(1)</w:t>
            </w:r>
          </w:p>
        </w:tc>
        <w:tc>
          <w:tcPr>
            <w:tcW w:w="4220" w:type="dxa"/>
            <w:vAlign w:val="bottom"/>
            <w:vMerge w:val="restart"/>
          </w:tcPr>
          <w:p>
            <w:pPr>
              <w:ind w:left="200"/>
              <w:spacing w:after="0"/>
              <w:rPr>
                <w:sz w:val="20"/>
                <w:szCs w:val="20"/>
                <w:color w:val="auto"/>
              </w:rPr>
            </w:pPr>
            <w:r>
              <w:rPr>
                <w:rFonts w:ascii="Arial" w:cs="Arial" w:eastAsia="Arial" w:hAnsi="Arial"/>
                <w:sz w:val="36"/>
                <w:szCs w:val="36"/>
                <w:b w:val="1"/>
                <w:bCs w:val="1"/>
                <w:color w:val="auto"/>
                <w:w w:val="99"/>
              </w:rPr>
              <w:t>Q4 Financial Highlights</w:t>
            </w:r>
          </w:p>
        </w:tc>
        <w:tc>
          <w:tcPr>
            <w:tcW w:w="0" w:type="dxa"/>
            <w:vAlign w:val="bottom"/>
          </w:tcPr>
          <w:p>
            <w:pPr>
              <w:spacing w:after="0"/>
              <w:rPr>
                <w:sz w:val="1"/>
                <w:szCs w:val="1"/>
                <w:color w:val="auto"/>
              </w:rPr>
            </w:pPr>
          </w:p>
        </w:tc>
      </w:tr>
      <w:tr>
        <w:trPr>
          <w:trHeight w:val="0"/>
        </w:trPr>
        <w:tc>
          <w:tcPr>
            <w:tcW w:w="1520" w:type="dxa"/>
            <w:vAlign w:val="bottom"/>
            <w:vMerge w:val="continue"/>
          </w:tcPr>
          <w:p>
            <w:pPr>
              <w:spacing w:after="0" w:line="20" w:lineRule="exact"/>
              <w:rPr>
                <w:sz w:val="1"/>
                <w:szCs w:val="1"/>
                <w:color w:val="auto"/>
              </w:rPr>
            </w:pPr>
          </w:p>
        </w:tc>
        <w:tc>
          <w:tcPr>
            <w:tcW w:w="1880" w:type="dxa"/>
            <w:vAlign w:val="bottom"/>
          </w:tcPr>
          <w:p>
            <w:pPr>
              <w:ind w:left="660"/>
              <w:spacing w:after="0" w:line="1" w:lineRule="exact"/>
              <w:rPr>
                <w:sz w:val="20"/>
                <w:szCs w:val="20"/>
                <w:color w:val="auto"/>
              </w:rPr>
            </w:pPr>
            <w:r>
              <w:rPr>
                <w:rFonts w:ascii="Arial" w:cs="Arial" w:eastAsia="Arial" w:hAnsi="Arial"/>
                <w:sz w:val="1"/>
                <w:szCs w:val="1"/>
                <w:b w:val="1"/>
                <w:bCs w:val="1"/>
                <w:color w:val="auto"/>
              </w:rPr>
              <w:t>Items</w:t>
            </w:r>
          </w:p>
        </w:tc>
        <w:tc>
          <w:tcPr>
            <w:tcW w:w="4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520" w:type="dxa"/>
            <w:vAlign w:val="bottom"/>
          </w:tcPr>
          <w:p>
            <w:pPr>
              <w:jc w:val="center"/>
              <w:ind w:right="90"/>
              <w:spacing w:after="0"/>
              <w:rPr>
                <w:sz w:val="20"/>
                <w:szCs w:val="20"/>
                <w:color w:val="auto"/>
              </w:rPr>
            </w:pPr>
            <w:r>
              <w:rPr>
                <w:rFonts w:ascii="Arial" w:cs="Arial" w:eastAsia="Arial" w:hAnsi="Arial"/>
                <w:sz w:val="19"/>
                <w:szCs w:val="19"/>
                <w:b w:val="1"/>
                <w:bCs w:val="1"/>
                <w:color w:val="auto"/>
                <w:w w:val="98"/>
              </w:rPr>
              <w:t>As</w:t>
            </w:r>
          </w:p>
        </w:tc>
        <w:tc>
          <w:tcPr>
            <w:tcW w:w="1880" w:type="dxa"/>
            <w:vAlign w:val="bottom"/>
          </w:tcPr>
          <w:p>
            <w:pPr>
              <w:ind w:left="260"/>
              <w:spacing w:after="0"/>
              <w:rPr>
                <w:sz w:val="20"/>
                <w:szCs w:val="20"/>
                <w:color w:val="auto"/>
              </w:rPr>
            </w:pPr>
            <w:r>
              <w:rPr>
                <w:rFonts w:ascii="Arial" w:cs="Arial" w:eastAsia="Arial" w:hAnsi="Arial"/>
                <w:sz w:val="19"/>
                <w:szCs w:val="19"/>
                <w:b w:val="1"/>
                <w:bCs w:val="1"/>
                <w:color w:val="auto"/>
              </w:rPr>
              <w:t>Non-recurring</w:t>
            </w:r>
          </w:p>
        </w:tc>
        <w:tc>
          <w:tcPr>
            <w:tcW w:w="4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8"/>
        </w:trPr>
        <w:tc>
          <w:tcPr>
            <w:tcW w:w="1520" w:type="dxa"/>
            <w:vAlign w:val="bottom"/>
          </w:tcPr>
          <w:p>
            <w:pPr>
              <w:jc w:val="center"/>
              <w:ind w:right="170"/>
              <w:spacing w:after="0"/>
              <w:rPr>
                <w:sz w:val="20"/>
                <w:szCs w:val="20"/>
                <w:color w:val="auto"/>
              </w:rPr>
            </w:pPr>
            <w:r>
              <w:rPr>
                <w:rFonts w:ascii="Arial" w:cs="Arial" w:eastAsia="Arial" w:hAnsi="Arial"/>
                <w:sz w:val="33"/>
                <w:szCs w:val="33"/>
                <w:color w:val="auto"/>
              </w:rPr>
              <w:t>33%</w:t>
            </w:r>
          </w:p>
        </w:tc>
        <w:tc>
          <w:tcPr>
            <w:tcW w:w="1880" w:type="dxa"/>
            <w:vAlign w:val="bottom"/>
          </w:tcPr>
          <w:p>
            <w:pPr>
              <w:ind w:left="680"/>
              <w:spacing w:after="0"/>
              <w:rPr>
                <w:sz w:val="20"/>
                <w:szCs w:val="20"/>
                <w:color w:val="auto"/>
              </w:rPr>
            </w:pPr>
            <w:r>
              <w:rPr>
                <w:rFonts w:ascii="Arial" w:cs="Arial" w:eastAsia="Arial" w:hAnsi="Arial"/>
                <w:sz w:val="33"/>
                <w:szCs w:val="33"/>
                <w:color w:val="auto"/>
              </w:rPr>
              <w:t>33%</w:t>
            </w:r>
          </w:p>
        </w:tc>
        <w:tc>
          <w:tcPr>
            <w:tcW w:w="4220" w:type="dxa"/>
            <w:vAlign w:val="bottom"/>
          </w:tcPr>
          <w:p>
            <w:pPr>
              <w:ind w:left="320"/>
              <w:spacing w:after="0"/>
              <w:rPr>
                <w:sz w:val="20"/>
                <w:szCs w:val="20"/>
                <w:color w:val="auto"/>
              </w:rPr>
            </w:pPr>
            <w:r>
              <w:rPr>
                <w:rFonts w:ascii="Arial" w:cs="Arial" w:eastAsia="Arial" w:hAnsi="Arial"/>
                <w:sz w:val="36"/>
                <w:szCs w:val="36"/>
                <w:b w:val="1"/>
                <w:bCs w:val="1"/>
                <w:color w:val="auto"/>
              </w:rPr>
              <w:t xml:space="preserve">Revenue </w:t>
            </w:r>
            <w:r>
              <w:rPr>
                <w:rFonts w:ascii="Arial" w:cs="Arial" w:eastAsia="Arial" w:hAnsi="Arial"/>
                <w:sz w:val="39"/>
                <w:szCs w:val="39"/>
                <w:b w:val="1"/>
                <w:bCs w:val="1"/>
                <w:color w:val="D47C18"/>
              </w:rPr>
              <w:t>$87M</w:t>
            </w:r>
          </w:p>
        </w:tc>
        <w:tc>
          <w:tcPr>
            <w:tcW w:w="0" w:type="dxa"/>
            <w:vAlign w:val="bottom"/>
          </w:tcPr>
          <w:p>
            <w:pPr>
              <w:spacing w:after="0"/>
              <w:rPr>
                <w:sz w:val="1"/>
                <w:szCs w:val="1"/>
                <w:color w:val="auto"/>
              </w:rPr>
            </w:pPr>
          </w:p>
        </w:tc>
      </w:tr>
      <w:tr>
        <w:trPr>
          <w:trHeight w:val="403"/>
        </w:trPr>
        <w:tc>
          <w:tcPr>
            <w:tcW w:w="1520" w:type="dxa"/>
            <w:vAlign w:val="bottom"/>
          </w:tcPr>
          <w:p>
            <w:pPr>
              <w:jc w:val="center"/>
              <w:ind w:right="130"/>
              <w:spacing w:after="0"/>
              <w:rPr>
                <w:sz w:val="20"/>
                <w:szCs w:val="20"/>
                <w:color w:val="auto"/>
              </w:rPr>
            </w:pPr>
            <w:r>
              <w:rPr>
                <w:rFonts w:ascii="Arial" w:cs="Arial" w:eastAsia="Arial" w:hAnsi="Arial"/>
                <w:sz w:val="33"/>
                <w:szCs w:val="33"/>
                <w:color w:val="auto"/>
              </w:rPr>
              <w:t>32% CC</w:t>
            </w:r>
          </w:p>
        </w:tc>
        <w:tc>
          <w:tcPr>
            <w:tcW w:w="1880" w:type="dxa"/>
            <w:vAlign w:val="bottom"/>
          </w:tcPr>
          <w:p>
            <w:pPr>
              <w:jc w:val="center"/>
              <w:ind w:left="106"/>
              <w:spacing w:after="0"/>
              <w:rPr>
                <w:sz w:val="20"/>
                <w:szCs w:val="20"/>
                <w:color w:val="auto"/>
              </w:rPr>
            </w:pPr>
            <w:r>
              <w:rPr>
                <w:rFonts w:ascii="Arial" w:cs="Arial" w:eastAsia="Arial" w:hAnsi="Arial"/>
                <w:sz w:val="33"/>
                <w:szCs w:val="33"/>
                <w:color w:val="auto"/>
              </w:rPr>
              <w:t>32% CC</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1520" w:type="dxa"/>
            <w:vAlign w:val="bottom"/>
          </w:tcPr>
          <w:p>
            <w:pPr>
              <w:jc w:val="center"/>
              <w:ind w:right="210"/>
              <w:spacing w:after="0"/>
              <w:rPr>
                <w:sz w:val="20"/>
                <w:szCs w:val="20"/>
                <w:color w:val="auto"/>
              </w:rPr>
            </w:pPr>
            <w:r>
              <w:rPr>
                <w:rFonts w:ascii="Arial" w:cs="Arial" w:eastAsia="Arial" w:hAnsi="Arial"/>
                <w:sz w:val="33"/>
                <w:szCs w:val="33"/>
                <w:color w:val="auto"/>
              </w:rPr>
              <w:t>N/A</w:t>
            </w:r>
          </w:p>
        </w:tc>
        <w:tc>
          <w:tcPr>
            <w:tcW w:w="1880" w:type="dxa"/>
            <w:vAlign w:val="bottom"/>
          </w:tcPr>
          <w:p>
            <w:pPr>
              <w:ind w:left="640"/>
              <w:spacing w:after="0"/>
              <w:rPr>
                <w:sz w:val="20"/>
                <w:szCs w:val="20"/>
                <w:color w:val="auto"/>
              </w:rPr>
            </w:pPr>
            <w:r>
              <w:rPr>
                <w:rFonts w:ascii="Arial" w:cs="Arial" w:eastAsia="Arial" w:hAnsi="Arial"/>
                <w:sz w:val="33"/>
                <w:szCs w:val="33"/>
                <w:color w:val="auto"/>
              </w:rPr>
              <w:t>N/A</w:t>
            </w:r>
          </w:p>
        </w:tc>
        <w:tc>
          <w:tcPr>
            <w:tcW w:w="4220" w:type="dxa"/>
            <w:vAlign w:val="bottom"/>
            <w:vMerge w:val="restart"/>
          </w:tcPr>
          <w:p>
            <w:pPr>
              <w:ind w:left="340"/>
              <w:spacing w:after="0"/>
              <w:rPr>
                <w:sz w:val="20"/>
                <w:szCs w:val="20"/>
                <w:color w:val="auto"/>
              </w:rPr>
            </w:pPr>
            <w:r>
              <w:rPr>
                <w:rFonts w:ascii="Arial" w:cs="Arial" w:eastAsia="Arial" w:hAnsi="Arial"/>
                <w:sz w:val="36"/>
                <w:szCs w:val="36"/>
                <w:b w:val="1"/>
                <w:bCs w:val="1"/>
                <w:color w:val="auto"/>
              </w:rPr>
              <w:t>OUP</w:t>
            </w:r>
            <w:r>
              <w:rPr>
                <w:rFonts w:ascii="Arial" w:cs="Arial" w:eastAsia="Arial" w:hAnsi="Arial"/>
                <w:sz w:val="39"/>
                <w:szCs w:val="39"/>
                <w:b w:val="1"/>
                <w:bCs w:val="1"/>
                <w:color w:val="D47C18"/>
              </w:rPr>
              <w:t>($17M)</w:t>
            </w:r>
          </w:p>
        </w:tc>
        <w:tc>
          <w:tcPr>
            <w:tcW w:w="0" w:type="dxa"/>
            <w:vAlign w:val="bottom"/>
          </w:tcPr>
          <w:p>
            <w:pPr>
              <w:spacing w:after="0"/>
              <w:rPr>
                <w:sz w:val="1"/>
                <w:szCs w:val="1"/>
                <w:color w:val="auto"/>
              </w:rPr>
            </w:pPr>
          </w:p>
        </w:tc>
      </w:tr>
      <w:tr>
        <w:trPr>
          <w:trHeight w:val="225"/>
        </w:trPr>
        <w:tc>
          <w:tcPr>
            <w:tcW w:w="1520" w:type="dxa"/>
            <w:vAlign w:val="bottom"/>
            <w:vMerge w:val="restart"/>
          </w:tcPr>
          <w:p>
            <w:pPr>
              <w:jc w:val="center"/>
              <w:ind w:right="210"/>
              <w:spacing w:after="0"/>
              <w:rPr>
                <w:sz w:val="20"/>
                <w:szCs w:val="20"/>
                <w:color w:val="auto"/>
              </w:rPr>
            </w:pPr>
            <w:r>
              <w:rPr>
                <w:rFonts w:ascii="Arial" w:cs="Arial" w:eastAsia="Arial" w:hAnsi="Arial"/>
                <w:sz w:val="33"/>
                <w:szCs w:val="33"/>
                <w:color w:val="auto"/>
              </w:rPr>
              <w:t>N/A</w:t>
            </w:r>
          </w:p>
        </w:tc>
        <w:tc>
          <w:tcPr>
            <w:tcW w:w="1880" w:type="dxa"/>
            <w:vAlign w:val="bottom"/>
            <w:vMerge w:val="restart"/>
          </w:tcPr>
          <w:p>
            <w:pPr>
              <w:ind w:left="640"/>
              <w:spacing w:after="0"/>
              <w:rPr>
                <w:sz w:val="20"/>
                <w:szCs w:val="20"/>
                <w:color w:val="auto"/>
              </w:rPr>
            </w:pPr>
            <w:r>
              <w:rPr>
                <w:rFonts w:ascii="Arial" w:cs="Arial" w:eastAsia="Arial" w:hAnsi="Arial"/>
                <w:sz w:val="33"/>
                <w:szCs w:val="33"/>
                <w:color w:val="auto"/>
              </w:rPr>
              <w:t>N/A</w:t>
            </w:r>
          </w:p>
        </w:tc>
        <w:tc>
          <w:tcPr>
            <w:tcW w:w="4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52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4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7"/>
        </w:trPr>
        <w:tc>
          <w:tcPr>
            <w:tcW w:w="1520" w:type="dxa"/>
            <w:vAlign w:val="bottom"/>
          </w:tcPr>
          <w:p>
            <w:pPr>
              <w:jc w:val="center"/>
              <w:ind w:right="70"/>
              <w:spacing w:after="0"/>
              <w:rPr>
                <w:sz w:val="20"/>
                <w:szCs w:val="20"/>
                <w:color w:val="auto"/>
              </w:rPr>
            </w:pPr>
            <w:r>
              <w:rPr>
                <w:rFonts w:ascii="Arial" w:cs="Arial" w:eastAsia="Arial" w:hAnsi="Arial"/>
                <w:sz w:val="33"/>
                <w:szCs w:val="33"/>
                <w:color w:val="auto"/>
              </w:rPr>
              <w:t>3540</w:t>
            </w:r>
          </w:p>
        </w:tc>
        <w:tc>
          <w:tcPr>
            <w:tcW w:w="1880" w:type="dxa"/>
            <w:vAlign w:val="bottom"/>
          </w:tcPr>
          <w:p>
            <w:pPr>
              <w:ind w:left="620"/>
              <w:spacing w:after="0"/>
              <w:rPr>
                <w:sz w:val="20"/>
                <w:szCs w:val="20"/>
                <w:color w:val="auto"/>
              </w:rPr>
            </w:pPr>
            <w:r>
              <w:rPr>
                <w:rFonts w:ascii="Arial" w:cs="Arial" w:eastAsia="Arial" w:hAnsi="Arial"/>
                <w:sz w:val="33"/>
                <w:szCs w:val="33"/>
                <w:color w:val="auto"/>
              </w:rPr>
              <w:t>1600</w:t>
            </w:r>
          </w:p>
        </w:tc>
        <w:tc>
          <w:tcPr>
            <w:tcW w:w="4220" w:type="dxa"/>
            <w:vAlign w:val="bottom"/>
          </w:tcPr>
          <w:p>
            <w:pPr>
              <w:ind w:left="340"/>
              <w:spacing w:after="0"/>
              <w:rPr>
                <w:sz w:val="20"/>
                <w:szCs w:val="20"/>
                <w:color w:val="auto"/>
              </w:rPr>
            </w:pPr>
            <w:r>
              <w:rPr>
                <w:rFonts w:ascii="Arial" w:cs="Arial" w:eastAsia="Arial" w:hAnsi="Arial"/>
                <w:sz w:val="36"/>
                <w:szCs w:val="36"/>
                <w:b w:val="1"/>
                <w:bCs w:val="1"/>
                <w:color w:val="auto"/>
              </w:rPr>
              <w:t xml:space="preserve">OUP Margin </w:t>
            </w:r>
            <w:r>
              <w:rPr>
                <w:rFonts w:ascii="Arial" w:cs="Arial" w:eastAsia="Arial" w:hAnsi="Arial"/>
                <w:sz w:val="39"/>
                <w:szCs w:val="39"/>
                <w:b w:val="1"/>
                <w:bCs w:val="1"/>
                <w:color w:val="D47C18"/>
              </w:rPr>
              <w:t>(19%)</w:t>
            </w:r>
          </w:p>
        </w:tc>
        <w:tc>
          <w:tcPr>
            <w:tcW w:w="0" w:type="dxa"/>
            <w:vAlign w:val="bottom"/>
          </w:tcPr>
          <w:p>
            <w:pPr>
              <w:spacing w:after="0"/>
              <w:rPr>
                <w:sz w:val="1"/>
                <w:szCs w:val="1"/>
                <w:color w:val="auto"/>
              </w:rPr>
            </w:pPr>
          </w:p>
        </w:tc>
      </w:tr>
      <w:tr>
        <w:trPr>
          <w:trHeight w:val="403"/>
        </w:trPr>
        <w:tc>
          <w:tcPr>
            <w:tcW w:w="1520" w:type="dxa"/>
            <w:vAlign w:val="bottom"/>
          </w:tcPr>
          <w:p>
            <w:pPr>
              <w:jc w:val="center"/>
              <w:ind w:right="70"/>
              <w:spacing w:after="0"/>
              <w:rPr>
                <w:sz w:val="20"/>
                <w:szCs w:val="20"/>
                <w:color w:val="auto"/>
              </w:rPr>
            </w:pPr>
            <w:r>
              <w:rPr>
                <w:rFonts w:ascii="Arial" w:cs="Arial" w:eastAsia="Arial" w:hAnsi="Arial"/>
                <w:sz w:val="33"/>
                <w:szCs w:val="33"/>
                <w:color w:val="auto"/>
              </w:rPr>
              <w:t>bps</w:t>
            </w:r>
          </w:p>
        </w:tc>
        <w:tc>
          <w:tcPr>
            <w:tcW w:w="1880" w:type="dxa"/>
            <w:vAlign w:val="bottom"/>
          </w:tcPr>
          <w:p>
            <w:pPr>
              <w:jc w:val="center"/>
              <w:spacing w:after="0"/>
              <w:rPr>
                <w:sz w:val="20"/>
                <w:szCs w:val="20"/>
                <w:color w:val="auto"/>
              </w:rPr>
            </w:pPr>
            <w:r>
              <w:rPr>
                <w:rFonts w:ascii="Arial" w:cs="Arial" w:eastAsia="Arial" w:hAnsi="Arial"/>
                <w:sz w:val="33"/>
                <w:szCs w:val="33"/>
                <w:color w:val="auto"/>
              </w:rPr>
              <w:t>bps</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520" w:hanging="185"/>
        <w:spacing w:after="0"/>
        <w:tabs>
          <w:tab w:leader="none" w:pos="52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Excludes the impact of the reorganization charges of $16.8M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675005</wp:posOffset>
            </wp:positionV>
            <wp:extent cx="728345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9080"/>
          </w:cols>
          <w:pgMar w:left="1440" w:top="465" w:right="1379" w:bottom="1440" w:gutter="0" w:footer="0" w:header="0"/>
        </w:sectPr>
      </w:pPr>
    </w:p>
    <w:bookmarkStart w:id="25" w:name="page26"/>
    <w:bookmarkEnd w:id="25"/>
    <w:p>
      <w:pPr>
        <w:ind w:left="1260"/>
        <w:spacing w:after="0"/>
        <w:tabs>
          <w:tab w:leader="none" w:pos="7680" w:val="left"/>
          <w:tab w:leader="none" w:pos="8900" w:val="left"/>
        </w:tabs>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599440</wp:posOffset>
            </wp:positionH>
            <wp:positionV relativeFrom="page">
              <wp:posOffset>161925</wp:posOffset>
            </wp:positionV>
            <wp:extent cx="6369050" cy="47764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15</w:t>
      </w:r>
    </w:p>
    <w:p>
      <w:pPr>
        <w:sectPr>
          <w:pgSz w:w="11900" w:h="16838" w:orient="portrait"/>
          <w:cols w:equalWidth="0" w:num="1">
            <w:col w:w="9080"/>
          </w:cols>
          <w:pgMar w:left="1440" w:top="465" w:right="137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260"/>
        <w:spacing w:after="0"/>
        <w:rPr>
          <w:sz w:val="20"/>
          <w:szCs w:val="20"/>
          <w:color w:val="auto"/>
        </w:rPr>
      </w:pPr>
      <w:r>
        <w:rPr>
          <w:rFonts w:ascii="Arial" w:cs="Arial" w:eastAsia="Arial" w:hAnsi="Arial"/>
          <w:sz w:val="35"/>
          <w:szCs w:val="35"/>
          <w:color w:val="5F81AA"/>
        </w:rPr>
        <w:t>Cash Flow Summary - Full Year</w:t>
      </w:r>
    </w:p>
    <w:p>
      <w:pPr>
        <w:spacing w:after="0" w:line="367" w:lineRule="exact"/>
        <w:rPr>
          <w:sz w:val="20"/>
          <w:szCs w:val="20"/>
          <w:color w:val="auto"/>
        </w:rPr>
      </w:pPr>
    </w:p>
    <w:p>
      <w:pPr>
        <w:ind w:left="160"/>
        <w:spacing w:after="0"/>
        <w:rPr>
          <w:sz w:val="20"/>
          <w:szCs w:val="20"/>
          <w:color w:val="auto"/>
        </w:rPr>
      </w:pPr>
      <w:r>
        <w:rPr>
          <w:rFonts w:ascii="Arial" w:cs="Arial" w:eastAsia="Arial" w:hAnsi="Arial"/>
          <w:sz w:val="25"/>
          <w:szCs w:val="25"/>
          <w:color w:val="D47C18"/>
        </w:rPr>
        <w:t>($ in millions)</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auto"/>
        </w:rPr>
        <w:t>Cash from Operations</w:t>
      </w:r>
    </w:p>
    <w:p>
      <w:pPr>
        <w:spacing w:after="0" w:line="96" w:lineRule="exact"/>
        <w:rPr>
          <w:sz w:val="20"/>
          <w:szCs w:val="20"/>
          <w:color w:val="auto"/>
        </w:rPr>
      </w:pPr>
    </w:p>
    <w:p>
      <w:pPr>
        <w:ind w:left="1160"/>
        <w:spacing w:after="0"/>
        <w:rPr>
          <w:sz w:val="20"/>
          <w:szCs w:val="20"/>
          <w:color w:val="auto"/>
        </w:rPr>
      </w:pPr>
      <w:r>
        <w:rPr>
          <w:rFonts w:ascii="Arial" w:cs="Arial" w:eastAsia="Arial" w:hAnsi="Arial"/>
          <w:sz w:val="28"/>
          <w:szCs w:val="28"/>
          <w:b w:val="1"/>
          <w:bCs w:val="1"/>
          <w:color w:val="auto"/>
        </w:rPr>
        <w:t>Capital</w:t>
      </w:r>
    </w:p>
    <w:p>
      <w:pPr>
        <w:jc w:val="center"/>
        <w:ind w:right="2120"/>
        <w:spacing w:after="0" w:line="189" w:lineRule="auto"/>
        <w:rPr>
          <w:sz w:val="20"/>
          <w:szCs w:val="20"/>
          <w:color w:val="auto"/>
        </w:rPr>
      </w:pPr>
      <w:r>
        <w:rPr>
          <w:rFonts w:ascii="Arial" w:cs="Arial" w:eastAsia="Arial" w:hAnsi="Arial"/>
          <w:sz w:val="12"/>
          <w:szCs w:val="12"/>
          <w:b w:val="1"/>
          <w:bCs w:val="1"/>
          <w:color w:val="auto"/>
        </w:rPr>
        <w:t>Expenditures</w:t>
      </w:r>
    </w:p>
    <w:p>
      <w:pPr>
        <w:jc w:val="center"/>
        <w:ind w:right="2120"/>
        <w:spacing w:after="0"/>
        <w:rPr>
          <w:sz w:val="20"/>
          <w:szCs w:val="20"/>
          <w:color w:val="auto"/>
        </w:rPr>
      </w:pPr>
      <w:r>
        <w:rPr>
          <w:rFonts w:ascii="Arial" w:cs="Arial" w:eastAsia="Arial" w:hAnsi="Arial"/>
          <w:sz w:val="28"/>
          <w:szCs w:val="28"/>
          <w:b w:val="1"/>
          <w:bCs w:val="1"/>
          <w:color w:val="auto"/>
        </w:rPr>
        <w:t>Free Cash Flow</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28"/>
          <w:szCs w:val="28"/>
          <w:b w:val="1"/>
          <w:bCs w:val="1"/>
          <w:color w:val="auto"/>
        </w:rPr>
        <w:t>Change in</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auto"/>
        </w:rPr>
        <w:t>AcquisitionsDebt of</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auto"/>
        </w:rPr>
        <w:t>Businesses,netofcash acquired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auto"/>
        </w:rPr>
        <w:t>Share Repurchases</w:t>
      </w:r>
    </w:p>
    <w:p>
      <w:pPr>
        <w:spacing w:after="0" w:line="117" w:lineRule="exact"/>
        <w:rPr>
          <w:sz w:val="20"/>
          <w:szCs w:val="20"/>
          <w:color w:val="auto"/>
        </w:rPr>
      </w:pPr>
    </w:p>
    <w:p>
      <w:pPr>
        <w:ind w:left="240" w:right="660"/>
        <w:spacing w:after="0" w:line="303" w:lineRule="auto"/>
        <w:rPr>
          <w:sz w:val="20"/>
          <w:szCs w:val="20"/>
          <w:color w:val="auto"/>
        </w:rPr>
      </w:pPr>
      <w:r>
        <w:rPr>
          <w:rFonts w:ascii="Arial" w:cs="Arial" w:eastAsia="Arial" w:hAnsi="Arial"/>
          <w:sz w:val="28"/>
          <w:szCs w:val="28"/>
          <w:b w:val="1"/>
          <w:bCs w:val="1"/>
          <w:color w:val="auto"/>
        </w:rPr>
        <w:t>Effect of Exchange Rate Changes Other</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28"/>
          <w:szCs w:val="28"/>
          <w:b w:val="1"/>
          <w:bCs w:val="1"/>
          <w:color w:val="auto"/>
        </w:rPr>
        <w:t>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1022350</wp:posOffset>
            </wp:positionV>
            <wp:extent cx="728345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1620" w:val="left"/>
        </w:tabs>
        <w:rPr>
          <w:sz w:val="20"/>
          <w:szCs w:val="20"/>
          <w:color w:val="auto"/>
        </w:rPr>
      </w:pPr>
      <w:r>
        <w:rPr>
          <w:rFonts w:ascii="Arial" w:cs="Arial" w:eastAsia="Arial" w:hAnsi="Arial"/>
          <w:sz w:val="28"/>
          <w:szCs w:val="28"/>
          <w:b w:val="1"/>
          <w:bCs w:val="1"/>
          <w:color w:val="D47C18"/>
        </w:rPr>
        <w:t>2010</w:t>
      </w:r>
      <w:r>
        <w:rPr>
          <w:sz w:val="20"/>
          <w:szCs w:val="20"/>
          <w:color w:val="auto"/>
        </w:rPr>
        <w:tab/>
      </w:r>
      <w:r>
        <w:rPr>
          <w:rFonts w:ascii="Arial" w:cs="Arial" w:eastAsia="Arial" w:hAnsi="Arial"/>
          <w:sz w:val="28"/>
          <w:szCs w:val="28"/>
          <w:b w:val="1"/>
          <w:bCs w:val="1"/>
          <w:color w:val="D47C18"/>
        </w:rPr>
        <w:t>2009</w:t>
      </w:r>
    </w:p>
    <w:p>
      <w:pPr>
        <w:spacing w:after="0" w:line="223" w:lineRule="exact"/>
        <w:rPr>
          <w:sz w:val="20"/>
          <w:szCs w:val="20"/>
          <w:color w:val="auto"/>
        </w:rPr>
      </w:pPr>
    </w:p>
    <w:p>
      <w:pPr>
        <w:ind w:left="1780" w:hanging="1676"/>
        <w:spacing w:after="0"/>
        <w:tabs>
          <w:tab w:leader="none" w:pos="1780" w:val="left"/>
        </w:tabs>
        <w:numPr>
          <w:ilvl w:val="0"/>
          <w:numId w:val="15"/>
        </w:numPr>
        <w:rPr>
          <w:rFonts w:ascii="Arial" w:cs="Arial" w:eastAsia="Arial" w:hAnsi="Arial"/>
          <w:sz w:val="31"/>
          <w:szCs w:val="31"/>
          <w:b w:val="1"/>
          <w:bCs w:val="1"/>
          <w:color w:val="auto"/>
        </w:rPr>
      </w:pPr>
      <w:r>
        <w:rPr>
          <w:rFonts w:ascii="Arial" w:cs="Arial" w:eastAsia="Arial" w:hAnsi="Arial"/>
          <w:sz w:val="31"/>
          <w:szCs w:val="31"/>
          <w:b w:val="1"/>
          <w:bCs w:val="1"/>
          <w:color w:val="auto"/>
        </w:rPr>
        <w:t>414</w:t>
      </w:r>
    </w:p>
    <w:p>
      <w:pPr>
        <w:spacing w:after="0" w:line="26" w:lineRule="exact"/>
        <w:rPr>
          <w:rFonts w:ascii="Arial" w:cs="Arial" w:eastAsia="Arial" w:hAnsi="Arial"/>
          <w:sz w:val="31"/>
          <w:szCs w:val="31"/>
          <w:b w:val="1"/>
          <w:bCs w:val="1"/>
          <w:color w:val="auto"/>
        </w:rPr>
      </w:pPr>
    </w:p>
    <w:p>
      <w:pPr>
        <w:ind w:left="1820" w:hanging="1675"/>
        <w:spacing w:after="0"/>
        <w:tabs>
          <w:tab w:leader="none" w:pos="1820" w:val="left"/>
        </w:tabs>
        <w:numPr>
          <w:ilvl w:val="1"/>
          <w:numId w:val="15"/>
        </w:numPr>
        <w:rPr>
          <w:rFonts w:ascii="Arial" w:cs="Arial" w:eastAsia="Arial" w:hAnsi="Arial"/>
          <w:sz w:val="31"/>
          <w:szCs w:val="31"/>
          <w:b w:val="1"/>
          <w:bCs w:val="1"/>
          <w:color w:val="auto"/>
        </w:rPr>
      </w:pPr>
      <w:r>
        <w:rPr>
          <w:rFonts w:ascii="Arial" w:cs="Arial" w:eastAsia="Arial" w:hAnsi="Arial"/>
          <w:sz w:val="31"/>
          <w:szCs w:val="31"/>
          <w:b w:val="1"/>
          <w:bCs w:val="1"/>
          <w:color w:val="auto"/>
        </w:rPr>
        <w:t>(35)</w:t>
      </w:r>
    </w:p>
    <w:p>
      <w:pPr>
        <w:spacing w:after="0" w:line="76" w:lineRule="exact"/>
        <w:rPr>
          <w:sz w:val="20"/>
          <w:szCs w:val="20"/>
          <w:color w:val="auto"/>
        </w:rPr>
      </w:pPr>
    </w:p>
    <w:p>
      <w:pPr>
        <w:ind w:left="1800" w:hanging="1696"/>
        <w:spacing w:after="0"/>
        <w:tabs>
          <w:tab w:leader="none" w:pos="1800" w:val="left"/>
        </w:tabs>
        <w:numPr>
          <w:ilvl w:val="0"/>
          <w:numId w:val="16"/>
        </w:numPr>
        <w:rPr>
          <w:rFonts w:ascii="Arial" w:cs="Arial" w:eastAsia="Arial" w:hAnsi="Arial"/>
          <w:sz w:val="31"/>
          <w:szCs w:val="31"/>
          <w:b w:val="1"/>
          <w:bCs w:val="1"/>
          <w:color w:val="auto"/>
        </w:rPr>
      </w:pPr>
      <w:r>
        <w:rPr>
          <w:rFonts w:ascii="Arial" w:cs="Arial" w:eastAsia="Arial" w:hAnsi="Arial"/>
          <w:sz w:val="31"/>
          <w:szCs w:val="31"/>
          <w:b w:val="1"/>
          <w:bCs w:val="1"/>
          <w:color w:val="auto"/>
        </w:rPr>
        <w:t>379</w:t>
      </w:r>
    </w:p>
    <w:p>
      <w:pPr>
        <w:spacing w:after="0" w:line="145" w:lineRule="exact"/>
        <w:rPr>
          <w:rFonts w:ascii="Arial" w:cs="Arial" w:eastAsia="Arial" w:hAnsi="Arial"/>
          <w:sz w:val="31"/>
          <w:szCs w:val="31"/>
          <w:b w:val="1"/>
          <w:bCs w:val="1"/>
          <w:color w:val="auto"/>
        </w:rPr>
      </w:pPr>
    </w:p>
    <w:p>
      <w:pPr>
        <w:ind w:left="1780" w:hanging="1584"/>
        <w:spacing w:after="0"/>
        <w:tabs>
          <w:tab w:leader="none" w:pos="1780" w:val="left"/>
        </w:tabs>
        <w:numPr>
          <w:ilvl w:val="1"/>
          <w:numId w:val="16"/>
        </w:numPr>
        <w:rPr>
          <w:rFonts w:ascii="Arial" w:cs="Arial" w:eastAsia="Arial" w:hAnsi="Arial"/>
          <w:sz w:val="29"/>
          <w:szCs w:val="29"/>
          <w:b w:val="1"/>
          <w:bCs w:val="1"/>
          <w:color w:val="auto"/>
        </w:rPr>
      </w:pPr>
      <w:r>
        <w:rPr>
          <w:rFonts w:ascii="Arial" w:cs="Arial" w:eastAsia="Arial" w:hAnsi="Arial"/>
          <w:sz w:val="29"/>
          <w:szCs w:val="29"/>
          <w:b w:val="1"/>
          <w:bCs w:val="1"/>
          <w:color w:val="auto"/>
        </w:rPr>
        <w:t>(227)</w:t>
      </w:r>
    </w:p>
    <w:p>
      <w:pPr>
        <w:spacing w:after="0" w:line="304" w:lineRule="exact"/>
        <w:rPr>
          <w:sz w:val="20"/>
          <w:szCs w:val="20"/>
          <w:color w:val="auto"/>
        </w:rPr>
      </w:pPr>
    </w:p>
    <w:p>
      <w:pPr>
        <w:ind w:left="1820" w:hanging="1659"/>
        <w:spacing w:after="0"/>
        <w:tabs>
          <w:tab w:leader="none" w:pos="1820" w:val="left"/>
        </w:tabs>
        <w:numPr>
          <w:ilvl w:val="0"/>
          <w:numId w:val="17"/>
        </w:numPr>
        <w:rPr>
          <w:rFonts w:ascii="Arial" w:cs="Arial" w:eastAsia="Arial" w:hAnsi="Arial"/>
          <w:sz w:val="31"/>
          <w:szCs w:val="31"/>
          <w:b w:val="1"/>
          <w:bCs w:val="1"/>
          <w:color w:val="auto"/>
        </w:rPr>
      </w:pPr>
      <w:r>
        <w:rPr>
          <w:rFonts w:ascii="Arial" w:cs="Arial" w:eastAsia="Arial" w:hAnsi="Arial"/>
          <w:sz w:val="31"/>
          <w:szCs w:val="31"/>
          <w:b w:val="1"/>
          <w:bCs w:val="1"/>
          <w:color w:val="auto"/>
        </w:rPr>
        <w:t>(22)</w:t>
      </w:r>
    </w:p>
    <w:p>
      <w:pPr>
        <w:spacing w:after="0" w:line="82" w:lineRule="exact"/>
        <w:rPr>
          <w:rFonts w:ascii="Arial" w:cs="Arial" w:eastAsia="Arial" w:hAnsi="Arial"/>
          <w:sz w:val="31"/>
          <w:szCs w:val="31"/>
          <w:b w:val="1"/>
          <w:bCs w:val="1"/>
          <w:color w:val="auto"/>
        </w:rPr>
      </w:pPr>
    </w:p>
    <w:p>
      <w:pPr>
        <w:ind w:left="2100" w:hanging="1945"/>
        <w:spacing w:after="0"/>
        <w:tabs>
          <w:tab w:leader="none" w:pos="2100" w:val="left"/>
        </w:tabs>
        <w:numPr>
          <w:ilvl w:val="0"/>
          <w:numId w:val="18"/>
        </w:numPr>
        <w:rPr>
          <w:rFonts w:ascii="Arial" w:cs="Arial" w:eastAsia="Arial" w:hAnsi="Arial"/>
          <w:sz w:val="31"/>
          <w:szCs w:val="31"/>
          <w:b w:val="1"/>
          <w:bCs w:val="1"/>
          <w:color w:val="auto"/>
        </w:rPr>
      </w:pPr>
      <w:r>
        <w:rPr>
          <w:rFonts w:ascii="Arial" w:cs="Arial" w:eastAsia="Arial" w:hAnsi="Arial"/>
          <w:sz w:val="31"/>
          <w:szCs w:val="31"/>
          <w:b w:val="1"/>
          <w:bCs w:val="1"/>
          <w:color w:val="auto"/>
        </w:rPr>
        <w:t>-</w:t>
      </w:r>
    </w:p>
    <w:p>
      <w:pPr>
        <w:spacing w:after="0" w:line="71" w:lineRule="exact"/>
        <w:rPr>
          <w:rFonts w:ascii="Arial" w:cs="Arial" w:eastAsia="Arial" w:hAnsi="Arial"/>
          <w:sz w:val="31"/>
          <w:szCs w:val="31"/>
          <w:b w:val="1"/>
          <w:bCs w:val="1"/>
          <w:color w:val="auto"/>
        </w:rPr>
      </w:pPr>
    </w:p>
    <w:p>
      <w:pPr>
        <w:ind w:left="1920" w:hanging="1754"/>
        <w:spacing w:after="0"/>
        <w:tabs>
          <w:tab w:leader="none" w:pos="1920" w:val="left"/>
        </w:tabs>
        <w:numPr>
          <w:ilvl w:val="1"/>
          <w:numId w:val="18"/>
        </w:numPr>
        <w:rPr>
          <w:rFonts w:ascii="Arial" w:cs="Arial" w:eastAsia="Arial" w:hAnsi="Arial"/>
          <w:sz w:val="31"/>
          <w:szCs w:val="31"/>
          <w:b w:val="1"/>
          <w:bCs w:val="1"/>
          <w:color w:val="auto"/>
        </w:rPr>
      </w:pPr>
      <w:r>
        <w:rPr>
          <w:rFonts w:ascii="Arial" w:cs="Arial" w:eastAsia="Arial" w:hAnsi="Arial"/>
          <w:sz w:val="31"/>
          <w:szCs w:val="31"/>
          <w:b w:val="1"/>
          <w:bCs w:val="1"/>
          <w:color w:val="auto"/>
        </w:rPr>
        <w:t>37</w:t>
      </w:r>
    </w:p>
    <w:p>
      <w:pPr>
        <w:spacing w:after="0" w:line="57" w:lineRule="exact"/>
        <w:rPr>
          <w:rFonts w:ascii="Arial" w:cs="Arial" w:eastAsia="Arial" w:hAnsi="Arial"/>
          <w:sz w:val="31"/>
          <w:szCs w:val="31"/>
          <w:b w:val="1"/>
          <w:bCs w:val="1"/>
          <w:color w:val="auto"/>
        </w:rPr>
      </w:pPr>
    </w:p>
    <w:p>
      <w:pPr>
        <w:ind w:left="1820" w:hanging="1572"/>
        <w:spacing w:after="0"/>
        <w:tabs>
          <w:tab w:leader="none" w:pos="1820" w:val="left"/>
        </w:tabs>
        <w:numPr>
          <w:ilvl w:val="2"/>
          <w:numId w:val="18"/>
        </w:numPr>
        <w:rPr>
          <w:rFonts w:ascii="Arial" w:cs="Arial" w:eastAsia="Arial" w:hAnsi="Arial"/>
          <w:sz w:val="31"/>
          <w:szCs w:val="31"/>
          <w:b w:val="1"/>
          <w:bCs w:val="1"/>
          <w:color w:val="auto"/>
        </w:rPr>
      </w:pPr>
      <w:r>
        <w:rPr>
          <w:rFonts w:ascii="Arial" w:cs="Arial" w:eastAsia="Arial" w:hAnsi="Arial"/>
          <w:sz w:val="31"/>
          <w:szCs w:val="31"/>
          <w:b w:val="1"/>
          <w:bCs w:val="1"/>
          <w:color w:val="auto"/>
        </w:rPr>
        <w:t>(26)</w:t>
      </w:r>
    </w:p>
    <w:p>
      <w:pPr>
        <w:spacing w:after="0" w:line="107" w:lineRule="exact"/>
        <w:rPr>
          <w:sz w:val="20"/>
          <w:szCs w:val="20"/>
          <w:color w:val="auto"/>
        </w:rPr>
      </w:pPr>
    </w:p>
    <w:p>
      <w:pPr>
        <w:ind w:left="1780" w:hanging="1771"/>
        <w:spacing w:after="0"/>
        <w:tabs>
          <w:tab w:leader="none" w:pos="1780" w:val="left"/>
        </w:tabs>
        <w:numPr>
          <w:ilvl w:val="0"/>
          <w:numId w:val="19"/>
        </w:numPr>
        <w:rPr>
          <w:rFonts w:ascii="Arial" w:cs="Arial" w:eastAsia="Arial" w:hAnsi="Arial"/>
          <w:sz w:val="31"/>
          <w:szCs w:val="31"/>
          <w:b w:val="1"/>
          <w:bCs w:val="1"/>
          <w:color w:val="auto"/>
        </w:rPr>
      </w:pPr>
      <w:r>
        <w:rPr>
          <w:rFonts w:ascii="Arial" w:cs="Arial" w:eastAsia="Arial" w:hAnsi="Arial"/>
          <w:sz w:val="31"/>
          <w:szCs w:val="31"/>
          <w:b w:val="1"/>
          <w:bCs w:val="1"/>
          <w:color w:val="auto"/>
        </w:rPr>
        <w:t>141</w:t>
      </w:r>
    </w:p>
    <w:p>
      <w:pPr>
        <w:sectPr>
          <w:pgSz w:w="11900" w:h="16838" w:orient="portrait"/>
          <w:cols w:equalWidth="0" w:num="2">
            <w:col w:w="5340" w:space="220"/>
            <w:col w:w="3520"/>
          </w:cols>
          <w:pgMar w:left="1440" w:top="465" w:right="1379" w:bottom="1440" w:gutter="0" w:footer="0" w:header="0"/>
          <w:type w:val="continuous"/>
        </w:sectPr>
      </w:pPr>
    </w:p>
    <w:bookmarkStart w:id="26" w:name="page27"/>
    <w:bookmarkEnd w:id="26"/>
    <w:p>
      <w:pPr>
        <w:ind w:left="1580"/>
        <w:spacing w:after="0"/>
        <w:tabs>
          <w:tab w:leader="none" w:pos="8000" w:val="left"/>
          <w:tab w:leader="none" w:pos="9220" w:val="left"/>
        </w:tabs>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599440</wp:posOffset>
            </wp:positionH>
            <wp:positionV relativeFrom="page">
              <wp:posOffset>161925</wp:posOffset>
            </wp:positionV>
            <wp:extent cx="6369050" cy="47764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16</w:t>
      </w:r>
    </w:p>
    <w:p>
      <w:pPr>
        <w:spacing w:after="0" w:line="249" w:lineRule="exact"/>
        <w:rPr>
          <w:sz w:val="20"/>
          <w:szCs w:val="20"/>
          <w:color w:val="auto"/>
        </w:rPr>
      </w:pPr>
    </w:p>
    <w:p>
      <w:pPr>
        <w:ind w:left="580"/>
        <w:spacing w:after="0"/>
        <w:rPr>
          <w:sz w:val="20"/>
          <w:szCs w:val="20"/>
          <w:color w:val="auto"/>
        </w:rPr>
      </w:pPr>
      <w:r>
        <w:rPr>
          <w:rFonts w:ascii="Arial" w:cs="Arial" w:eastAsia="Arial" w:hAnsi="Arial"/>
          <w:sz w:val="36"/>
          <w:szCs w:val="36"/>
          <w:color w:val="5F81AA"/>
        </w:rPr>
        <w:t>Balance Sheet Highlights</w:t>
      </w:r>
    </w:p>
    <w:p>
      <w:pPr>
        <w:spacing w:after="0" w:line="309" w:lineRule="exact"/>
        <w:rPr>
          <w:sz w:val="20"/>
          <w:szCs w:val="20"/>
          <w:color w:val="auto"/>
        </w:rPr>
      </w:pPr>
    </w:p>
    <w:p>
      <w:pPr>
        <w:ind w:left="420"/>
        <w:spacing w:after="0"/>
        <w:rPr>
          <w:sz w:val="20"/>
          <w:szCs w:val="20"/>
          <w:color w:val="auto"/>
        </w:rPr>
      </w:pPr>
      <w:r>
        <w:rPr>
          <w:rFonts w:ascii="Arial" w:cs="Arial" w:eastAsia="Arial" w:hAnsi="Arial"/>
          <w:sz w:val="19"/>
          <w:szCs w:val="19"/>
          <w:b w:val="1"/>
          <w:bCs w:val="1"/>
          <w:color w:val="auto"/>
        </w:rPr>
        <w:t>Total Debt</w:t>
      </w:r>
    </w:p>
    <w:p>
      <w:pPr>
        <w:spacing w:after="0" w:line="4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in millions)</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Total Debt</w:t>
      </w:r>
    </w:p>
    <w:p>
      <w:pPr>
        <w:spacing w:after="0" w:line="169"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Net</w:t>
      </w:r>
    </w:p>
    <w:p>
      <w:pPr>
        <w:spacing w:after="0" w:line="2"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180" w:type="dxa"/>
            <w:vAlign w:val="bottom"/>
          </w:tcPr>
          <w:p>
            <w:pPr>
              <w:jc w:val="center"/>
              <w:ind w:right="2303"/>
              <w:spacing w:after="0"/>
              <w:rPr>
                <w:sz w:val="20"/>
                <w:szCs w:val="20"/>
                <w:color w:val="auto"/>
              </w:rPr>
            </w:pPr>
            <w:r>
              <w:rPr>
                <w:rFonts w:ascii="Arial" w:cs="Arial" w:eastAsia="Arial" w:hAnsi="Arial"/>
                <w:sz w:val="19"/>
                <w:szCs w:val="19"/>
                <w:b w:val="1"/>
                <w:bCs w:val="1"/>
                <w:color w:val="auto"/>
              </w:rPr>
              <w:t>Total Debt to</w:t>
            </w:r>
          </w:p>
        </w:tc>
        <w:tc>
          <w:tcPr>
            <w:tcW w:w="2920" w:type="dxa"/>
            <w:vAlign w:val="bottom"/>
          </w:tcPr>
          <w:p>
            <w:pPr>
              <w:spacing w:after="0"/>
              <w:rPr>
                <w:sz w:val="20"/>
                <w:szCs w:val="20"/>
                <w:color w:val="auto"/>
              </w:rPr>
            </w:pPr>
          </w:p>
        </w:tc>
      </w:tr>
      <w:tr>
        <w:trPr>
          <w:trHeight w:val="277"/>
        </w:trPr>
        <w:tc>
          <w:tcPr>
            <w:tcW w:w="4180" w:type="dxa"/>
            <w:vAlign w:val="bottom"/>
          </w:tcPr>
          <w:p>
            <w:pPr>
              <w:jc w:val="center"/>
              <w:ind w:right="2303"/>
              <w:spacing w:after="0"/>
              <w:rPr>
                <w:sz w:val="20"/>
                <w:szCs w:val="20"/>
                <w:color w:val="auto"/>
              </w:rPr>
            </w:pPr>
            <w:r>
              <w:rPr>
                <w:rFonts w:ascii="Arial" w:cs="Arial" w:eastAsia="Arial" w:hAnsi="Arial"/>
                <w:sz w:val="19"/>
                <w:szCs w:val="19"/>
                <w:b w:val="1"/>
                <w:bCs w:val="1"/>
                <w:color w:val="auto"/>
              </w:rPr>
              <w:t>Total Capitalization</w:t>
            </w:r>
          </w:p>
        </w:tc>
        <w:tc>
          <w:tcPr>
            <w:tcW w:w="2920" w:type="dxa"/>
            <w:vAlign w:val="bottom"/>
          </w:tcPr>
          <w:p>
            <w:pPr>
              <w:jc w:val="right"/>
              <w:spacing w:after="0"/>
              <w:rPr>
                <w:sz w:val="20"/>
                <w:szCs w:val="20"/>
                <w:color w:val="auto"/>
              </w:rPr>
            </w:pPr>
            <w:r>
              <w:rPr>
                <w:rFonts w:ascii="Arial" w:cs="Arial" w:eastAsia="Arial" w:hAnsi="Arial"/>
                <w:sz w:val="22"/>
                <w:szCs w:val="22"/>
                <w:color w:val="auto"/>
              </w:rPr>
              <w:t>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368935</wp:posOffset>
            </wp:positionV>
            <wp:extent cx="728345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9580"/>
          </w:cols>
          <w:pgMar w:left="1120" w:top="465" w:right="1199" w:bottom="1440" w:gutter="0" w:footer="0" w:header="0"/>
        </w:sectPr>
      </w:pPr>
    </w:p>
    <w:bookmarkStart w:id="27" w:name="page28"/>
    <w:bookmarkEnd w:id="27"/>
    <w:p>
      <w:pPr>
        <w:jc w:val="right"/>
        <w:spacing w:after="0"/>
        <w:tabs>
          <w:tab w:leader="none" w:pos="1360" w:val="left"/>
          <w:tab w:leader="none" w:pos="140" w:val="left"/>
        </w:tabs>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599440</wp:posOffset>
            </wp:positionH>
            <wp:positionV relativeFrom="page">
              <wp:posOffset>161925</wp:posOffset>
            </wp:positionV>
            <wp:extent cx="6369050" cy="47764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17</w:t>
      </w:r>
    </w:p>
    <w:p>
      <w:pPr>
        <w:spacing w:after="0" w:line="200" w:lineRule="exact"/>
        <w:rPr>
          <w:sz w:val="20"/>
          <w:szCs w:val="20"/>
          <w:color w:val="auto"/>
        </w:rPr>
      </w:pPr>
    </w:p>
    <w:p>
      <w:pPr>
        <w:spacing w:after="0" w:line="362" w:lineRule="exact"/>
        <w:rPr>
          <w:sz w:val="20"/>
          <w:szCs w:val="20"/>
          <w:color w:val="auto"/>
        </w:rPr>
      </w:pPr>
    </w:p>
    <w:p>
      <w:pPr>
        <w:ind w:left="446"/>
        <w:spacing w:after="0"/>
        <w:rPr>
          <w:sz w:val="20"/>
          <w:szCs w:val="20"/>
          <w:color w:val="auto"/>
        </w:rPr>
      </w:pPr>
      <w:r>
        <w:rPr>
          <w:rFonts w:ascii="Arial" w:cs="Arial" w:eastAsia="Arial" w:hAnsi="Arial"/>
          <w:sz w:val="36"/>
          <w:szCs w:val="36"/>
          <w:color w:val="5F81AA"/>
        </w:rPr>
        <w:t>Credit Facilities as of December 31, 2010</w:t>
      </w:r>
    </w:p>
    <w:p>
      <w:pPr>
        <w:spacing w:after="0" w:line="9" w:lineRule="exact"/>
        <w:rPr>
          <w:sz w:val="20"/>
          <w:szCs w:val="20"/>
          <w:color w:val="auto"/>
        </w:rPr>
      </w:pPr>
    </w:p>
    <w:p>
      <w:pPr>
        <w:ind w:left="446"/>
        <w:spacing w:after="0"/>
        <w:rPr>
          <w:sz w:val="20"/>
          <w:szCs w:val="20"/>
          <w:color w:val="auto"/>
        </w:rPr>
      </w:pPr>
      <w:r>
        <w:rPr>
          <w:rFonts w:ascii="Arial" w:cs="Arial" w:eastAsia="Arial" w:hAnsi="Arial"/>
          <w:sz w:val="19"/>
          <w:szCs w:val="19"/>
          <w:color w:val="5F81AA"/>
        </w:rPr>
        <w:t>($ in millions)</w:t>
      </w:r>
    </w:p>
    <w:p>
      <w:pPr>
        <w:spacing w:after="0" w:line="71" w:lineRule="exact"/>
        <w:rPr>
          <w:sz w:val="20"/>
          <w:szCs w:val="20"/>
          <w:color w:val="auto"/>
        </w:rPr>
      </w:pPr>
    </w:p>
    <w:tbl>
      <w:tblPr>
        <w:tblLayout w:type="fixed"/>
        <w:tblInd w:w="526" w:type="dxa"/>
        <w:tblCellMar>
          <w:top w:w="0" w:type="dxa"/>
          <w:left w:w="0" w:type="dxa"/>
          <w:bottom w:w="0" w:type="dxa"/>
          <w:right w:w="0" w:type="dxa"/>
        </w:tblCellMar>
      </w:tblPr>
      <w:tr>
        <w:trPr>
          <w:trHeight w:val="251"/>
        </w:trPr>
        <w:tc>
          <w:tcPr>
            <w:tcW w:w="2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9"/>
                <w:szCs w:val="19"/>
                <w:b w:val="1"/>
                <w:bCs w:val="1"/>
                <w:color w:val="808080"/>
              </w:rPr>
              <w:t>Interest</w:t>
            </w:r>
          </w:p>
        </w:tc>
        <w:tc>
          <w:tcPr>
            <w:tcW w:w="1140" w:type="dxa"/>
            <w:vAlign w:val="bottom"/>
          </w:tcPr>
          <w:p>
            <w:pPr>
              <w:jc w:val="center"/>
              <w:spacing w:after="0"/>
              <w:rPr>
                <w:sz w:val="20"/>
                <w:szCs w:val="20"/>
                <w:color w:val="auto"/>
              </w:rPr>
            </w:pPr>
            <w:r>
              <w:rPr>
                <w:rFonts w:ascii="Arial" w:cs="Arial" w:eastAsia="Arial" w:hAnsi="Arial"/>
                <w:sz w:val="19"/>
                <w:szCs w:val="19"/>
                <w:b w:val="1"/>
                <w:bCs w:val="1"/>
                <w:color w:val="808080"/>
              </w:rPr>
              <w:t>Maturity</w:t>
            </w:r>
          </w:p>
        </w:tc>
        <w:tc>
          <w:tcPr>
            <w:tcW w:w="1420" w:type="dxa"/>
            <w:vAlign w:val="bottom"/>
          </w:tcPr>
          <w:p>
            <w:pPr>
              <w:jc w:val="right"/>
              <w:ind w:right="383"/>
              <w:spacing w:after="0"/>
              <w:rPr>
                <w:sz w:val="20"/>
                <w:szCs w:val="20"/>
                <w:color w:val="auto"/>
              </w:rPr>
            </w:pPr>
            <w:r>
              <w:rPr>
                <w:rFonts w:ascii="Arial" w:cs="Arial" w:eastAsia="Arial" w:hAnsi="Arial"/>
                <w:sz w:val="19"/>
                <w:szCs w:val="19"/>
                <w:b w:val="1"/>
                <w:bCs w:val="1"/>
                <w:color w:val="808080"/>
              </w:rPr>
              <w:t>Total</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808080"/>
              </w:rPr>
              <w:t>Remaining</w:t>
            </w:r>
          </w:p>
        </w:tc>
        <w:tc>
          <w:tcPr>
            <w:tcW w:w="0" w:type="dxa"/>
            <w:vAlign w:val="bottom"/>
          </w:tcPr>
          <w:p>
            <w:pPr>
              <w:spacing w:after="0"/>
              <w:rPr>
                <w:sz w:val="1"/>
                <w:szCs w:val="1"/>
                <w:color w:val="auto"/>
              </w:rPr>
            </w:pPr>
          </w:p>
        </w:tc>
      </w:tr>
      <w:tr>
        <w:trPr>
          <w:trHeight w:val="258"/>
        </w:trPr>
        <w:tc>
          <w:tcPr>
            <w:tcW w:w="2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9"/>
                <w:szCs w:val="19"/>
                <w:b w:val="1"/>
                <w:bCs w:val="1"/>
                <w:color w:val="808080"/>
              </w:rPr>
              <w:t>Rate</w:t>
            </w:r>
          </w:p>
        </w:tc>
        <w:tc>
          <w:tcPr>
            <w:tcW w:w="1140" w:type="dxa"/>
            <w:vAlign w:val="bottom"/>
          </w:tcPr>
          <w:p>
            <w:pPr>
              <w:jc w:val="center"/>
              <w:spacing w:after="0"/>
              <w:rPr>
                <w:sz w:val="20"/>
                <w:szCs w:val="20"/>
                <w:color w:val="auto"/>
              </w:rPr>
            </w:pPr>
            <w:r>
              <w:rPr>
                <w:rFonts w:ascii="Arial" w:cs="Arial" w:eastAsia="Arial" w:hAnsi="Arial"/>
                <w:sz w:val="19"/>
                <w:szCs w:val="19"/>
                <w:b w:val="1"/>
                <w:bCs w:val="1"/>
                <w:color w:val="808080"/>
              </w:rPr>
              <w:t>Date</w:t>
            </w:r>
          </w:p>
        </w:tc>
        <w:tc>
          <w:tcPr>
            <w:tcW w:w="1420" w:type="dxa"/>
            <w:vAlign w:val="bottom"/>
          </w:tcPr>
          <w:p>
            <w:pPr>
              <w:jc w:val="right"/>
              <w:ind w:right="43"/>
              <w:spacing w:after="0"/>
              <w:rPr>
                <w:sz w:val="20"/>
                <w:szCs w:val="20"/>
                <w:color w:val="auto"/>
              </w:rPr>
            </w:pPr>
            <w:r>
              <w:rPr>
                <w:rFonts w:ascii="Arial" w:cs="Arial" w:eastAsia="Arial" w:hAnsi="Arial"/>
                <w:sz w:val="19"/>
                <w:szCs w:val="19"/>
                <w:b w:val="1"/>
                <w:bCs w:val="1"/>
                <w:color w:val="808080"/>
              </w:rPr>
              <w:t>Outstanding</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808080"/>
              </w:rPr>
              <w:t>Available</w:t>
            </w:r>
          </w:p>
        </w:tc>
        <w:tc>
          <w:tcPr>
            <w:tcW w:w="0" w:type="dxa"/>
            <w:vAlign w:val="bottom"/>
          </w:tcPr>
          <w:p>
            <w:pPr>
              <w:spacing w:after="0"/>
              <w:rPr>
                <w:sz w:val="1"/>
                <w:szCs w:val="1"/>
                <w:color w:val="auto"/>
              </w:rPr>
            </w:pPr>
          </w:p>
        </w:tc>
      </w:tr>
      <w:tr>
        <w:trPr>
          <w:trHeight w:val="400"/>
        </w:trPr>
        <w:tc>
          <w:tcPr>
            <w:tcW w:w="2640" w:type="dxa"/>
            <w:vAlign w:val="bottom"/>
          </w:tcPr>
          <w:p>
            <w:pPr>
              <w:spacing w:after="0"/>
              <w:rPr>
                <w:sz w:val="20"/>
                <w:szCs w:val="20"/>
                <w:color w:val="auto"/>
              </w:rPr>
            </w:pPr>
            <w:r>
              <w:rPr>
                <w:rFonts w:ascii="Arial" w:cs="Arial" w:eastAsia="Arial" w:hAnsi="Arial"/>
                <w:sz w:val="19"/>
                <w:szCs w:val="19"/>
                <w:b w:val="1"/>
                <w:bCs w:val="1"/>
                <w:color w:val="auto"/>
              </w:rPr>
              <w:t>Euro</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640" w:type="dxa"/>
            <w:vAlign w:val="bottom"/>
          </w:tcPr>
          <w:p>
            <w:pPr>
              <w:spacing w:after="0" w:line="201" w:lineRule="exact"/>
              <w:rPr>
                <w:sz w:val="20"/>
                <w:szCs w:val="20"/>
                <w:color w:val="auto"/>
              </w:rPr>
            </w:pPr>
            <w:r>
              <w:rPr>
                <w:rFonts w:ascii="Arial" w:cs="Arial" w:eastAsia="Arial" w:hAnsi="Arial"/>
                <w:sz w:val="19"/>
                <w:szCs w:val="19"/>
                <w:b w:val="1"/>
                <w:bCs w:val="1"/>
                <w:color w:val="auto"/>
              </w:rPr>
              <w:t>Notes:</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4.86%</w:t>
            </w:r>
          </w:p>
        </w:tc>
        <w:tc>
          <w:tcPr>
            <w:tcW w:w="114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Jun 2013</w:t>
            </w:r>
          </w:p>
        </w:tc>
        <w:tc>
          <w:tcPr>
            <w:tcW w:w="1420" w:type="dxa"/>
            <w:vAlign w:val="bottom"/>
            <w:vMerge w:val="restart"/>
          </w:tcPr>
          <w:p>
            <w:pPr>
              <w:jc w:val="right"/>
              <w:ind w:right="23"/>
              <w:spacing w:after="0"/>
              <w:rPr>
                <w:sz w:val="20"/>
                <w:szCs w:val="20"/>
                <w:color w:val="auto"/>
              </w:rPr>
            </w:pPr>
            <w:r>
              <w:rPr>
                <w:rFonts w:ascii="Arial" w:cs="Arial" w:eastAsia="Arial" w:hAnsi="Arial"/>
                <w:sz w:val="19"/>
                <w:szCs w:val="19"/>
                <w:b w:val="1"/>
                <w:bCs w:val="1"/>
                <w:color w:val="auto"/>
              </w:rPr>
              <w:t>267</w:t>
            </w:r>
          </w:p>
        </w:tc>
        <w:tc>
          <w:tcPr>
            <w:tcW w:w="1120" w:type="dxa"/>
            <w:vAlign w:val="bottom"/>
            <w:vMerge w:val="restart"/>
          </w:tcPr>
          <w:p>
            <w:pPr>
              <w:jc w:val="center"/>
              <w:ind w:left="723"/>
              <w:spacing w:after="0"/>
              <w:rPr>
                <w:sz w:val="20"/>
                <w:szCs w:val="20"/>
                <w:color w:val="auto"/>
              </w:rPr>
            </w:pPr>
            <w:r>
              <w:rPr>
                <w:rFonts w:ascii="Arial" w:cs="Arial" w:eastAsia="Arial" w:hAnsi="Arial"/>
                <w:sz w:val="19"/>
                <w:szCs w:val="19"/>
                <w:b w:val="1"/>
                <w:bCs w:val="1"/>
                <w:color w:val="auto"/>
                <w:w w:val="94"/>
              </w:rPr>
              <w:t>-</w:t>
            </w:r>
          </w:p>
        </w:tc>
        <w:tc>
          <w:tcPr>
            <w:tcW w:w="0" w:type="dxa"/>
            <w:vAlign w:val="bottom"/>
          </w:tcPr>
          <w:p>
            <w:pPr>
              <w:spacing w:after="0"/>
              <w:rPr>
                <w:sz w:val="1"/>
                <w:szCs w:val="1"/>
                <w:color w:val="auto"/>
              </w:rPr>
            </w:pPr>
          </w:p>
        </w:tc>
      </w:tr>
      <w:tr>
        <w:trPr>
          <w:trHeight w:val="186"/>
        </w:trPr>
        <w:tc>
          <w:tcPr>
            <w:tcW w:w="2640" w:type="dxa"/>
            <w:vAlign w:val="bottom"/>
          </w:tcPr>
          <w:p>
            <w:pPr>
              <w:ind w:left="140"/>
              <w:spacing w:after="0" w:line="186" w:lineRule="exact"/>
              <w:rPr>
                <w:sz w:val="20"/>
                <w:szCs w:val="20"/>
                <w:color w:val="auto"/>
              </w:rPr>
            </w:pPr>
            <w:r>
              <w:rPr>
                <w:rFonts w:ascii="Arial" w:cs="Arial" w:eastAsia="Arial" w:hAnsi="Arial"/>
                <w:sz w:val="19"/>
                <w:szCs w:val="19"/>
                <w:b w:val="1"/>
                <w:bCs w:val="1"/>
                <w:color w:val="auto"/>
              </w:rPr>
              <w:t>- Euro</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640" w:type="dxa"/>
            <w:vAlign w:val="bottom"/>
          </w:tcPr>
          <w:p>
            <w:pPr>
              <w:ind w:left="140"/>
              <w:spacing w:after="0" w:line="201" w:lineRule="exact"/>
              <w:rPr>
                <w:sz w:val="20"/>
                <w:szCs w:val="20"/>
                <w:color w:val="auto"/>
              </w:rPr>
            </w:pPr>
            <w:r>
              <w:rPr>
                <w:rFonts w:ascii="Arial" w:cs="Arial" w:eastAsia="Arial" w:hAnsi="Arial"/>
                <w:sz w:val="19"/>
                <w:szCs w:val="19"/>
                <w:b w:val="1"/>
                <w:bCs w:val="1"/>
                <w:color w:val="auto"/>
              </w:rPr>
              <w:t>200M</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4.58%</w:t>
            </w:r>
          </w:p>
        </w:tc>
        <w:tc>
          <w:tcPr>
            <w:tcW w:w="114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Jun 2012</w:t>
            </w:r>
          </w:p>
        </w:tc>
        <w:tc>
          <w:tcPr>
            <w:tcW w:w="1420" w:type="dxa"/>
            <w:vAlign w:val="bottom"/>
            <w:vMerge w:val="restart"/>
          </w:tcPr>
          <w:p>
            <w:pPr>
              <w:jc w:val="right"/>
              <w:ind w:right="23"/>
              <w:spacing w:after="0"/>
              <w:rPr>
                <w:sz w:val="20"/>
                <w:szCs w:val="20"/>
                <w:color w:val="auto"/>
              </w:rPr>
            </w:pPr>
            <w:r>
              <w:rPr>
                <w:rFonts w:ascii="Arial" w:cs="Arial" w:eastAsia="Arial" w:hAnsi="Arial"/>
                <w:sz w:val="19"/>
                <w:szCs w:val="19"/>
                <w:b w:val="1"/>
                <w:bCs w:val="1"/>
                <w:color w:val="auto"/>
              </w:rPr>
              <w:t>401</w:t>
            </w:r>
          </w:p>
        </w:tc>
        <w:tc>
          <w:tcPr>
            <w:tcW w:w="1120" w:type="dxa"/>
            <w:vAlign w:val="bottom"/>
            <w:vMerge w:val="restart"/>
          </w:tcPr>
          <w:p>
            <w:pPr>
              <w:jc w:val="center"/>
              <w:ind w:left="723"/>
              <w:spacing w:after="0"/>
              <w:rPr>
                <w:sz w:val="20"/>
                <w:szCs w:val="20"/>
                <w:color w:val="auto"/>
              </w:rPr>
            </w:pPr>
            <w:r>
              <w:rPr>
                <w:rFonts w:ascii="Arial" w:cs="Arial" w:eastAsia="Arial" w:hAnsi="Arial"/>
                <w:sz w:val="19"/>
                <w:szCs w:val="19"/>
                <w:b w:val="1"/>
                <w:bCs w:val="1"/>
                <w:color w:val="auto"/>
                <w:w w:val="94"/>
              </w:rPr>
              <w:t>-</w:t>
            </w:r>
          </w:p>
        </w:tc>
        <w:tc>
          <w:tcPr>
            <w:tcW w:w="0" w:type="dxa"/>
            <w:vAlign w:val="bottom"/>
          </w:tcPr>
          <w:p>
            <w:pPr>
              <w:spacing w:after="0"/>
              <w:rPr>
                <w:sz w:val="1"/>
                <w:szCs w:val="1"/>
                <w:color w:val="auto"/>
              </w:rPr>
            </w:pPr>
          </w:p>
        </w:tc>
      </w:tr>
      <w:tr>
        <w:trPr>
          <w:trHeight w:val="197"/>
        </w:trPr>
        <w:tc>
          <w:tcPr>
            <w:tcW w:w="2640" w:type="dxa"/>
            <w:vAlign w:val="bottom"/>
          </w:tcPr>
          <w:p>
            <w:pPr>
              <w:ind w:left="140"/>
              <w:spacing w:after="0" w:line="196" w:lineRule="exact"/>
              <w:rPr>
                <w:sz w:val="20"/>
                <w:szCs w:val="20"/>
                <w:color w:val="auto"/>
              </w:rPr>
            </w:pPr>
            <w:r>
              <w:rPr>
                <w:rFonts w:ascii="Arial" w:cs="Arial" w:eastAsia="Arial" w:hAnsi="Arial"/>
                <w:sz w:val="19"/>
                <w:szCs w:val="19"/>
                <w:b w:val="1"/>
                <w:bCs w:val="1"/>
                <w:color w:val="auto"/>
              </w:rPr>
              <w:t>- Euro</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40" w:type="dxa"/>
            <w:vAlign w:val="bottom"/>
          </w:tcPr>
          <w:p>
            <w:pPr>
              <w:ind w:left="140"/>
              <w:spacing w:after="0"/>
              <w:rPr>
                <w:sz w:val="20"/>
                <w:szCs w:val="20"/>
                <w:color w:val="auto"/>
              </w:rPr>
            </w:pPr>
            <w:r>
              <w:rPr>
                <w:rFonts w:ascii="Arial" w:cs="Arial" w:eastAsia="Arial" w:hAnsi="Arial"/>
                <w:sz w:val="19"/>
                <w:szCs w:val="19"/>
                <w:b w:val="1"/>
                <w:bCs w:val="1"/>
                <w:color w:val="auto"/>
              </w:rPr>
              <w:t>300M</w:t>
            </w:r>
          </w:p>
        </w:tc>
        <w:tc>
          <w:tcPr>
            <w:tcW w:w="160" w:type="dxa"/>
            <w:vAlign w:val="bottom"/>
          </w:tcPr>
          <w:p>
            <w:pPr>
              <w:spacing w:after="0"/>
              <w:rPr>
                <w:sz w:val="20"/>
                <w:szCs w:val="20"/>
                <w:color w:val="auto"/>
              </w:rPr>
            </w:pPr>
            <w:r>
              <w:rPr>
                <w:rFonts w:ascii="Arial" w:cs="Arial" w:eastAsia="Arial" w:hAnsi="Arial"/>
                <w:sz w:val="13"/>
                <w:szCs w:val="13"/>
                <w:color w:val="auto"/>
                <w:w w:val="87"/>
              </w:rPr>
              <w:t>(a)</w:t>
            </w:r>
          </w:p>
        </w:tc>
        <w:tc>
          <w:tcPr>
            <w:tcW w:w="380" w:type="dxa"/>
            <w:vAlign w:val="bottom"/>
          </w:tcPr>
          <w:p>
            <w:pPr>
              <w:spacing w:after="0"/>
              <w:rPr>
                <w:sz w:val="19"/>
                <w:szCs w:val="19"/>
                <w:color w:val="auto"/>
              </w:rPr>
            </w:pPr>
          </w:p>
        </w:tc>
        <w:tc>
          <w:tcPr>
            <w:tcW w:w="11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2.81%</w:t>
            </w:r>
          </w:p>
        </w:tc>
        <w:tc>
          <w:tcPr>
            <w:tcW w:w="114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Nov 2012</w:t>
            </w:r>
          </w:p>
        </w:tc>
        <w:tc>
          <w:tcPr>
            <w:tcW w:w="1420" w:type="dxa"/>
            <w:vAlign w:val="bottom"/>
            <w:vMerge w:val="restart"/>
          </w:tcPr>
          <w:p>
            <w:pPr>
              <w:jc w:val="right"/>
              <w:ind w:right="103"/>
              <w:spacing w:after="0"/>
              <w:rPr>
                <w:sz w:val="20"/>
                <w:szCs w:val="20"/>
                <w:color w:val="auto"/>
              </w:rPr>
            </w:pPr>
            <w:r>
              <w:rPr>
                <w:rFonts w:ascii="Arial" w:cs="Arial" w:eastAsia="Arial" w:hAnsi="Arial"/>
                <w:sz w:val="19"/>
                <w:szCs w:val="19"/>
                <w:b w:val="1"/>
                <w:bCs w:val="1"/>
                <w:color w:val="auto"/>
              </w:rPr>
              <w:t>-</w:t>
            </w:r>
          </w:p>
        </w:tc>
        <w:tc>
          <w:tcPr>
            <w:tcW w:w="1120" w:type="dxa"/>
            <w:vAlign w:val="bottom"/>
            <w:vMerge w:val="restart"/>
          </w:tcPr>
          <w:p>
            <w:pPr>
              <w:jc w:val="center"/>
              <w:ind w:left="663"/>
              <w:spacing w:after="0"/>
              <w:rPr>
                <w:sz w:val="20"/>
                <w:szCs w:val="20"/>
                <w:color w:val="auto"/>
              </w:rPr>
            </w:pPr>
            <w:r>
              <w:rPr>
                <w:rFonts w:ascii="Arial" w:cs="Arial" w:eastAsia="Arial" w:hAnsi="Arial"/>
                <w:sz w:val="19"/>
                <w:szCs w:val="19"/>
                <w:b w:val="1"/>
                <w:bCs w:val="1"/>
                <w:color w:val="auto"/>
              </w:rPr>
              <w:t>398</w:t>
            </w:r>
          </w:p>
        </w:tc>
        <w:tc>
          <w:tcPr>
            <w:tcW w:w="0" w:type="dxa"/>
            <w:vAlign w:val="bottom"/>
          </w:tcPr>
          <w:p>
            <w:pPr>
              <w:spacing w:after="0"/>
              <w:rPr>
                <w:sz w:val="1"/>
                <w:szCs w:val="1"/>
                <w:color w:val="auto"/>
              </w:rPr>
            </w:pPr>
          </w:p>
        </w:tc>
      </w:tr>
      <w:tr>
        <w:trPr>
          <w:trHeight w:val="238"/>
        </w:trPr>
        <w:tc>
          <w:tcPr>
            <w:tcW w:w="2640" w:type="dxa"/>
            <w:vAlign w:val="bottom"/>
          </w:tcPr>
          <w:p>
            <w:pPr>
              <w:spacing w:after="0"/>
              <w:rPr>
                <w:sz w:val="20"/>
                <w:szCs w:val="20"/>
                <w:color w:val="auto"/>
              </w:rPr>
            </w:pPr>
            <w:r>
              <w:rPr>
                <w:rFonts w:ascii="Arial" w:cs="Arial" w:eastAsia="Arial" w:hAnsi="Arial"/>
                <w:sz w:val="19"/>
                <w:szCs w:val="19"/>
                <w:b w:val="1"/>
                <w:bCs w:val="1"/>
                <w:color w:val="auto"/>
              </w:rPr>
              <w:t>Revolving Credit Agreement</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640" w:type="dxa"/>
            <w:vAlign w:val="bottom"/>
            <w:vMerge w:val="restart"/>
          </w:tcPr>
          <w:p>
            <w:pPr>
              <w:spacing w:after="0"/>
              <w:rPr>
                <w:sz w:val="20"/>
                <w:szCs w:val="20"/>
                <w:color w:val="auto"/>
              </w:rPr>
            </w:pPr>
            <w:r>
              <w:rPr>
                <w:rFonts w:ascii="Arial" w:cs="Arial" w:eastAsia="Arial" w:hAnsi="Arial"/>
                <w:sz w:val="19"/>
                <w:szCs w:val="19"/>
                <w:b w:val="1"/>
                <w:bCs w:val="1"/>
                <w:color w:val="auto"/>
              </w:rPr>
              <w:t>Uncommitted lines and</w:t>
            </w:r>
          </w:p>
        </w:tc>
        <w:tc>
          <w:tcPr>
            <w:tcW w:w="1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3"/>
                <w:szCs w:val="13"/>
                <w:color w:val="auto"/>
              </w:rPr>
              <w:t>(b)</w:t>
            </w:r>
          </w:p>
        </w:tc>
        <w:tc>
          <w:tcPr>
            <w:tcW w:w="11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Various</w:t>
            </w:r>
          </w:p>
        </w:tc>
        <w:tc>
          <w:tcPr>
            <w:tcW w:w="114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Various</w:t>
            </w:r>
          </w:p>
        </w:tc>
        <w:tc>
          <w:tcPr>
            <w:tcW w:w="1420" w:type="dxa"/>
            <w:vAlign w:val="bottom"/>
            <w:vMerge w:val="restart"/>
          </w:tcPr>
          <w:p>
            <w:pPr>
              <w:jc w:val="right"/>
              <w:ind w:right="23"/>
              <w:spacing w:after="0"/>
              <w:rPr>
                <w:sz w:val="20"/>
                <w:szCs w:val="20"/>
                <w:color w:val="auto"/>
              </w:rPr>
            </w:pPr>
            <w:r>
              <w:rPr>
                <w:rFonts w:ascii="Arial" w:cs="Arial" w:eastAsia="Arial" w:hAnsi="Arial"/>
                <w:sz w:val="19"/>
                <w:szCs w:val="19"/>
                <w:b w:val="1"/>
                <w:bCs w:val="1"/>
                <w:color w:val="auto"/>
              </w:rPr>
              <w:t>30</w:t>
            </w:r>
          </w:p>
        </w:tc>
        <w:tc>
          <w:tcPr>
            <w:tcW w:w="1120" w:type="dxa"/>
            <w:vAlign w:val="bottom"/>
            <w:vMerge w:val="restart"/>
          </w:tcPr>
          <w:p>
            <w:pPr>
              <w:jc w:val="center"/>
              <w:ind w:left="703"/>
              <w:spacing w:after="0"/>
              <w:rPr>
                <w:sz w:val="20"/>
                <w:szCs w:val="20"/>
                <w:color w:val="auto"/>
              </w:rPr>
            </w:pPr>
            <w:r>
              <w:rPr>
                <w:rFonts w:ascii="Arial" w:cs="Arial" w:eastAsia="Arial" w:hAnsi="Arial"/>
                <w:sz w:val="19"/>
                <w:szCs w:val="19"/>
                <w:b w:val="1"/>
                <w:bCs w:val="1"/>
                <w:color w:val="auto"/>
              </w:rPr>
              <w:t>368</w:t>
            </w:r>
          </w:p>
        </w:tc>
        <w:tc>
          <w:tcPr>
            <w:tcW w:w="0" w:type="dxa"/>
            <w:vAlign w:val="bottom"/>
          </w:tcPr>
          <w:p>
            <w:pPr>
              <w:spacing w:after="0"/>
              <w:rPr>
                <w:sz w:val="1"/>
                <w:szCs w:val="1"/>
                <w:color w:val="auto"/>
              </w:rPr>
            </w:pPr>
          </w:p>
        </w:tc>
      </w:tr>
      <w:tr>
        <w:trPr>
          <w:trHeight w:val="87"/>
        </w:trPr>
        <w:tc>
          <w:tcPr>
            <w:tcW w:w="2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640" w:type="dxa"/>
            <w:vAlign w:val="bottom"/>
          </w:tcPr>
          <w:p>
            <w:pPr>
              <w:spacing w:after="0" w:line="201" w:lineRule="exact"/>
              <w:rPr>
                <w:sz w:val="20"/>
                <w:szCs w:val="20"/>
                <w:color w:val="auto"/>
              </w:rPr>
            </w:pPr>
            <w:r>
              <w:rPr>
                <w:rFonts w:ascii="Arial" w:cs="Arial" w:eastAsia="Arial" w:hAnsi="Arial"/>
                <w:sz w:val="19"/>
                <w:szCs w:val="19"/>
                <w:b w:val="1"/>
                <w:bCs w:val="1"/>
                <w:color w:val="auto"/>
              </w:rPr>
              <w:t>Other</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vMerge w:val="restart"/>
          </w:tcPr>
          <w:p>
            <w:pPr>
              <w:jc w:val="right"/>
              <w:ind w:right="23"/>
              <w:spacing w:after="0"/>
              <w:rPr>
                <w:sz w:val="20"/>
                <w:szCs w:val="20"/>
                <w:color w:val="auto"/>
              </w:rPr>
            </w:pPr>
            <w:r>
              <w:rPr>
                <w:rFonts w:ascii="Arial" w:cs="Arial" w:eastAsia="Arial" w:hAnsi="Arial"/>
                <w:sz w:val="19"/>
                <w:szCs w:val="19"/>
                <w:b w:val="1"/>
                <w:bCs w:val="1"/>
                <w:color w:val="auto"/>
              </w:rPr>
              <w:t>698</w:t>
            </w:r>
          </w:p>
        </w:tc>
        <w:tc>
          <w:tcPr>
            <w:tcW w:w="1120" w:type="dxa"/>
            <w:vAlign w:val="bottom"/>
            <w:vMerge w:val="restart"/>
          </w:tcPr>
          <w:p>
            <w:pPr>
              <w:jc w:val="center"/>
              <w:ind w:left="663"/>
              <w:spacing w:after="0"/>
              <w:rPr>
                <w:sz w:val="20"/>
                <w:szCs w:val="20"/>
                <w:color w:val="auto"/>
              </w:rPr>
            </w:pPr>
            <w:r>
              <w:rPr>
                <w:rFonts w:ascii="Arial" w:cs="Arial" w:eastAsia="Arial" w:hAnsi="Arial"/>
                <w:sz w:val="19"/>
                <w:szCs w:val="19"/>
                <w:b w:val="1"/>
                <w:bCs w:val="1"/>
                <w:color w:val="auto"/>
              </w:rPr>
              <w:t>766</w:t>
            </w:r>
          </w:p>
        </w:tc>
        <w:tc>
          <w:tcPr>
            <w:tcW w:w="0" w:type="dxa"/>
            <w:vAlign w:val="bottom"/>
          </w:tcPr>
          <w:p>
            <w:pPr>
              <w:spacing w:after="0"/>
              <w:rPr>
                <w:sz w:val="1"/>
                <w:szCs w:val="1"/>
                <w:color w:val="auto"/>
              </w:rPr>
            </w:pPr>
          </w:p>
        </w:tc>
      </w:tr>
      <w:tr>
        <w:trPr>
          <w:trHeight w:val="258"/>
        </w:trPr>
        <w:tc>
          <w:tcPr>
            <w:tcW w:w="2640" w:type="dxa"/>
            <w:vAlign w:val="bottom"/>
          </w:tcPr>
          <w:p>
            <w:pPr>
              <w:spacing w:after="0"/>
              <w:rPr>
                <w:sz w:val="20"/>
                <w:szCs w:val="20"/>
                <w:color w:val="auto"/>
              </w:rPr>
            </w:pPr>
            <w:r>
              <w:rPr>
                <w:rFonts w:ascii="Arial" w:cs="Arial" w:eastAsia="Arial" w:hAnsi="Arial"/>
                <w:sz w:val="19"/>
                <w:szCs w:val="19"/>
                <w:b w:val="1"/>
                <w:bCs w:val="1"/>
                <w:color w:val="auto"/>
              </w:rPr>
              <w:t>Total Debt</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226" w:right="1360" w:hanging="226"/>
        <w:spacing w:after="0" w:line="299" w:lineRule="auto"/>
        <w:tabs>
          <w:tab w:leader="none" w:pos="226"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This $400M agreement requires, as of December 31, that we comply with a Debt-to-EBITDA ratio of less than 5.25 to 1 and a fixed charge coverage ratio of greater than 1.25 to 1. As defined in the agreement, we had a Debt-to-EBITDA ratio of 1.60 and a fixed charge coverage ratio of 2.41 as of December 31, 2010. As of December 31, there were $2.2M of standby letters of credit issued under the agreement.</w:t>
      </w:r>
    </w:p>
    <w:p>
      <w:pPr>
        <w:spacing w:after="0" w:line="133" w:lineRule="exact"/>
        <w:rPr>
          <w:rFonts w:ascii="Arial" w:cs="Arial" w:eastAsia="Arial" w:hAnsi="Arial"/>
          <w:sz w:val="11"/>
          <w:szCs w:val="11"/>
          <w:color w:val="auto"/>
        </w:rPr>
      </w:pPr>
    </w:p>
    <w:p>
      <w:pPr>
        <w:ind w:left="226" w:right="1160" w:hanging="216"/>
        <w:spacing w:after="0" w:line="237" w:lineRule="auto"/>
        <w:tabs>
          <w:tab w:leader="none" w:pos="226" w:val="left"/>
        </w:tabs>
        <w:numPr>
          <w:ilvl w:val="1"/>
          <w:numId w:val="20"/>
        </w:numPr>
        <w:rPr>
          <w:rFonts w:ascii="Arial" w:cs="Arial" w:eastAsia="Arial" w:hAnsi="Arial"/>
          <w:sz w:val="13"/>
          <w:szCs w:val="13"/>
          <w:color w:val="auto"/>
        </w:rPr>
      </w:pPr>
      <w:r>
        <w:rPr>
          <w:rFonts w:ascii="Arial" w:cs="Arial" w:eastAsia="Arial" w:hAnsi="Arial"/>
          <w:sz w:val="13"/>
          <w:szCs w:val="13"/>
          <w:color w:val="auto"/>
        </w:rPr>
        <w:t>Represents subsidiary uncommitted lines of credit &amp; overdraft facilities, which total $395.7M. Total subsidiary borrowings are limited to $300M due to restrictions in our Revolving Credit Facility, with the exception of Q3 when subsidiary borrowings are limited to $600M.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744220</wp:posOffset>
            </wp:positionV>
            <wp:extent cx="728345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9246"/>
          </w:cols>
          <w:pgMar w:left="1274" w:top="465" w:right="1379" w:bottom="1440" w:gutter="0" w:footer="0" w:header="0"/>
        </w:sectPr>
      </w:pPr>
    </w:p>
    <w:bookmarkStart w:id="28" w:name="page29"/>
    <w:bookmarkEnd w:id="28"/>
    <w:p>
      <w:pPr>
        <w:ind w:left="1320"/>
        <w:spacing w:after="0"/>
        <w:tabs>
          <w:tab w:leader="none" w:pos="7740" w:val="left"/>
          <w:tab w:leader="none" w:pos="8960" w:val="left"/>
        </w:tabs>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599440</wp:posOffset>
            </wp:positionH>
            <wp:positionV relativeFrom="page">
              <wp:posOffset>161925</wp:posOffset>
            </wp:positionV>
            <wp:extent cx="6369050" cy="47764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18</w:t>
      </w:r>
    </w:p>
    <w:p>
      <w:pPr>
        <w:sectPr>
          <w:pgSz w:w="11900" w:h="16838" w:orient="portrait"/>
          <w:cols w:equalWidth="0" w:num="1">
            <w:col w:w="9140"/>
          </w:cols>
          <w:pgMar w:left="1380" w:top="465" w:right="137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80"/>
        <w:spacing w:after="0"/>
        <w:rPr>
          <w:sz w:val="20"/>
          <w:szCs w:val="20"/>
          <w:color w:val="auto"/>
        </w:rPr>
      </w:pPr>
      <w:r>
        <w:rPr>
          <w:rFonts w:ascii="Arial" w:cs="Arial" w:eastAsia="Arial" w:hAnsi="Arial"/>
          <w:sz w:val="36"/>
          <w:szCs w:val="36"/>
          <w:color w:val="5F81AA"/>
        </w:rPr>
        <w:t>First Quarter Outlook</w:t>
      </w:r>
    </w:p>
    <w:p>
      <w:pPr>
        <w:spacing w:after="0" w:line="391" w:lineRule="exact"/>
        <w:rPr>
          <w:sz w:val="20"/>
          <w:szCs w:val="20"/>
          <w:color w:val="auto"/>
        </w:rPr>
      </w:pPr>
    </w:p>
    <w:p>
      <w:pPr>
        <w:spacing w:after="0"/>
        <w:tabs>
          <w:tab w:leader="none" w:pos="2780" w:val="left"/>
        </w:tabs>
        <w:rPr>
          <w:sz w:val="20"/>
          <w:szCs w:val="20"/>
          <w:color w:val="auto"/>
        </w:rPr>
      </w:pPr>
      <w:r>
        <w:rPr>
          <w:rFonts w:ascii="Arial" w:cs="Arial" w:eastAsia="Arial" w:hAnsi="Arial"/>
          <w:sz w:val="25"/>
          <w:szCs w:val="25"/>
          <w:b w:val="1"/>
          <w:bCs w:val="1"/>
          <w:color w:val="D47C18"/>
        </w:rPr>
        <w:t>Revenue</w:t>
      </w:r>
      <w:r>
        <w:rPr>
          <w:sz w:val="20"/>
          <w:szCs w:val="20"/>
          <w:color w:val="auto"/>
        </w:rPr>
        <w:tab/>
      </w:r>
      <w:r>
        <w:rPr>
          <w:rFonts w:ascii="Arial" w:cs="Arial" w:eastAsia="Arial" w:hAnsi="Arial"/>
          <w:sz w:val="42"/>
          <w:szCs w:val="42"/>
          <w:b w:val="1"/>
          <w:bCs w:val="1"/>
          <w:color w:val="auto"/>
          <w:vertAlign w:val="superscript"/>
        </w:rPr>
        <w:t>Total</w:t>
      </w:r>
    </w:p>
    <w:p>
      <w:pPr>
        <w:jc w:val="right"/>
        <w:ind w:right="20"/>
        <w:spacing w:after="0"/>
        <w:rPr>
          <w:sz w:val="20"/>
          <w:szCs w:val="20"/>
          <w:color w:val="auto"/>
        </w:rPr>
      </w:pPr>
      <w:r>
        <w:rPr>
          <w:rFonts w:ascii="Arial" w:cs="Arial" w:eastAsia="Arial" w:hAnsi="Arial"/>
          <w:sz w:val="28"/>
          <w:szCs w:val="28"/>
          <w:b w:val="1"/>
          <w:bCs w:val="1"/>
          <w:color w:val="auto"/>
        </w:rPr>
        <w:t>Americas</w:t>
      </w:r>
    </w:p>
    <w:p>
      <w:pPr>
        <w:spacing w:after="0" w:line="83" w:lineRule="exact"/>
        <w:rPr>
          <w:sz w:val="20"/>
          <w:szCs w:val="20"/>
          <w:color w:val="auto"/>
        </w:rPr>
      </w:pPr>
    </w:p>
    <w:p>
      <w:pPr>
        <w:jc w:val="right"/>
        <w:ind w:right="20"/>
        <w:spacing w:after="0"/>
        <w:rPr>
          <w:sz w:val="20"/>
          <w:szCs w:val="20"/>
          <w:color w:val="auto"/>
        </w:rPr>
      </w:pPr>
      <w:r>
        <w:rPr>
          <w:rFonts w:ascii="Arial" w:cs="Arial" w:eastAsia="Arial" w:hAnsi="Arial"/>
          <w:sz w:val="28"/>
          <w:szCs w:val="28"/>
          <w:b w:val="1"/>
          <w:bCs w:val="1"/>
          <w:color w:val="auto"/>
        </w:rPr>
        <w:t>France</w:t>
      </w:r>
    </w:p>
    <w:p>
      <w:pPr>
        <w:spacing w:after="0" w:line="65" w:lineRule="exact"/>
        <w:rPr>
          <w:sz w:val="20"/>
          <w:szCs w:val="20"/>
          <w:color w:val="auto"/>
        </w:rPr>
      </w:pPr>
    </w:p>
    <w:p>
      <w:pPr>
        <w:jc w:val="right"/>
        <w:ind w:right="20"/>
        <w:spacing w:after="0"/>
        <w:rPr>
          <w:sz w:val="20"/>
          <w:szCs w:val="20"/>
          <w:color w:val="auto"/>
        </w:rPr>
      </w:pPr>
      <w:r>
        <w:rPr>
          <w:rFonts w:ascii="Arial" w:cs="Arial" w:eastAsia="Arial" w:hAnsi="Arial"/>
          <w:sz w:val="28"/>
          <w:szCs w:val="28"/>
          <w:b w:val="1"/>
          <w:bCs w:val="1"/>
          <w:color w:val="auto"/>
        </w:rPr>
        <w:t>EMEA</w:t>
      </w:r>
    </w:p>
    <w:p>
      <w:pPr>
        <w:spacing w:after="0" w:line="85" w:lineRule="exact"/>
        <w:rPr>
          <w:sz w:val="20"/>
          <w:szCs w:val="20"/>
          <w:color w:val="auto"/>
        </w:rPr>
      </w:pPr>
    </w:p>
    <w:p>
      <w:pPr>
        <w:ind w:left="2400"/>
        <w:spacing w:after="0"/>
        <w:rPr>
          <w:sz w:val="20"/>
          <w:szCs w:val="20"/>
          <w:color w:val="auto"/>
        </w:rPr>
      </w:pPr>
      <w:r>
        <w:rPr>
          <w:rFonts w:ascii="Arial" w:cs="Arial" w:eastAsia="Arial" w:hAnsi="Arial"/>
          <w:sz w:val="28"/>
          <w:szCs w:val="28"/>
          <w:b w:val="1"/>
          <w:bCs w:val="1"/>
          <w:color w:val="auto"/>
        </w:rPr>
        <w:t>Asia</w:t>
      </w:r>
    </w:p>
    <w:p>
      <w:pPr>
        <w:ind w:left="1840"/>
        <w:spacing w:after="0" w:line="182" w:lineRule="auto"/>
        <w:rPr>
          <w:sz w:val="20"/>
          <w:szCs w:val="20"/>
          <w:color w:val="auto"/>
        </w:rPr>
      </w:pPr>
      <w:r>
        <w:rPr>
          <w:rFonts w:ascii="Arial" w:cs="Arial" w:eastAsia="Arial" w:hAnsi="Arial"/>
          <w:sz w:val="47"/>
          <w:szCs w:val="47"/>
          <w:b w:val="1"/>
          <w:bCs w:val="1"/>
          <w:color w:val="auto"/>
          <w:vertAlign w:val="subscript"/>
        </w:rPr>
        <w:t>Right</w:t>
      </w:r>
      <w:r>
        <w:rPr>
          <w:rFonts w:ascii="Arial" w:cs="Arial" w:eastAsia="Arial" w:hAnsi="Arial"/>
          <w:sz w:val="25"/>
          <w:szCs w:val="25"/>
          <w:b w:val="1"/>
          <w:bCs w:val="1"/>
          <w:color w:val="auto"/>
        </w:rPr>
        <w:t>Pacific</w:t>
      </w:r>
    </w:p>
    <w:p>
      <w:pPr>
        <w:ind w:left="1360"/>
        <w:spacing w:after="0" w:line="186" w:lineRule="auto"/>
        <w:rPr>
          <w:sz w:val="20"/>
          <w:szCs w:val="20"/>
          <w:color w:val="auto"/>
        </w:rPr>
      </w:pPr>
      <w:r>
        <w:rPr>
          <w:rFonts w:ascii="Arial" w:cs="Arial" w:eastAsia="Arial" w:hAnsi="Arial"/>
          <w:sz w:val="22"/>
          <w:szCs w:val="22"/>
          <w:b w:val="1"/>
          <w:bCs w:val="1"/>
          <w:color w:val="auto"/>
        </w:rPr>
        <w:t>Management</w:t>
      </w:r>
    </w:p>
    <w:p>
      <w:pPr>
        <w:ind w:left="540"/>
        <w:spacing w:after="0"/>
        <w:rPr>
          <w:sz w:val="20"/>
          <w:szCs w:val="20"/>
          <w:color w:val="auto"/>
        </w:rPr>
      </w:pPr>
      <w:r>
        <w:rPr>
          <w:rFonts w:ascii="Arial" w:cs="Arial" w:eastAsia="Arial" w:hAnsi="Arial"/>
          <w:sz w:val="31"/>
          <w:szCs w:val="31"/>
          <w:b w:val="1"/>
          <w:bCs w:val="1"/>
          <w:color w:val="D47C18"/>
        </w:rPr>
        <w:t>Gross Profit</w:t>
      </w:r>
    </w:p>
    <w:p>
      <w:pPr>
        <w:ind w:left="940"/>
        <w:spacing w:after="0" w:line="189" w:lineRule="auto"/>
        <w:rPr>
          <w:sz w:val="20"/>
          <w:szCs w:val="20"/>
          <w:color w:val="auto"/>
        </w:rPr>
      </w:pPr>
      <w:r>
        <w:rPr>
          <w:rFonts w:ascii="Arial" w:cs="Arial" w:eastAsia="Arial" w:hAnsi="Arial"/>
          <w:sz w:val="16"/>
          <w:szCs w:val="16"/>
          <w:b w:val="1"/>
          <w:bCs w:val="1"/>
          <w:color w:val="D47C18"/>
        </w:rPr>
        <w:t>Margin</w:t>
      </w:r>
    </w:p>
    <w:p>
      <w:pPr>
        <w:ind w:firstLine="55"/>
        <w:spacing w:after="0" w:line="367" w:lineRule="auto"/>
        <w:rPr>
          <w:sz w:val="20"/>
          <w:szCs w:val="20"/>
          <w:color w:val="auto"/>
        </w:rPr>
      </w:pPr>
      <w:r>
        <w:rPr>
          <w:rFonts w:ascii="Arial" w:cs="Arial" w:eastAsia="Arial" w:hAnsi="Arial"/>
          <w:sz w:val="31"/>
          <w:szCs w:val="31"/>
          <w:b w:val="1"/>
          <w:bCs w:val="1"/>
          <w:color w:val="D47C18"/>
        </w:rPr>
        <w:t>Operating Profit Margin Tax Rate</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31"/>
          <w:szCs w:val="31"/>
          <w:b w:val="1"/>
          <w:bCs w:val="1"/>
          <w:color w:val="D47C18"/>
        </w:rPr>
        <w:t>EPS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20"/>
        <w:spacing w:after="0"/>
        <w:rPr>
          <w:sz w:val="20"/>
          <w:szCs w:val="20"/>
          <w:color w:val="auto"/>
        </w:rPr>
      </w:pPr>
      <w:r>
        <w:rPr>
          <w:rFonts w:ascii="Arial" w:cs="Arial" w:eastAsia="Arial" w:hAnsi="Arial"/>
          <w:sz w:val="28"/>
          <w:szCs w:val="28"/>
          <w:color w:val="auto"/>
        </w:rPr>
        <w:t>Up 18-20% in constant</w:t>
      </w:r>
    </w:p>
    <w:p>
      <w:pPr>
        <w:ind w:left="1500"/>
        <w:spacing w:after="0" w:line="187" w:lineRule="auto"/>
        <w:rPr>
          <w:sz w:val="20"/>
          <w:szCs w:val="20"/>
          <w:color w:val="auto"/>
        </w:rPr>
      </w:pPr>
      <w:r>
        <w:rPr>
          <w:rFonts w:ascii="Arial" w:cs="Arial" w:eastAsia="Arial" w:hAnsi="Arial"/>
          <w:sz w:val="13"/>
          <w:szCs w:val="13"/>
          <w:color w:val="auto"/>
        </w:rPr>
        <w:t>currency</w:t>
      </w:r>
    </w:p>
    <w:p>
      <w:pPr>
        <w:ind w:left="140"/>
        <w:spacing w:after="0"/>
        <w:rPr>
          <w:sz w:val="20"/>
          <w:szCs w:val="20"/>
          <w:color w:val="auto"/>
        </w:rPr>
      </w:pPr>
      <w:r>
        <w:rPr>
          <w:rFonts w:ascii="Arial" w:cs="Arial" w:eastAsia="Arial" w:hAnsi="Arial"/>
          <w:sz w:val="27"/>
          <w:szCs w:val="27"/>
          <w:color w:val="auto"/>
        </w:rPr>
        <w:t>Up 39-41% in constant currency</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28"/>
          <w:szCs w:val="28"/>
          <w:color w:val="auto"/>
        </w:rPr>
        <w:t>Up 16-18% in constant currency</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28"/>
          <w:szCs w:val="28"/>
          <w:color w:val="auto"/>
        </w:rPr>
        <w:t>Up 15-17% in constant currency</w:t>
      </w:r>
    </w:p>
    <w:p>
      <w:pPr>
        <w:spacing w:after="0" w:line="65" w:lineRule="exact"/>
        <w:rPr>
          <w:sz w:val="20"/>
          <w:szCs w:val="20"/>
          <w:color w:val="auto"/>
        </w:rPr>
      </w:pPr>
    </w:p>
    <w:p>
      <w:pPr>
        <w:ind w:left="100"/>
        <w:spacing w:after="0"/>
        <w:rPr>
          <w:sz w:val="20"/>
          <w:szCs w:val="20"/>
          <w:color w:val="auto"/>
        </w:rPr>
      </w:pPr>
      <w:r>
        <w:rPr>
          <w:rFonts w:ascii="Arial" w:cs="Arial" w:eastAsia="Arial" w:hAnsi="Arial"/>
          <w:sz w:val="28"/>
          <w:szCs w:val="28"/>
          <w:color w:val="auto"/>
        </w:rPr>
        <w:t>Up 8-10% in constant currency</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28"/>
          <w:szCs w:val="28"/>
          <w:color w:val="auto"/>
        </w:rPr>
        <w:t>Down 21-23% in constant</w:t>
      </w:r>
    </w:p>
    <w:p>
      <w:pPr>
        <w:spacing w:after="0" w:line="190" w:lineRule="auto"/>
        <w:rPr>
          <w:sz w:val="20"/>
          <w:szCs w:val="20"/>
          <w:color w:val="auto"/>
        </w:rPr>
      </w:pPr>
      <w:r>
        <w:rPr>
          <w:rFonts w:ascii="Arial" w:cs="Arial" w:eastAsia="Arial" w:hAnsi="Arial"/>
          <w:sz w:val="22"/>
          <w:szCs w:val="22"/>
          <w:color w:val="auto"/>
        </w:rPr>
        <w:t>currency</w:t>
      </w:r>
    </w:p>
    <w:p>
      <w:pPr>
        <w:ind w:left="140"/>
        <w:spacing w:after="0"/>
        <w:rPr>
          <w:sz w:val="20"/>
          <w:szCs w:val="20"/>
          <w:color w:val="auto"/>
        </w:rPr>
      </w:pPr>
      <w:r>
        <w:rPr>
          <w:rFonts w:ascii="Arial" w:cs="Arial" w:eastAsia="Arial" w:hAnsi="Arial"/>
          <w:sz w:val="28"/>
          <w:szCs w:val="28"/>
          <w:color w:val="auto"/>
        </w:rPr>
        <w:t>17.0-17.2%</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28"/>
          <w:szCs w:val="28"/>
          <w:color w:val="auto"/>
        </w:rPr>
        <w:t>1.3-</w:t>
      </w:r>
    </w:p>
    <w:p>
      <w:pPr>
        <w:ind w:left="380"/>
        <w:spacing w:after="0" w:line="194" w:lineRule="auto"/>
        <w:rPr>
          <w:sz w:val="20"/>
          <w:szCs w:val="20"/>
          <w:color w:val="auto"/>
        </w:rPr>
      </w:pPr>
      <w:r>
        <w:rPr>
          <w:rFonts w:ascii="Arial" w:cs="Arial" w:eastAsia="Arial" w:hAnsi="Arial"/>
          <w:sz w:val="22"/>
          <w:szCs w:val="22"/>
          <w:color w:val="auto"/>
        </w:rPr>
        <w:t>1.5%</w:t>
      </w:r>
    </w:p>
    <w:p>
      <w:pPr>
        <w:jc w:val="center"/>
        <w:ind w:right="1120"/>
        <w:spacing w:after="0" w:line="225" w:lineRule="auto"/>
        <w:rPr>
          <w:sz w:val="20"/>
          <w:szCs w:val="20"/>
          <w:color w:val="auto"/>
        </w:rPr>
      </w:pPr>
      <w:r>
        <w:rPr>
          <w:rFonts w:ascii="Arial" w:cs="Arial" w:eastAsia="Arial" w:hAnsi="Arial"/>
          <w:sz w:val="28"/>
          <w:szCs w:val="28"/>
          <w:color w:val="auto"/>
        </w:rPr>
        <w:t xml:space="preserve">56% </w:t>
      </w:r>
      <w:r>
        <w:rPr>
          <w:rFonts w:ascii="Arial" w:cs="Arial" w:eastAsia="Arial" w:hAnsi="Arial"/>
          <w:sz w:val="25"/>
          <w:szCs w:val="25"/>
          <w:color w:val="auto"/>
        </w:rPr>
        <w:t>(39% excl. reclassification of</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5"/>
          <w:szCs w:val="25"/>
          <w:color w:val="auto"/>
        </w:rPr>
        <w:t>France business tax)</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28"/>
          <w:szCs w:val="28"/>
          <w:color w:val="auto"/>
        </w:rPr>
        <w:t>$0.26-$0.34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-3213100</wp:posOffset>
            </wp:positionH>
            <wp:positionV relativeFrom="paragraph">
              <wp:posOffset>828040</wp:posOffset>
            </wp:positionV>
            <wp:extent cx="728345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2">
            <w:col w:w="3480" w:space="420"/>
            <w:col w:w="5240"/>
          </w:cols>
          <w:pgMar w:left="1380" w:top="465" w:right="1379" w:bottom="1440" w:gutter="0" w:footer="0" w:header="0"/>
          <w:type w:val="continuous"/>
        </w:sectPr>
      </w:pPr>
    </w:p>
    <w:bookmarkStart w:id="29" w:name="page30"/>
    <w:bookmarkEnd w:id="29"/>
    <w:p>
      <w:pPr>
        <w:jc w:val="right"/>
        <w:spacing w:after="0"/>
        <w:tabs>
          <w:tab w:leader="none" w:pos="1360" w:val="left"/>
          <w:tab w:leader="none" w:pos="140" w:val="left"/>
        </w:tabs>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599440</wp:posOffset>
            </wp:positionH>
            <wp:positionV relativeFrom="page">
              <wp:posOffset>161925</wp:posOffset>
            </wp:positionV>
            <wp:extent cx="6369050" cy="47764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369050" cy="4776470"/>
                    </a:xfrm>
                    <a:prstGeom prst="rect">
                      <a:avLst/>
                    </a:prstGeom>
                    <a:noFill/>
                  </pic:spPr>
                </pic:pic>
              </a:graphicData>
            </a:graphic>
          </wp:anchor>
        </w:drawing>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19</w:t>
      </w:r>
    </w:p>
    <w:p>
      <w:pPr>
        <w:spacing w:after="0" w:line="374" w:lineRule="exact"/>
        <w:rPr>
          <w:sz w:val="20"/>
          <w:szCs w:val="20"/>
          <w:color w:val="auto"/>
        </w:rPr>
      </w:pPr>
    </w:p>
    <w:p>
      <w:pPr>
        <w:ind w:left="260"/>
        <w:spacing w:after="0"/>
        <w:rPr>
          <w:sz w:val="20"/>
          <w:szCs w:val="20"/>
          <w:color w:val="auto"/>
        </w:rPr>
      </w:pPr>
      <w:r>
        <w:rPr>
          <w:rFonts w:ascii="Arial" w:cs="Arial" w:eastAsia="Arial" w:hAnsi="Arial"/>
          <w:sz w:val="42"/>
          <w:szCs w:val="42"/>
          <w:color w:val="5F81AA"/>
        </w:rPr>
        <w:t>Strategic Priorities</w:t>
      </w:r>
    </w:p>
    <w:p>
      <w:pPr>
        <w:spacing w:after="0" w:line="249" w:lineRule="exact"/>
        <w:rPr>
          <w:sz w:val="20"/>
          <w:szCs w:val="20"/>
          <w:color w:val="auto"/>
        </w:rPr>
      </w:pPr>
    </w:p>
    <w:p>
      <w:pPr>
        <w:jc w:val="both"/>
        <w:ind w:left="560" w:right="580"/>
        <w:spacing w:after="0" w:line="261" w:lineRule="auto"/>
        <w:rPr>
          <w:sz w:val="20"/>
          <w:szCs w:val="20"/>
          <w:color w:val="auto"/>
        </w:rPr>
      </w:pPr>
      <w:r>
        <w:rPr>
          <w:rFonts w:ascii="Arial" w:cs="Arial" w:eastAsia="Arial" w:hAnsi="Arial"/>
          <w:sz w:val="22"/>
          <w:szCs w:val="22"/>
          <w:color w:val="auto"/>
        </w:rPr>
        <w:t>To achieve our vision, better service our clients and candidates, and differentiate ourselves from our competition, the Manpower group of companies will focus 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336"/>
        </w:trPr>
        <w:tc>
          <w:tcPr>
            <w:tcW w:w="120" w:type="dxa"/>
            <w:vAlign w:val="bottom"/>
          </w:tcPr>
          <w:p>
            <w:pPr>
              <w:spacing w:after="0"/>
              <w:rPr>
                <w:sz w:val="24"/>
                <w:szCs w:val="24"/>
                <w:color w:val="auto"/>
              </w:rPr>
            </w:pPr>
          </w:p>
        </w:tc>
        <w:tc>
          <w:tcPr>
            <w:tcW w:w="3500" w:type="dxa"/>
            <w:vAlign w:val="bottom"/>
          </w:tcPr>
          <w:p>
            <w:pPr>
              <w:ind w:left="200"/>
              <w:spacing w:after="0"/>
              <w:rPr>
                <w:sz w:val="20"/>
                <w:szCs w:val="20"/>
                <w:color w:val="auto"/>
              </w:rPr>
            </w:pPr>
            <w:r>
              <w:rPr>
                <w:rFonts w:ascii="Arial" w:cs="Arial" w:eastAsia="Arial" w:hAnsi="Arial"/>
                <w:sz w:val="28"/>
                <w:szCs w:val="28"/>
                <w:color w:val="FFFFFF"/>
              </w:rPr>
              <w:t>Manpower Experience</w:t>
            </w:r>
          </w:p>
        </w:tc>
        <w:tc>
          <w:tcPr>
            <w:tcW w:w="660" w:type="dxa"/>
            <w:vAlign w:val="bottom"/>
          </w:tcPr>
          <w:p>
            <w:pPr>
              <w:spacing w:after="0"/>
              <w:rPr>
                <w:sz w:val="24"/>
                <w:szCs w:val="24"/>
                <w:color w:val="auto"/>
              </w:rPr>
            </w:pPr>
          </w:p>
        </w:tc>
        <w:tc>
          <w:tcPr>
            <w:tcW w:w="2860" w:type="dxa"/>
            <w:vAlign w:val="bottom"/>
          </w:tcPr>
          <w:p>
            <w:pPr>
              <w:ind w:left="800"/>
              <w:spacing w:after="0"/>
              <w:rPr>
                <w:sz w:val="20"/>
                <w:szCs w:val="20"/>
                <w:color w:val="auto"/>
              </w:rPr>
            </w:pPr>
            <w:r>
              <w:rPr>
                <w:rFonts w:ascii="Arial" w:cs="Arial" w:eastAsia="Arial" w:hAnsi="Arial"/>
                <w:sz w:val="28"/>
                <w:szCs w:val="28"/>
                <w:color w:val="FFFFFF"/>
              </w:rPr>
              <w:t>Professional</w:t>
            </w:r>
          </w:p>
        </w:tc>
        <w:tc>
          <w:tcPr>
            <w:tcW w:w="0" w:type="dxa"/>
            <w:vAlign w:val="bottom"/>
          </w:tcPr>
          <w:p>
            <w:pPr>
              <w:spacing w:after="0"/>
              <w:rPr>
                <w:sz w:val="1"/>
                <w:szCs w:val="1"/>
                <w:color w:val="auto"/>
              </w:rPr>
            </w:pPr>
          </w:p>
        </w:tc>
      </w:tr>
      <w:tr>
        <w:trPr>
          <w:trHeight w:val="354"/>
        </w:trPr>
        <w:tc>
          <w:tcPr>
            <w:tcW w:w="120" w:type="dxa"/>
            <w:vAlign w:val="bottom"/>
          </w:tcPr>
          <w:p>
            <w:pPr>
              <w:spacing w:after="0"/>
              <w:rPr>
                <w:sz w:val="20"/>
                <w:szCs w:val="20"/>
                <w:color w:val="auto"/>
              </w:rPr>
            </w:pPr>
            <w:r>
              <w:rPr>
                <w:rFonts w:ascii="Arial" w:cs="Arial" w:eastAsia="Arial" w:hAnsi="Arial"/>
                <w:sz w:val="21"/>
                <w:szCs w:val="21"/>
                <w:color w:val="FFFFFF"/>
              </w:rPr>
              <w:t>•</w:t>
            </w:r>
          </w:p>
        </w:tc>
        <w:tc>
          <w:tcPr>
            <w:tcW w:w="3500" w:type="dxa"/>
            <w:vAlign w:val="bottom"/>
          </w:tcPr>
          <w:p>
            <w:pPr>
              <w:ind w:left="60"/>
              <w:spacing w:after="0"/>
              <w:rPr>
                <w:sz w:val="20"/>
                <w:szCs w:val="20"/>
                <w:color w:val="auto"/>
              </w:rPr>
            </w:pPr>
            <w:r>
              <w:rPr>
                <w:rFonts w:ascii="Arial" w:cs="Arial" w:eastAsia="Arial" w:hAnsi="Arial"/>
                <w:sz w:val="21"/>
                <w:szCs w:val="21"/>
                <w:color w:val="FFFFFF"/>
              </w:rPr>
              <w:t>Candidate Experience</w:t>
            </w:r>
          </w:p>
        </w:tc>
        <w:tc>
          <w:tcPr>
            <w:tcW w:w="660" w:type="dxa"/>
            <w:vAlign w:val="bottom"/>
          </w:tcPr>
          <w:p>
            <w:pPr>
              <w:ind w:left="520"/>
              <w:spacing w:after="0"/>
              <w:rPr>
                <w:sz w:val="20"/>
                <w:szCs w:val="20"/>
                <w:color w:val="auto"/>
              </w:rPr>
            </w:pPr>
            <w:r>
              <w:rPr>
                <w:rFonts w:ascii="Arial" w:cs="Arial" w:eastAsia="Arial" w:hAnsi="Arial"/>
                <w:sz w:val="21"/>
                <w:szCs w:val="21"/>
                <w:color w:val="FFFFFF"/>
              </w:rPr>
              <w:t>•</w:t>
            </w:r>
          </w:p>
        </w:tc>
        <w:tc>
          <w:tcPr>
            <w:tcW w:w="2860" w:type="dxa"/>
            <w:vAlign w:val="bottom"/>
          </w:tcPr>
          <w:p>
            <w:pPr>
              <w:ind w:left="60"/>
              <w:spacing w:after="0"/>
              <w:rPr>
                <w:sz w:val="20"/>
                <w:szCs w:val="20"/>
                <w:color w:val="auto"/>
              </w:rPr>
            </w:pPr>
            <w:r>
              <w:rPr>
                <w:rFonts w:ascii="Arial" w:cs="Arial" w:eastAsia="Arial" w:hAnsi="Arial"/>
                <w:sz w:val="21"/>
                <w:szCs w:val="21"/>
                <w:color w:val="FFFFFF"/>
                <w:w w:val="97"/>
              </w:rPr>
              <w:t>ICT, Engineering, Finance and</w:t>
            </w:r>
          </w:p>
        </w:tc>
        <w:tc>
          <w:tcPr>
            <w:tcW w:w="0" w:type="dxa"/>
            <w:vAlign w:val="bottom"/>
          </w:tcPr>
          <w:p>
            <w:pPr>
              <w:spacing w:after="0"/>
              <w:rPr>
                <w:sz w:val="1"/>
                <w:szCs w:val="1"/>
                <w:color w:val="auto"/>
              </w:rPr>
            </w:pPr>
          </w:p>
        </w:tc>
      </w:tr>
      <w:tr>
        <w:trPr>
          <w:trHeight w:val="251"/>
        </w:trPr>
        <w:tc>
          <w:tcPr>
            <w:tcW w:w="120" w:type="dxa"/>
            <w:vAlign w:val="bottom"/>
            <w:vMerge w:val="restart"/>
          </w:tcPr>
          <w:p>
            <w:pPr>
              <w:spacing w:after="0"/>
              <w:rPr>
                <w:sz w:val="20"/>
                <w:szCs w:val="20"/>
                <w:color w:val="auto"/>
              </w:rPr>
            </w:pPr>
            <w:r>
              <w:rPr>
                <w:rFonts w:ascii="Arial" w:cs="Arial" w:eastAsia="Arial" w:hAnsi="Arial"/>
                <w:sz w:val="21"/>
                <w:szCs w:val="21"/>
                <w:color w:val="FFFFFF"/>
              </w:rPr>
              <w:t>•</w:t>
            </w:r>
          </w:p>
        </w:tc>
        <w:tc>
          <w:tcPr>
            <w:tcW w:w="3500" w:type="dxa"/>
            <w:vAlign w:val="bottom"/>
            <w:vMerge w:val="restart"/>
          </w:tcPr>
          <w:p>
            <w:pPr>
              <w:ind w:left="60"/>
              <w:spacing w:after="0"/>
              <w:rPr>
                <w:sz w:val="20"/>
                <w:szCs w:val="20"/>
                <w:color w:val="auto"/>
              </w:rPr>
            </w:pPr>
            <w:r>
              <w:rPr>
                <w:rFonts w:ascii="Arial" w:cs="Arial" w:eastAsia="Arial" w:hAnsi="Arial"/>
                <w:sz w:val="21"/>
                <w:szCs w:val="21"/>
                <w:color w:val="FFFFFF"/>
              </w:rPr>
              <w:t>Client Experience</w:t>
            </w:r>
          </w:p>
        </w:tc>
        <w:tc>
          <w:tcPr>
            <w:tcW w:w="660" w:type="dxa"/>
            <w:vAlign w:val="bottom"/>
          </w:tcPr>
          <w:p>
            <w:pPr>
              <w:spacing w:after="0"/>
              <w:rPr>
                <w:sz w:val="21"/>
                <w:szCs w:val="21"/>
                <w:color w:val="auto"/>
              </w:rPr>
            </w:pPr>
          </w:p>
        </w:tc>
        <w:tc>
          <w:tcPr>
            <w:tcW w:w="2860" w:type="dxa"/>
            <w:vAlign w:val="bottom"/>
          </w:tcPr>
          <w:p>
            <w:pPr>
              <w:ind w:left="80"/>
              <w:spacing w:after="0"/>
              <w:rPr>
                <w:sz w:val="20"/>
                <w:szCs w:val="20"/>
                <w:color w:val="auto"/>
              </w:rPr>
            </w:pPr>
            <w:r>
              <w:rPr>
                <w:rFonts w:ascii="Arial" w:cs="Arial" w:eastAsia="Arial" w:hAnsi="Arial"/>
                <w:sz w:val="21"/>
                <w:szCs w:val="21"/>
                <w:color w:val="FFFFFF"/>
              </w:rPr>
              <w:t>Accounting, Healthcare</w:t>
            </w:r>
          </w:p>
        </w:tc>
        <w:tc>
          <w:tcPr>
            <w:tcW w:w="0" w:type="dxa"/>
            <w:vAlign w:val="bottom"/>
          </w:tcPr>
          <w:p>
            <w:pPr>
              <w:spacing w:after="0"/>
              <w:rPr>
                <w:sz w:val="1"/>
                <w:szCs w:val="1"/>
                <w:color w:val="auto"/>
              </w:rPr>
            </w:pPr>
          </w:p>
        </w:tc>
      </w:tr>
      <w:tr>
        <w:trPr>
          <w:trHeight w:val="104"/>
        </w:trPr>
        <w:tc>
          <w:tcPr>
            <w:tcW w:w="120" w:type="dxa"/>
            <w:vAlign w:val="bottom"/>
            <w:vMerge w:val="continue"/>
          </w:tcPr>
          <w:p>
            <w:pPr>
              <w:spacing w:after="0"/>
              <w:rPr>
                <w:sz w:val="9"/>
                <w:szCs w:val="9"/>
                <w:color w:val="auto"/>
              </w:rPr>
            </w:pPr>
          </w:p>
        </w:tc>
        <w:tc>
          <w:tcPr>
            <w:tcW w:w="3500" w:type="dxa"/>
            <w:vAlign w:val="bottom"/>
            <w:vMerge w:val="continue"/>
          </w:tcPr>
          <w:p>
            <w:pPr>
              <w:spacing w:after="0"/>
              <w:rPr>
                <w:sz w:val="9"/>
                <w:szCs w:val="9"/>
                <w:color w:val="auto"/>
              </w:rPr>
            </w:pPr>
          </w:p>
        </w:tc>
        <w:tc>
          <w:tcPr>
            <w:tcW w:w="660" w:type="dxa"/>
            <w:vAlign w:val="bottom"/>
            <w:vMerge w:val="restart"/>
          </w:tcPr>
          <w:p>
            <w:pPr>
              <w:ind w:left="520"/>
              <w:spacing w:after="0"/>
              <w:rPr>
                <w:sz w:val="20"/>
                <w:szCs w:val="20"/>
                <w:color w:val="auto"/>
              </w:rPr>
            </w:pPr>
            <w:r>
              <w:rPr>
                <w:rFonts w:ascii="Arial" w:cs="Arial" w:eastAsia="Arial" w:hAnsi="Arial"/>
                <w:sz w:val="21"/>
                <w:szCs w:val="21"/>
                <w:color w:val="FFFFFF"/>
              </w:rPr>
              <w:t>•</w:t>
            </w:r>
          </w:p>
        </w:tc>
        <w:tc>
          <w:tcPr>
            <w:tcW w:w="2860" w:type="dxa"/>
            <w:vAlign w:val="bottom"/>
            <w:vMerge w:val="restart"/>
          </w:tcPr>
          <w:p>
            <w:pPr>
              <w:ind w:left="60"/>
              <w:spacing w:after="0"/>
              <w:rPr>
                <w:sz w:val="20"/>
                <w:szCs w:val="20"/>
                <w:color w:val="auto"/>
              </w:rPr>
            </w:pPr>
            <w:r>
              <w:rPr>
                <w:rFonts w:ascii="Arial" w:cs="Arial" w:eastAsia="Arial" w:hAnsi="Arial"/>
                <w:sz w:val="21"/>
                <w:szCs w:val="21"/>
                <w:color w:val="FFFFFF"/>
              </w:rPr>
              <w:t>Go-to-Market Strategy</w:t>
            </w:r>
          </w:p>
        </w:tc>
        <w:tc>
          <w:tcPr>
            <w:tcW w:w="0" w:type="dxa"/>
            <w:vAlign w:val="bottom"/>
          </w:tcPr>
          <w:p>
            <w:pPr>
              <w:spacing w:after="0"/>
              <w:rPr>
                <w:sz w:val="1"/>
                <w:szCs w:val="1"/>
                <w:color w:val="auto"/>
              </w:rPr>
            </w:pPr>
          </w:p>
        </w:tc>
      </w:tr>
      <w:tr>
        <w:trPr>
          <w:trHeight w:val="251"/>
        </w:trPr>
        <w:tc>
          <w:tcPr>
            <w:tcW w:w="1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2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520" w:type="dxa"/>
            <w:vAlign w:val="bottom"/>
            <w:gridSpan w:val="2"/>
          </w:tcPr>
          <w:p>
            <w:pPr>
              <w:ind w:left="520"/>
              <w:spacing w:after="0"/>
              <w:rPr>
                <w:sz w:val="20"/>
                <w:szCs w:val="20"/>
                <w:color w:val="auto"/>
              </w:rPr>
            </w:pPr>
            <w:r>
              <w:rPr>
                <w:rFonts w:ascii="Arial" w:cs="Arial" w:eastAsia="Arial" w:hAnsi="Arial"/>
                <w:sz w:val="21"/>
                <w:szCs w:val="21"/>
                <w:color w:val="FFFFFF"/>
              </w:rPr>
              <w:t>• Enhanced Business Model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tbl>
      <w:tblPr>
        <w:tblLayout w:type="fixed"/>
        <w:tblInd w:w="640" w:type="dxa"/>
        <w:tblCellMar>
          <w:top w:w="0" w:type="dxa"/>
          <w:left w:w="0" w:type="dxa"/>
          <w:bottom w:w="0" w:type="dxa"/>
          <w:right w:w="0" w:type="dxa"/>
        </w:tblCellMar>
      </w:tblPr>
      <w:tr>
        <w:trPr>
          <w:trHeight w:val="336"/>
        </w:trPr>
        <w:tc>
          <w:tcPr>
            <w:tcW w:w="140" w:type="dxa"/>
            <w:vAlign w:val="bottom"/>
          </w:tcPr>
          <w:p>
            <w:pPr>
              <w:spacing w:after="0"/>
              <w:rPr>
                <w:sz w:val="24"/>
                <w:szCs w:val="24"/>
                <w:color w:val="auto"/>
              </w:rPr>
            </w:pPr>
          </w:p>
        </w:tc>
        <w:tc>
          <w:tcPr>
            <w:tcW w:w="3280" w:type="dxa"/>
            <w:vAlign w:val="bottom"/>
          </w:tcPr>
          <w:p>
            <w:pPr>
              <w:ind w:left="620"/>
              <w:spacing w:after="0"/>
              <w:rPr>
                <w:sz w:val="20"/>
                <w:szCs w:val="20"/>
                <w:color w:val="auto"/>
              </w:rPr>
            </w:pPr>
            <w:r>
              <w:rPr>
                <w:rFonts w:ascii="Arial" w:cs="Arial" w:eastAsia="Arial" w:hAnsi="Arial"/>
                <w:sz w:val="28"/>
                <w:szCs w:val="28"/>
                <w:color w:val="FFFFFF"/>
              </w:rPr>
              <w:t>Digital Strategy</w:t>
            </w:r>
          </w:p>
        </w:tc>
        <w:tc>
          <w:tcPr>
            <w:tcW w:w="880" w:type="dxa"/>
            <w:vAlign w:val="bottom"/>
          </w:tcPr>
          <w:p>
            <w:pPr>
              <w:spacing w:after="0"/>
              <w:rPr>
                <w:sz w:val="24"/>
                <w:szCs w:val="24"/>
                <w:color w:val="auto"/>
              </w:rPr>
            </w:pPr>
          </w:p>
        </w:tc>
        <w:tc>
          <w:tcPr>
            <w:tcW w:w="3060" w:type="dxa"/>
            <w:vAlign w:val="bottom"/>
          </w:tcPr>
          <w:p>
            <w:pPr>
              <w:ind w:left="60"/>
              <w:spacing w:after="0"/>
              <w:rPr>
                <w:sz w:val="20"/>
                <w:szCs w:val="20"/>
                <w:color w:val="auto"/>
              </w:rPr>
            </w:pPr>
            <w:r>
              <w:rPr>
                <w:rFonts w:ascii="Arial" w:cs="Arial" w:eastAsia="Arial" w:hAnsi="Arial"/>
                <w:sz w:val="28"/>
                <w:szCs w:val="28"/>
                <w:color w:val="FFFFFF"/>
                <w:w w:val="99"/>
              </w:rPr>
              <w:t>New Services &amp; Sectors</w:t>
            </w:r>
          </w:p>
        </w:tc>
        <w:tc>
          <w:tcPr>
            <w:tcW w:w="0" w:type="dxa"/>
            <w:vAlign w:val="bottom"/>
          </w:tcPr>
          <w:p>
            <w:pPr>
              <w:spacing w:after="0"/>
              <w:rPr>
                <w:sz w:val="1"/>
                <w:szCs w:val="1"/>
                <w:color w:val="auto"/>
              </w:rPr>
            </w:pPr>
          </w:p>
        </w:tc>
      </w:tr>
      <w:tr>
        <w:trPr>
          <w:trHeight w:val="267"/>
        </w:trPr>
        <w:tc>
          <w:tcPr>
            <w:tcW w:w="140" w:type="dxa"/>
            <w:vAlign w:val="bottom"/>
            <w:vMerge w:val="restart"/>
          </w:tcPr>
          <w:p>
            <w:pPr>
              <w:spacing w:after="0"/>
              <w:rPr>
                <w:sz w:val="20"/>
                <w:szCs w:val="20"/>
                <w:color w:val="auto"/>
              </w:rPr>
            </w:pPr>
            <w:r>
              <w:rPr>
                <w:rFonts w:ascii="Arial" w:cs="Arial" w:eastAsia="Arial" w:hAnsi="Arial"/>
                <w:sz w:val="21"/>
                <w:szCs w:val="21"/>
                <w:color w:val="FFFFFF"/>
              </w:rPr>
              <w:t>•</w:t>
            </w:r>
          </w:p>
        </w:tc>
        <w:tc>
          <w:tcPr>
            <w:tcW w:w="3280" w:type="dxa"/>
            <w:vAlign w:val="bottom"/>
            <w:vMerge w:val="restart"/>
          </w:tcPr>
          <w:p>
            <w:pPr>
              <w:ind w:left="60"/>
              <w:spacing w:after="0"/>
              <w:rPr>
                <w:sz w:val="20"/>
                <w:szCs w:val="20"/>
                <w:color w:val="auto"/>
              </w:rPr>
            </w:pPr>
            <w:r>
              <w:rPr>
                <w:rFonts w:ascii="Arial" w:cs="Arial" w:eastAsia="Arial" w:hAnsi="Arial"/>
                <w:sz w:val="21"/>
                <w:szCs w:val="21"/>
                <w:color w:val="FFFFFF"/>
              </w:rPr>
              <w:t>Direct Talent</w:t>
            </w:r>
          </w:p>
        </w:tc>
        <w:tc>
          <w:tcPr>
            <w:tcW w:w="880" w:type="dxa"/>
            <w:vAlign w:val="bottom"/>
          </w:tcPr>
          <w:p>
            <w:pPr>
              <w:ind w:left="740"/>
              <w:spacing w:after="0"/>
              <w:rPr>
                <w:sz w:val="20"/>
                <w:szCs w:val="20"/>
                <w:color w:val="auto"/>
              </w:rPr>
            </w:pPr>
            <w:r>
              <w:rPr>
                <w:rFonts w:ascii="Arial" w:cs="Arial" w:eastAsia="Arial" w:hAnsi="Arial"/>
                <w:sz w:val="22"/>
                <w:szCs w:val="22"/>
                <w:color w:val="FFFFFF"/>
              </w:rPr>
              <w:t>•</w:t>
            </w:r>
          </w:p>
        </w:tc>
        <w:tc>
          <w:tcPr>
            <w:tcW w:w="3060" w:type="dxa"/>
            <w:vAlign w:val="bottom"/>
          </w:tcPr>
          <w:p>
            <w:pPr>
              <w:ind w:left="60"/>
              <w:spacing w:after="0"/>
              <w:rPr>
                <w:sz w:val="20"/>
                <w:szCs w:val="20"/>
                <w:color w:val="auto"/>
              </w:rPr>
            </w:pPr>
            <w:r>
              <w:rPr>
                <w:rFonts w:ascii="Arial" w:cs="Arial" w:eastAsia="Arial" w:hAnsi="Arial"/>
                <w:sz w:val="22"/>
                <w:szCs w:val="22"/>
                <w:color w:val="FFFFFF"/>
              </w:rPr>
              <w:t>Manpower Business Solutions</w:t>
            </w:r>
          </w:p>
        </w:tc>
        <w:tc>
          <w:tcPr>
            <w:tcW w:w="0" w:type="dxa"/>
            <w:vAlign w:val="bottom"/>
          </w:tcPr>
          <w:p>
            <w:pPr>
              <w:spacing w:after="0"/>
              <w:rPr>
                <w:sz w:val="1"/>
                <w:szCs w:val="1"/>
                <w:color w:val="auto"/>
              </w:rPr>
            </w:pPr>
          </w:p>
        </w:tc>
      </w:tr>
      <w:tr>
        <w:trPr>
          <w:trHeight w:val="108"/>
        </w:trPr>
        <w:tc>
          <w:tcPr>
            <w:tcW w:w="140" w:type="dxa"/>
            <w:vAlign w:val="bottom"/>
            <w:vMerge w:val="continue"/>
          </w:tcPr>
          <w:p>
            <w:pPr>
              <w:spacing w:after="0"/>
              <w:rPr>
                <w:sz w:val="9"/>
                <w:szCs w:val="9"/>
                <w:color w:val="auto"/>
              </w:rPr>
            </w:pPr>
          </w:p>
        </w:tc>
        <w:tc>
          <w:tcPr>
            <w:tcW w:w="3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3060" w:type="dxa"/>
            <w:vAlign w:val="bottom"/>
            <w:vMerge w:val="restart"/>
          </w:tcPr>
          <w:p>
            <w:pPr>
              <w:ind w:left="360"/>
              <w:spacing w:after="0"/>
              <w:rPr>
                <w:sz w:val="20"/>
                <w:szCs w:val="20"/>
                <w:color w:val="auto"/>
              </w:rPr>
            </w:pPr>
            <w:r>
              <w:rPr>
                <w:rFonts w:ascii="Arial" w:cs="Arial" w:eastAsia="Arial" w:hAnsi="Arial"/>
                <w:sz w:val="14"/>
                <w:szCs w:val="14"/>
                <w:color w:val="FFFFFF"/>
              </w:rPr>
              <w:t xml:space="preserve">-RPO </w:t>
            </w:r>
            <w:r>
              <w:rPr>
                <w:rFonts w:ascii="Arial" w:cs="Arial" w:eastAsia="Arial" w:hAnsi="Arial"/>
                <w:sz w:val="14"/>
                <w:szCs w:val="14"/>
                <w:i w:val="1"/>
                <w:iCs w:val="1"/>
                <w:color w:val="FFFFFF"/>
              </w:rPr>
              <w:t>(Recruitment Process Outsourcing)</w:t>
            </w:r>
          </w:p>
        </w:tc>
        <w:tc>
          <w:tcPr>
            <w:tcW w:w="0" w:type="dxa"/>
            <w:vAlign w:val="bottom"/>
          </w:tcPr>
          <w:p>
            <w:pPr>
              <w:spacing w:after="0"/>
              <w:rPr>
                <w:sz w:val="1"/>
                <w:szCs w:val="1"/>
                <w:color w:val="auto"/>
              </w:rPr>
            </w:pPr>
          </w:p>
        </w:tc>
      </w:tr>
      <w:tr>
        <w:trPr>
          <w:trHeight w:val="59"/>
        </w:trPr>
        <w:tc>
          <w:tcPr>
            <w:tcW w:w="140" w:type="dxa"/>
            <w:vAlign w:val="bottom"/>
          </w:tcPr>
          <w:p>
            <w:pPr>
              <w:spacing w:after="0"/>
              <w:rPr>
                <w:sz w:val="5"/>
                <w:szCs w:val="5"/>
                <w:color w:val="auto"/>
              </w:rPr>
            </w:pPr>
          </w:p>
        </w:tc>
        <w:tc>
          <w:tcPr>
            <w:tcW w:w="3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3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40" w:type="dxa"/>
            <w:vAlign w:val="bottom"/>
            <w:vMerge w:val="restart"/>
          </w:tcPr>
          <w:p>
            <w:pPr>
              <w:spacing w:after="0"/>
              <w:rPr>
                <w:sz w:val="20"/>
                <w:szCs w:val="20"/>
                <w:color w:val="auto"/>
              </w:rPr>
            </w:pPr>
            <w:r>
              <w:rPr>
                <w:rFonts w:ascii="Arial" w:cs="Arial" w:eastAsia="Arial" w:hAnsi="Arial"/>
                <w:sz w:val="21"/>
                <w:szCs w:val="21"/>
                <w:color w:val="FFFFFF"/>
              </w:rPr>
              <w:t>•</w:t>
            </w:r>
          </w:p>
        </w:tc>
        <w:tc>
          <w:tcPr>
            <w:tcW w:w="3280" w:type="dxa"/>
            <w:vAlign w:val="bottom"/>
            <w:vMerge w:val="restart"/>
          </w:tcPr>
          <w:p>
            <w:pPr>
              <w:ind w:left="60"/>
              <w:spacing w:after="0"/>
              <w:rPr>
                <w:sz w:val="20"/>
                <w:szCs w:val="20"/>
                <w:color w:val="auto"/>
              </w:rPr>
            </w:pPr>
            <w:r>
              <w:rPr>
                <w:rFonts w:ascii="Arial" w:cs="Arial" w:eastAsia="Arial" w:hAnsi="Arial"/>
                <w:sz w:val="21"/>
                <w:szCs w:val="21"/>
                <w:color w:val="FFFFFF"/>
              </w:rPr>
              <w:t>Direct Office</w:t>
            </w:r>
          </w:p>
        </w:tc>
        <w:tc>
          <w:tcPr>
            <w:tcW w:w="880" w:type="dxa"/>
            <w:vAlign w:val="bottom"/>
          </w:tcPr>
          <w:p>
            <w:pPr>
              <w:spacing w:after="0"/>
              <w:rPr>
                <w:sz w:val="14"/>
                <w:szCs w:val="14"/>
                <w:color w:val="auto"/>
              </w:rPr>
            </w:pPr>
          </w:p>
        </w:tc>
        <w:tc>
          <w:tcPr>
            <w:tcW w:w="3060" w:type="dxa"/>
            <w:vAlign w:val="bottom"/>
          </w:tcPr>
          <w:p>
            <w:pPr>
              <w:ind w:left="360"/>
              <w:spacing w:after="0"/>
              <w:rPr>
                <w:sz w:val="20"/>
                <w:szCs w:val="20"/>
                <w:color w:val="auto"/>
              </w:rPr>
            </w:pPr>
            <w:r>
              <w:rPr>
                <w:rFonts w:ascii="Arial" w:cs="Arial" w:eastAsia="Arial" w:hAnsi="Arial"/>
                <w:sz w:val="14"/>
                <w:szCs w:val="14"/>
                <w:color w:val="FFFFFF"/>
              </w:rPr>
              <w:t xml:space="preserve">-MSP </w:t>
            </w:r>
            <w:r>
              <w:rPr>
                <w:rFonts w:ascii="Arial" w:cs="Arial" w:eastAsia="Arial" w:hAnsi="Arial"/>
                <w:sz w:val="14"/>
                <w:szCs w:val="14"/>
                <w:i w:val="1"/>
                <w:iCs w:val="1"/>
                <w:color w:val="FFFFFF"/>
              </w:rPr>
              <w:t>(Managed Service Provider)</w:t>
            </w:r>
          </w:p>
        </w:tc>
        <w:tc>
          <w:tcPr>
            <w:tcW w:w="0" w:type="dxa"/>
            <w:vAlign w:val="bottom"/>
          </w:tcPr>
          <w:p>
            <w:pPr>
              <w:spacing w:after="0"/>
              <w:rPr>
                <w:sz w:val="1"/>
                <w:szCs w:val="1"/>
                <w:color w:val="auto"/>
              </w:rPr>
            </w:pPr>
          </w:p>
        </w:tc>
      </w:tr>
      <w:tr>
        <w:trPr>
          <w:trHeight w:val="129"/>
        </w:trPr>
        <w:tc>
          <w:tcPr>
            <w:tcW w:w="140" w:type="dxa"/>
            <w:vAlign w:val="bottom"/>
            <w:vMerge w:val="continue"/>
          </w:tcPr>
          <w:p>
            <w:pPr>
              <w:spacing w:after="0"/>
              <w:rPr>
                <w:sz w:val="11"/>
                <w:szCs w:val="11"/>
                <w:color w:val="auto"/>
              </w:rPr>
            </w:pPr>
          </w:p>
        </w:tc>
        <w:tc>
          <w:tcPr>
            <w:tcW w:w="328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3060" w:type="dxa"/>
            <w:vAlign w:val="bottom"/>
            <w:vMerge w:val="restart"/>
          </w:tcPr>
          <w:p>
            <w:pPr>
              <w:ind w:left="360"/>
              <w:spacing w:after="0"/>
              <w:rPr>
                <w:sz w:val="20"/>
                <w:szCs w:val="20"/>
                <w:color w:val="auto"/>
              </w:rPr>
            </w:pPr>
            <w:r>
              <w:rPr>
                <w:rFonts w:ascii="Arial" w:cs="Arial" w:eastAsia="Arial" w:hAnsi="Arial"/>
                <w:sz w:val="14"/>
                <w:szCs w:val="14"/>
                <w:color w:val="FFFFFF"/>
              </w:rPr>
              <w:t xml:space="preserve">-TBO </w:t>
            </w:r>
            <w:r>
              <w:rPr>
                <w:rFonts w:ascii="Arial" w:cs="Arial" w:eastAsia="Arial" w:hAnsi="Arial"/>
                <w:sz w:val="14"/>
                <w:szCs w:val="14"/>
                <w:i w:val="1"/>
                <w:iCs w:val="1"/>
                <w:color w:val="FFFFFF"/>
              </w:rPr>
              <w:t>(Task Based Outsourcing)</w:t>
            </w:r>
          </w:p>
        </w:tc>
        <w:tc>
          <w:tcPr>
            <w:tcW w:w="0" w:type="dxa"/>
            <w:vAlign w:val="bottom"/>
          </w:tcPr>
          <w:p>
            <w:pPr>
              <w:spacing w:after="0"/>
              <w:rPr>
                <w:sz w:val="1"/>
                <w:szCs w:val="1"/>
                <w:color w:val="auto"/>
              </w:rPr>
            </w:pPr>
          </w:p>
        </w:tc>
      </w:tr>
      <w:tr>
        <w:trPr>
          <w:trHeight w:val="38"/>
        </w:trPr>
        <w:tc>
          <w:tcPr>
            <w:tcW w:w="1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140" w:type="dxa"/>
            <w:vAlign w:val="bottom"/>
            <w:vMerge w:val="restart"/>
          </w:tcPr>
          <w:p>
            <w:pPr>
              <w:spacing w:after="0"/>
              <w:rPr>
                <w:sz w:val="20"/>
                <w:szCs w:val="20"/>
                <w:color w:val="auto"/>
              </w:rPr>
            </w:pPr>
            <w:r>
              <w:rPr>
                <w:rFonts w:ascii="Arial" w:cs="Arial" w:eastAsia="Arial" w:hAnsi="Arial"/>
                <w:sz w:val="21"/>
                <w:szCs w:val="21"/>
                <w:color w:val="FFFFFF"/>
              </w:rPr>
              <w:t>•</w:t>
            </w:r>
          </w:p>
        </w:tc>
        <w:tc>
          <w:tcPr>
            <w:tcW w:w="3280" w:type="dxa"/>
            <w:vAlign w:val="bottom"/>
            <w:vMerge w:val="restart"/>
          </w:tcPr>
          <w:p>
            <w:pPr>
              <w:ind w:left="60"/>
              <w:spacing w:after="0"/>
              <w:rPr>
                <w:sz w:val="20"/>
                <w:szCs w:val="20"/>
                <w:color w:val="auto"/>
              </w:rPr>
            </w:pPr>
            <w:r>
              <w:rPr>
                <w:rFonts w:ascii="Arial" w:cs="Arial" w:eastAsia="Arial" w:hAnsi="Arial"/>
                <w:sz w:val="21"/>
                <w:szCs w:val="21"/>
                <w:color w:val="FFFFFF"/>
              </w:rPr>
              <w:t>Direct Time</w:t>
            </w:r>
          </w:p>
        </w:tc>
        <w:tc>
          <w:tcPr>
            <w:tcW w:w="880" w:type="dxa"/>
            <w:vAlign w:val="bottom"/>
          </w:tcPr>
          <w:p>
            <w:pPr>
              <w:spacing w:after="0"/>
              <w:rPr>
                <w:sz w:val="15"/>
                <w:szCs w:val="15"/>
                <w:color w:val="auto"/>
              </w:rPr>
            </w:pPr>
          </w:p>
        </w:tc>
        <w:tc>
          <w:tcPr>
            <w:tcW w:w="3060" w:type="dxa"/>
            <w:vAlign w:val="bottom"/>
          </w:tcPr>
          <w:p>
            <w:pPr>
              <w:ind w:left="360"/>
              <w:spacing w:after="0"/>
              <w:rPr>
                <w:sz w:val="20"/>
                <w:szCs w:val="20"/>
                <w:color w:val="auto"/>
              </w:rPr>
            </w:pPr>
            <w:r>
              <w:rPr>
                <w:rFonts w:ascii="Arial" w:cs="Arial" w:eastAsia="Arial" w:hAnsi="Arial"/>
                <w:sz w:val="14"/>
                <w:szCs w:val="14"/>
                <w:color w:val="FFFFFF"/>
              </w:rPr>
              <w:t xml:space="preserve">-BTS </w:t>
            </w:r>
            <w:r>
              <w:rPr>
                <w:rFonts w:ascii="Arial" w:cs="Arial" w:eastAsia="Arial" w:hAnsi="Arial"/>
                <w:sz w:val="14"/>
                <w:szCs w:val="14"/>
                <w:i w:val="1"/>
                <w:iCs w:val="1"/>
                <w:color w:val="FFFFFF"/>
              </w:rPr>
              <w:t>(Borderless Talent Solutions)</w:t>
            </w:r>
          </w:p>
        </w:tc>
        <w:tc>
          <w:tcPr>
            <w:tcW w:w="0" w:type="dxa"/>
            <w:vAlign w:val="bottom"/>
          </w:tcPr>
          <w:p>
            <w:pPr>
              <w:spacing w:after="0"/>
              <w:rPr>
                <w:sz w:val="1"/>
                <w:szCs w:val="1"/>
                <w:color w:val="auto"/>
              </w:rPr>
            </w:pPr>
          </w:p>
        </w:tc>
      </w:tr>
      <w:tr>
        <w:trPr>
          <w:trHeight w:val="138"/>
        </w:trPr>
        <w:tc>
          <w:tcPr>
            <w:tcW w:w="140" w:type="dxa"/>
            <w:vAlign w:val="bottom"/>
            <w:vMerge w:val="continue"/>
          </w:tcPr>
          <w:p>
            <w:pPr>
              <w:spacing w:after="0"/>
              <w:rPr>
                <w:sz w:val="12"/>
                <w:szCs w:val="12"/>
                <w:color w:val="auto"/>
              </w:rPr>
            </w:pPr>
          </w:p>
        </w:tc>
        <w:tc>
          <w:tcPr>
            <w:tcW w:w="3280" w:type="dxa"/>
            <w:vAlign w:val="bottom"/>
            <w:vMerge w:val="continue"/>
          </w:tcPr>
          <w:p>
            <w:pPr>
              <w:spacing w:after="0"/>
              <w:rPr>
                <w:sz w:val="12"/>
                <w:szCs w:val="12"/>
                <w:color w:val="auto"/>
              </w:rPr>
            </w:pPr>
          </w:p>
        </w:tc>
        <w:tc>
          <w:tcPr>
            <w:tcW w:w="880" w:type="dxa"/>
            <w:vAlign w:val="bottom"/>
            <w:vMerge w:val="restart"/>
          </w:tcPr>
          <w:p>
            <w:pPr>
              <w:ind w:left="740"/>
              <w:spacing w:after="0"/>
              <w:rPr>
                <w:sz w:val="20"/>
                <w:szCs w:val="20"/>
                <w:color w:val="auto"/>
              </w:rPr>
            </w:pPr>
            <w:r>
              <w:rPr>
                <w:rFonts w:ascii="Arial" w:cs="Arial" w:eastAsia="Arial" w:hAnsi="Arial"/>
                <w:sz w:val="22"/>
                <w:szCs w:val="22"/>
                <w:color w:val="FFFFFF"/>
              </w:rPr>
              <w:t>•</w:t>
            </w:r>
          </w:p>
        </w:tc>
        <w:tc>
          <w:tcPr>
            <w:tcW w:w="3060" w:type="dxa"/>
            <w:vAlign w:val="bottom"/>
            <w:vMerge w:val="restart"/>
          </w:tcPr>
          <w:p>
            <w:pPr>
              <w:ind w:left="60"/>
              <w:spacing w:after="0"/>
              <w:rPr>
                <w:sz w:val="20"/>
                <w:szCs w:val="20"/>
                <w:color w:val="auto"/>
              </w:rPr>
            </w:pPr>
            <w:r>
              <w:rPr>
                <w:rFonts w:ascii="Arial" w:cs="Arial" w:eastAsia="Arial" w:hAnsi="Arial"/>
                <w:sz w:val="22"/>
                <w:szCs w:val="22"/>
                <w:color w:val="FFFFFF"/>
              </w:rPr>
              <w:t>Workforce Strategy</w:t>
            </w:r>
          </w:p>
        </w:tc>
        <w:tc>
          <w:tcPr>
            <w:tcW w:w="0" w:type="dxa"/>
            <w:vAlign w:val="bottom"/>
          </w:tcPr>
          <w:p>
            <w:pPr>
              <w:spacing w:after="0"/>
              <w:rPr>
                <w:sz w:val="1"/>
                <w:szCs w:val="1"/>
                <w:color w:val="auto"/>
              </w:rPr>
            </w:pPr>
          </w:p>
        </w:tc>
      </w:tr>
      <w:tr>
        <w:trPr>
          <w:trHeight w:val="123"/>
        </w:trPr>
        <w:tc>
          <w:tcPr>
            <w:tcW w:w="14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3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4800"/>
        <w:spacing w:after="0"/>
        <w:rPr>
          <w:sz w:val="20"/>
          <w:szCs w:val="20"/>
          <w:color w:val="auto"/>
        </w:rPr>
      </w:pPr>
      <w:r>
        <w:rPr>
          <w:rFonts w:ascii="Arial" w:cs="Arial" w:eastAsia="Arial" w:hAnsi="Arial"/>
          <w:sz w:val="22"/>
          <w:szCs w:val="22"/>
          <w:color w:val="FFFFFF"/>
        </w:rPr>
        <w:t>• Government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713740</wp:posOffset>
            </wp:positionV>
            <wp:extent cx="728345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9080"/>
          </w:cols>
          <w:pgMar w:left="1440" w:top="465" w:right="1379" w:bottom="1440" w:gutter="0" w:footer="0" w:header="0"/>
        </w:sectPr>
      </w:pPr>
    </w:p>
    <w:bookmarkStart w:id="30" w:name="page31"/>
    <w:bookmarkEnd w:id="30"/>
    <w:p>
      <w:pPr>
        <w:ind w:left="1260"/>
        <w:spacing w:after="0"/>
        <w:tabs>
          <w:tab w:leader="none" w:pos="7680" w:val="left"/>
          <w:tab w:leader="none" w:pos="8900" w:val="left"/>
        </w:tabs>
        <w:rPr>
          <w:sz w:val="20"/>
          <w:szCs w:val="20"/>
          <w:color w:val="auto"/>
        </w:rPr>
      </w:pPr>
      <w:r>
        <w:rPr>
          <w:rFonts w:ascii="Arial" w:cs="Arial" w:eastAsia="Arial" w:hAnsi="Arial"/>
          <w:sz w:val="19"/>
          <w:szCs w:val="19"/>
          <w:color w:val="FFFFFF"/>
        </w:rPr>
        <w:t>Manpower Inc. 2010 4</w:t>
      </w:r>
      <w:r>
        <w:rPr>
          <w:rFonts w:ascii="Arial" w:cs="Arial" w:eastAsia="Arial" w:hAnsi="Arial"/>
          <w:sz w:val="27"/>
          <w:szCs w:val="27"/>
          <w:color w:val="FFFFFF"/>
          <w:vertAlign w:val="superscript"/>
        </w:rPr>
        <w:t>th</w:t>
      </w:r>
      <w:r>
        <w:rPr>
          <w:rFonts w:ascii="Arial" w:cs="Arial" w:eastAsia="Arial" w:hAnsi="Arial"/>
          <w:sz w:val="19"/>
          <w:szCs w:val="19"/>
          <w:color w:val="FFFFFF"/>
        </w:rPr>
        <w:t xml:space="preserve"> Quarter Results</w:t>
      </w:r>
      <w:r>
        <w:rPr>
          <w:sz w:val="20"/>
          <w:szCs w:val="20"/>
          <w:color w:val="auto"/>
        </w:rPr>
        <w:tab/>
      </w:r>
      <w:r>
        <w:rPr>
          <w:rFonts w:ascii="Arial" w:cs="Arial" w:eastAsia="Arial" w:hAnsi="Arial"/>
          <w:sz w:val="15"/>
          <w:szCs w:val="15"/>
          <w:color w:val="FFFFFF"/>
        </w:rPr>
        <w:t>February 2011</w:t>
      </w:r>
      <w:r>
        <w:rPr>
          <w:sz w:val="20"/>
          <w:szCs w:val="20"/>
          <w:color w:val="auto"/>
        </w:rPr>
        <w:tab/>
      </w:r>
      <w:r>
        <w:rPr>
          <w:rFonts w:ascii="Arial" w:cs="Arial" w:eastAsia="Arial" w:hAnsi="Arial"/>
          <w:sz w:val="14"/>
          <w:szCs w:val="14"/>
          <w:color w:val="FFFFFF"/>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40"/>
        <w:spacing w:after="0"/>
        <w:rPr>
          <w:sz w:val="20"/>
          <w:szCs w:val="20"/>
          <w:color w:val="auto"/>
        </w:rPr>
      </w:pPr>
      <w:r>
        <w:rPr>
          <w:rFonts w:ascii="Arial" w:cs="Arial" w:eastAsia="Arial" w:hAnsi="Arial"/>
          <w:sz w:val="56"/>
          <w:szCs w:val="56"/>
          <w:color w:val="auto"/>
        </w:rPr>
        <w:t>Questions?</w:t>
      </w:r>
    </w:p>
    <w:p>
      <w:pPr>
        <w:ind w:left="4440"/>
        <w:spacing w:after="0"/>
        <w:rPr>
          <w:sz w:val="20"/>
          <w:szCs w:val="20"/>
          <w:color w:val="auto"/>
        </w:rPr>
      </w:pPr>
      <w:r>
        <w:rPr>
          <w:rFonts w:ascii="Arial" w:cs="Arial" w:eastAsia="Arial" w:hAnsi="Arial"/>
          <w:sz w:val="84"/>
          <w:szCs w:val="84"/>
          <w:color w:val="auto"/>
        </w:rPr>
        <w:t>Answers</w:t>
      </w:r>
    </w:p>
    <w:p>
      <w:pPr>
        <w:sectPr>
          <w:pgSz w:w="11900" w:h="16838" w:orient="portrait"/>
          <w:cols w:equalWidth="0" w:num="1">
            <w:col w:w="9080"/>
          </w:cols>
          <w:pgMar w:left="1440" w:top="465" w:right="1379" w:bottom="1440" w:gutter="0" w:footer="0" w:header="0"/>
        </w:sectPr>
      </w:pPr>
    </w:p>
    <w:bookmarkStart w:id="31" w:name="page32"/>
    <w:bookmarkEnd w:id="31"/>
    <w:p>
      <w:pPr>
        <w:spacing w:after="0" w:line="62" w:lineRule="exact"/>
        <w:rPr>
          <w:sz w:val="20"/>
          <w:szCs w:val="20"/>
          <w:color w:val="auto"/>
        </w:rPr>
      </w:pPr>
    </w:p>
    <w:p>
      <w:pPr>
        <w:ind w:left="10600"/>
        <w:spacing w:after="0"/>
        <w:rPr>
          <w:sz w:val="20"/>
          <w:szCs w:val="20"/>
          <w:color w:val="auto"/>
        </w:rPr>
      </w:pPr>
      <w:r>
        <w:rPr>
          <w:rFonts w:ascii="Arial" w:cs="Arial" w:eastAsia="Arial" w:hAnsi="Arial"/>
          <w:sz w:val="15"/>
          <w:szCs w:val="15"/>
          <w:b w:val="1"/>
          <w:bCs w:val="1"/>
          <w:color w:val="auto"/>
        </w:rPr>
        <w:t>Exhibit 99.3</w:t>
      </w:r>
    </w:p>
    <w:p>
      <w:pPr>
        <w:spacing w:after="0" w:line="205"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Manpower Inc.</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Restated Operating Unit Results</w:t>
      </w:r>
    </w:p>
    <w:p>
      <w:pPr>
        <w:jc w:val="center"/>
        <w:ind w:right="120"/>
        <w:spacing w:after="0"/>
        <w:rPr>
          <w:sz w:val="20"/>
          <w:szCs w:val="20"/>
          <w:color w:val="auto"/>
        </w:rPr>
      </w:pPr>
      <w:r>
        <w:rPr>
          <w:rFonts w:ascii="Arial" w:cs="Arial" w:eastAsia="Arial" w:hAnsi="Arial"/>
          <w:sz w:val="14"/>
          <w:szCs w:val="14"/>
          <w:b w:val="1"/>
          <w:bCs w:val="1"/>
          <w:color w:val="auto"/>
        </w:rPr>
        <w:t>(In millions)</w:t>
      </w:r>
    </w:p>
    <w:p>
      <w:pPr>
        <w:spacing w:after="0" w:line="161" w:lineRule="exact"/>
        <w:rPr>
          <w:sz w:val="20"/>
          <w:szCs w:val="20"/>
          <w:color w:val="auto"/>
        </w:rPr>
      </w:pPr>
    </w:p>
    <w:p>
      <w:pPr>
        <w:jc w:val="both"/>
        <w:ind w:right="480"/>
        <w:spacing w:after="0" w:line="261" w:lineRule="auto"/>
        <w:rPr>
          <w:sz w:val="20"/>
          <w:szCs w:val="20"/>
          <w:color w:val="auto"/>
        </w:rPr>
      </w:pPr>
      <w:r>
        <w:rPr>
          <w:rFonts w:ascii="Arial" w:cs="Arial" w:eastAsia="Arial" w:hAnsi="Arial"/>
          <w:sz w:val="14"/>
          <w:szCs w:val="14"/>
          <w:color w:val="auto"/>
        </w:rPr>
        <w:t>During the fourth quarter of 2010, our segment reporting was realigned due to our Jefferson Wells business being combined with our Professional Finance and Accounting vertical within the United States. Accordingly, our former reportable segment, Jefferson Wells, is now reported within our United States operating segment as part of the Americas reportable segment. All previously reported results have been restated to conform to the current year presentation.</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1"/>
              </w:rPr>
              <w:t>Three Months Ended March 31</w:t>
            </w:r>
          </w:p>
        </w:tc>
        <w:tc>
          <w:tcPr>
            <w:tcW w:w="9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0"/>
              </w:rPr>
              <w:t>Three Months Ended June 30</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8"/>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 Variance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 Variance</w:t>
            </w:r>
          </w:p>
        </w:tc>
        <w:tc>
          <w:tcPr>
            <w:tcW w:w="120" w:type="dxa"/>
            <w:vAlign w:val="bottom"/>
          </w:tcPr>
          <w:p>
            <w:pPr>
              <w:spacing w:after="0"/>
              <w:rPr>
                <w:sz w:val="14"/>
                <w:szCs w:val="14"/>
                <w:color w:val="auto"/>
              </w:rPr>
            </w:pPr>
          </w:p>
        </w:tc>
      </w:tr>
      <w:tr>
        <w:trPr>
          <w:trHeight w:val="152"/>
        </w:trPr>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460"/>
              <w:spacing w:after="0" w:line="153" w:lineRule="exact"/>
              <w:rPr>
                <w:sz w:val="20"/>
                <w:szCs w:val="20"/>
                <w:color w:val="auto"/>
              </w:rPr>
            </w:pPr>
            <w:r>
              <w:rPr>
                <w:rFonts w:ascii="Arial" w:cs="Arial" w:eastAsia="Arial" w:hAnsi="Arial"/>
                <w:sz w:val="14"/>
                <w:szCs w:val="14"/>
                <w:b w:val="1"/>
                <w:bCs w:val="1"/>
                <w:color w:val="auto"/>
              </w:rPr>
              <w:t>Amount</w:t>
            </w:r>
          </w:p>
        </w:tc>
        <w:tc>
          <w:tcPr>
            <w:tcW w:w="920" w:type="dxa"/>
            <w:vAlign w:val="bottom"/>
          </w:tcPr>
          <w:p>
            <w:pPr>
              <w:ind w:left="200"/>
              <w:spacing w:after="0" w:line="153" w:lineRule="exact"/>
              <w:rPr>
                <w:sz w:val="20"/>
                <w:szCs w:val="20"/>
                <w:color w:val="auto"/>
              </w:rPr>
            </w:pPr>
            <w:r>
              <w:rPr>
                <w:rFonts w:ascii="Arial" w:cs="Arial" w:eastAsia="Arial" w:hAnsi="Arial"/>
                <w:sz w:val="14"/>
                <w:szCs w:val="14"/>
                <w:b w:val="1"/>
                <w:bCs w:val="1"/>
                <w:color w:val="auto"/>
              </w:rPr>
              <w:t>Constant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Amount</w:t>
            </w:r>
          </w:p>
        </w:tc>
        <w:tc>
          <w:tcPr>
            <w:tcW w:w="90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Constant</w:t>
            </w:r>
          </w:p>
        </w:tc>
        <w:tc>
          <w:tcPr>
            <w:tcW w:w="120" w:type="dxa"/>
            <w:vAlign w:val="bottom"/>
          </w:tcPr>
          <w:p>
            <w:pPr>
              <w:spacing w:after="0"/>
              <w:rPr>
                <w:sz w:val="13"/>
                <w:szCs w:val="13"/>
                <w:color w:val="auto"/>
              </w:rPr>
            </w:pPr>
          </w:p>
        </w:tc>
      </w:tr>
      <w:tr>
        <w:trPr>
          <w:trHeight w:val="183"/>
        </w:trPr>
        <w:tc>
          <w:tcPr>
            <w:tcW w:w="2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Reported</w:t>
            </w:r>
          </w:p>
        </w:tc>
        <w:tc>
          <w:tcPr>
            <w:tcW w:w="240" w:type="dxa"/>
            <w:vAlign w:val="bottom"/>
          </w:tcPr>
          <w:p>
            <w:pPr>
              <w:spacing w:after="0"/>
              <w:rPr>
                <w:sz w:val="15"/>
                <w:szCs w:val="15"/>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Currency</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Reported</w:t>
            </w:r>
          </w:p>
        </w:tc>
        <w:tc>
          <w:tcPr>
            <w:tcW w:w="220" w:type="dxa"/>
            <w:vAlign w:val="bottom"/>
          </w:tcPr>
          <w:p>
            <w:pPr>
              <w:spacing w:after="0"/>
              <w:rPr>
                <w:sz w:val="15"/>
                <w:szCs w:val="15"/>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5"/>
                <w:szCs w:val="15"/>
                <w:color w:val="auto"/>
              </w:rPr>
            </w:pPr>
          </w:p>
        </w:tc>
      </w:tr>
      <w:tr>
        <w:trPr>
          <w:trHeight w:val="167"/>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(Unaudited)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 from Services: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tcPr>
          <w:p>
            <w:pPr>
              <w:ind w:left="60"/>
              <w:spacing w:after="0"/>
              <w:rPr>
                <w:sz w:val="20"/>
                <w:szCs w:val="20"/>
                <w:color w:val="auto"/>
              </w:rPr>
            </w:pPr>
            <w:r>
              <w:rPr>
                <w:rFonts w:ascii="Arial" w:cs="Arial" w:eastAsia="Arial" w:hAnsi="Arial"/>
                <w:sz w:val="14"/>
                <w:szCs w:val="14"/>
                <w:color w:val="auto"/>
              </w:rPr>
              <w:t>Americas: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United States</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482.7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426.5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13.2%</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13.2%</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726.6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422.4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72.0%</w:t>
            </w:r>
          </w:p>
        </w:tc>
      </w:tr>
      <w:tr>
        <w:trPr>
          <w:trHeight w:val="167"/>
        </w:trPr>
        <w:tc>
          <w:tcPr>
            <w:tcW w:w="2420" w:type="dxa"/>
            <w:vAlign w:val="bottom"/>
          </w:tcPr>
          <w:p>
            <w:pPr>
              <w:ind w:left="220"/>
              <w:spacing w:after="0"/>
              <w:rPr>
                <w:sz w:val="20"/>
                <w:szCs w:val="20"/>
                <w:color w:val="auto"/>
              </w:rPr>
            </w:pPr>
            <w:r>
              <w:rPr>
                <w:rFonts w:ascii="Arial" w:cs="Arial" w:eastAsia="Arial" w:hAnsi="Arial"/>
                <w:sz w:val="14"/>
                <w:szCs w:val="14"/>
                <w:color w:val="auto"/>
              </w:rPr>
              <w:t>Other Americas</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294.5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219.2</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34.4%</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22.8%</w:t>
            </w: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306.1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220.7</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38.6%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30.9%</w:t>
            </w:r>
          </w:p>
        </w:tc>
      </w:tr>
      <w:tr>
        <w:trPr>
          <w:trHeight w:val="21"/>
        </w:trPr>
        <w:tc>
          <w:tcPr>
            <w:tcW w:w="2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645.7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20.4%</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16.4%</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1,032.7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643.1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57.9%</w:t>
            </w:r>
          </w:p>
        </w:tc>
      </w:tr>
      <w:tr>
        <w:trPr>
          <w:trHeight w:val="167"/>
        </w:trPr>
        <w:tc>
          <w:tcPr>
            <w:tcW w:w="24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67"/>
        </w:trPr>
        <w:tc>
          <w:tcPr>
            <w:tcW w:w="2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France</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1,107.5</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956.9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1,255.9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1,100.1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w:t>
            </w:r>
          </w:p>
        </w:tc>
      </w:tr>
      <w:tr>
        <w:trPr>
          <w:trHeight w:val="167"/>
        </w:trPr>
        <w:tc>
          <w:tcPr>
            <w:tcW w:w="2420" w:type="dxa"/>
            <w:vAlign w:val="bottom"/>
          </w:tcPr>
          <w:p>
            <w:pPr>
              <w:ind w:left="80"/>
              <w:spacing w:after="0"/>
              <w:rPr>
                <w:sz w:val="20"/>
                <w:szCs w:val="20"/>
                <w:color w:val="auto"/>
              </w:rPr>
            </w:pPr>
            <w:r>
              <w:rPr>
                <w:rFonts w:ascii="Arial" w:cs="Arial" w:eastAsia="Arial" w:hAnsi="Arial"/>
                <w:sz w:val="14"/>
                <w:szCs w:val="14"/>
                <w:color w:val="auto"/>
              </w:rPr>
              <w:t>EMEA:</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Italy</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234.2</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220.4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0.4%</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258.8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230.1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20.6%</w:t>
            </w:r>
          </w:p>
        </w:tc>
      </w:tr>
      <w:tr>
        <w:trPr>
          <w:trHeight w:val="167"/>
        </w:trPr>
        <w:tc>
          <w:tcPr>
            <w:tcW w:w="2420" w:type="dxa"/>
            <w:vAlign w:val="bottom"/>
          </w:tcPr>
          <w:p>
            <w:pPr>
              <w:ind w:left="220"/>
              <w:spacing w:after="0"/>
              <w:rPr>
                <w:sz w:val="20"/>
                <w:szCs w:val="20"/>
                <w:color w:val="auto"/>
              </w:rPr>
            </w:pPr>
            <w:r>
              <w:rPr>
                <w:rFonts w:ascii="Arial" w:cs="Arial" w:eastAsia="Arial" w:hAnsi="Arial"/>
                <w:sz w:val="14"/>
                <w:szCs w:val="14"/>
                <w:color w:val="auto"/>
              </w:rPr>
              <w:t>Other EMEA</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1,379.6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1,258.8</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9.6%</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1,433.7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1,255.9</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14.2%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18.0%</w:t>
            </w:r>
          </w:p>
        </w:tc>
      </w:tr>
      <w:tr>
        <w:trPr>
          <w:trHeight w:val="21"/>
        </w:trPr>
        <w:tc>
          <w:tcPr>
            <w:tcW w:w="2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1,479.2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0.4%</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1,692.5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1,486.0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21"/>
        </w:trPr>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7"/>
        </w:trPr>
        <w:tc>
          <w:tcPr>
            <w:tcW w:w="2420" w:type="dxa"/>
            <w:vAlign w:val="bottom"/>
          </w:tcPr>
          <w:p>
            <w:pPr>
              <w:ind w:left="6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497.5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425.2</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17.0%</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5.3%</w:t>
            </w: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505.7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406.2</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24.5%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15.4%</w:t>
            </w:r>
          </w:p>
        </w:tc>
      </w:tr>
      <w:tr>
        <w:trPr>
          <w:trHeight w:val="167"/>
        </w:trPr>
        <w:tc>
          <w:tcPr>
            <w:tcW w:w="2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Right Management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136.0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-27.9%</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98.8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-37.8%</w:t>
            </w:r>
          </w:p>
        </w:tc>
      </w:tr>
      <w:tr>
        <w:trPr>
          <w:trHeight w:val="21"/>
        </w:trPr>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7"/>
        </w:trPr>
        <w:tc>
          <w:tcPr>
            <w:tcW w:w="2420" w:type="dxa"/>
            <w:vAlign w:val="bottom"/>
          </w:tcPr>
          <w:p>
            <w:pPr>
              <w:spacing w:after="0"/>
              <w:rPr>
                <w:sz w:val="14"/>
                <w:szCs w:val="14"/>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4,099.3</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3,643.0</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12.5%</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5.1%</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4,585.6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3,793.5</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20.9%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23.7%</w:t>
            </w:r>
          </w:p>
        </w:tc>
      </w:tr>
      <w:tr>
        <w:trPr>
          <w:trHeight w:val="20"/>
        </w:trPr>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9"/>
        </w:trPr>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b w:val="1"/>
                <w:bCs w:val="1"/>
                <w:color w:val="auto"/>
              </w:rPr>
              <w:t>Operating Unit Profit (Loss):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Americas: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tcPr>
          <w:p>
            <w:pPr>
              <w:ind w:left="220"/>
              <w:spacing w:after="0"/>
              <w:rPr>
                <w:sz w:val="20"/>
                <w:szCs w:val="20"/>
                <w:color w:val="auto"/>
              </w:rPr>
            </w:pPr>
            <w:r>
              <w:rPr>
                <w:rFonts w:ascii="Arial" w:cs="Arial" w:eastAsia="Arial" w:hAnsi="Arial"/>
                <w:sz w:val="14"/>
                <w:szCs w:val="14"/>
                <w:color w:val="auto"/>
              </w:rPr>
              <w:t>United States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(20.5)</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N/A</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N/A</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14.7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(14.3)</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N/A</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167"/>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Americas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87.6%</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110.7%</w:t>
            </w:r>
          </w:p>
        </w:tc>
      </w:tr>
      <w:tr>
        <w:trPr>
          <w:trHeight w:val="21"/>
        </w:trPr>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8"/>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(15.7)</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N/A</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(10.4)</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N/A</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167"/>
        </w:trPr>
        <w:tc>
          <w:tcPr>
            <w:tcW w:w="24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tcPr>
          <w:p>
            <w:pPr>
              <w:ind w:left="80"/>
              <w:spacing w:after="0"/>
              <w:rPr>
                <w:sz w:val="20"/>
                <w:szCs w:val="20"/>
                <w:color w:val="auto"/>
              </w:rPr>
            </w:pPr>
            <w:r>
              <w:rPr>
                <w:rFonts w:ascii="Arial" w:cs="Arial" w:eastAsia="Arial" w:hAnsi="Arial"/>
                <w:sz w:val="14"/>
                <w:szCs w:val="14"/>
                <w:color w:val="auto"/>
              </w:rPr>
              <w:t>France</w:t>
            </w:r>
          </w:p>
        </w:tc>
        <w:tc>
          <w:tcPr>
            <w:tcW w:w="2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1.0</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-83.9%</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-69.7%</w:t>
            </w: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4.2</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139.8%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168.6%</w:t>
            </w:r>
          </w:p>
        </w:tc>
      </w:tr>
      <w:tr>
        <w:trPr>
          <w:trHeight w:val="167"/>
        </w:trPr>
        <w:tc>
          <w:tcPr>
            <w:tcW w:w="2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EMEA:</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tcPr>
          <w:p>
            <w:pPr>
              <w:ind w:left="220"/>
              <w:spacing w:after="0"/>
              <w:rPr>
                <w:sz w:val="20"/>
                <w:szCs w:val="20"/>
                <w:color w:val="auto"/>
              </w:rPr>
            </w:pPr>
            <w:r>
              <w:rPr>
                <w:rFonts w:ascii="Arial" w:cs="Arial" w:eastAsia="Arial" w:hAnsi="Arial"/>
                <w:sz w:val="14"/>
                <w:szCs w:val="14"/>
                <w:color w:val="auto"/>
              </w:rPr>
              <w:t>Italy</w:t>
            </w:r>
          </w:p>
        </w:tc>
        <w:tc>
          <w:tcPr>
            <w:tcW w:w="2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1.4</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384.9%</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361.8%</w:t>
            </w: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6.8</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99.4%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115.2%</w:t>
            </w:r>
          </w:p>
        </w:tc>
      </w:tr>
      <w:tr>
        <w:trPr>
          <w:trHeight w:val="167"/>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EMEA</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(2.2)</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N/A</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(5.6)</w:t>
            </w: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r>
      <w:tr>
        <w:trPr>
          <w:trHeight w:val="21"/>
        </w:trPr>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7"/>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(0.8)</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N/A</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44.0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1.2</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N/A</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21"/>
        </w:trPr>
        <w:tc>
          <w:tcPr>
            <w:tcW w:w="2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2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Asia Pacific</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237.3%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215.1%</w:t>
            </w:r>
          </w:p>
        </w:tc>
      </w:tr>
      <w:tr>
        <w:trPr>
          <w:trHeight w:val="167"/>
        </w:trPr>
        <w:tc>
          <w:tcPr>
            <w:tcW w:w="2420" w:type="dxa"/>
            <w:vAlign w:val="bottom"/>
          </w:tcPr>
          <w:p>
            <w:pPr>
              <w:ind w:left="80"/>
              <w:spacing w:after="0"/>
              <w:rPr>
                <w:sz w:val="20"/>
                <w:szCs w:val="20"/>
                <w:color w:val="auto"/>
              </w:rPr>
            </w:pPr>
            <w:r>
              <w:rPr>
                <w:rFonts w:ascii="Arial" w:cs="Arial" w:eastAsia="Arial" w:hAnsi="Arial"/>
                <w:sz w:val="14"/>
                <w:szCs w:val="14"/>
                <w:color w:val="auto"/>
              </w:rPr>
              <w:t>Right Management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29.1</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-56.9%</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-58.1%</w:t>
            </w: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42.3</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-81.5%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-81.7%</w:t>
            </w:r>
          </w:p>
        </w:tc>
      </w:tr>
      <w:tr>
        <w:trPr>
          <w:trHeight w:val="21"/>
        </w:trPr>
        <w:tc>
          <w:tcPr>
            <w:tcW w:w="2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8"/>
        </w:trPr>
        <w:tc>
          <w:tcPr>
            <w:tcW w:w="2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25.7</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97.1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40.8</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rPr>
              <w:t>Corporate expenses</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(19.0)</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(16.5)</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 amortization expense</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(5.3)</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(5.3)</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w w:val="99"/>
              </w:rPr>
              <w:t>Reclassification of French business tax</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
        </w:trPr>
        <w:tc>
          <w:tcPr>
            <w:tcW w:w="2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8"/>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profit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N/A</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314.9%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331.0%</w:t>
            </w: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rPr>
              <w:t>Interest and other expenses</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(11.9)</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(10.8)</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
        </w:trPr>
        <w:tc>
          <w:tcPr>
            <w:tcW w:w="2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7"/>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Earnings (loss) before income taxes</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714"/>
        </w:trPr>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0"/>
              </w:rPr>
              <w:t>Six Months Ended June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 Variance</w:t>
            </w:r>
          </w:p>
        </w:tc>
        <w:tc>
          <w:tcPr>
            <w:tcW w:w="120" w:type="dxa"/>
            <w:vAlign w:val="bottom"/>
          </w:tcPr>
          <w:p>
            <w:pPr>
              <w:spacing w:after="0"/>
              <w:rPr>
                <w:sz w:val="14"/>
                <w:szCs w:val="14"/>
                <w:color w:val="auto"/>
              </w:rPr>
            </w:pPr>
          </w:p>
        </w:tc>
      </w:tr>
      <w:tr>
        <w:trPr>
          <w:trHeight w:val="152"/>
        </w:trPr>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Amount</w:t>
            </w:r>
          </w:p>
        </w:tc>
        <w:tc>
          <w:tcPr>
            <w:tcW w:w="90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Constant</w:t>
            </w:r>
          </w:p>
        </w:tc>
        <w:tc>
          <w:tcPr>
            <w:tcW w:w="120" w:type="dxa"/>
            <w:vAlign w:val="bottom"/>
          </w:tcPr>
          <w:p>
            <w:pPr>
              <w:spacing w:after="0"/>
              <w:rPr>
                <w:sz w:val="13"/>
                <w:szCs w:val="13"/>
                <w:color w:val="auto"/>
              </w:rPr>
            </w:pPr>
          </w:p>
        </w:tc>
      </w:tr>
      <w:tr>
        <w:trPr>
          <w:trHeight w:val="183"/>
        </w:trPr>
        <w:tc>
          <w:tcPr>
            <w:tcW w:w="2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Reported</w:t>
            </w:r>
          </w:p>
        </w:tc>
        <w:tc>
          <w:tcPr>
            <w:tcW w:w="220" w:type="dxa"/>
            <w:vAlign w:val="bottom"/>
          </w:tcPr>
          <w:p>
            <w:pPr>
              <w:spacing w:after="0"/>
              <w:rPr>
                <w:sz w:val="15"/>
                <w:szCs w:val="15"/>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5"/>
                <w:szCs w:val="15"/>
                <w:color w:val="auto"/>
              </w:rPr>
            </w:pPr>
          </w:p>
        </w:tc>
      </w:tr>
      <w:tr>
        <w:trPr>
          <w:trHeight w:val="167"/>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(Unaudited)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 from Services: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tcPr>
          <w:p>
            <w:pPr>
              <w:ind w:left="60"/>
              <w:spacing w:after="0"/>
              <w:rPr>
                <w:sz w:val="20"/>
                <w:szCs w:val="20"/>
                <w:color w:val="auto"/>
              </w:rPr>
            </w:pPr>
            <w:r>
              <w:rPr>
                <w:rFonts w:ascii="Arial" w:cs="Arial" w:eastAsia="Arial" w:hAnsi="Arial"/>
                <w:sz w:val="14"/>
                <w:szCs w:val="14"/>
                <w:color w:val="auto"/>
              </w:rPr>
              <w:t>Americas: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United States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1,209.3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848.9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42.4%</w:t>
            </w:r>
          </w:p>
        </w:tc>
      </w:tr>
      <w:tr>
        <w:trPr>
          <w:trHeight w:val="167"/>
        </w:trPr>
        <w:tc>
          <w:tcPr>
            <w:tcW w:w="2420" w:type="dxa"/>
            <w:vAlign w:val="bottom"/>
          </w:tcPr>
          <w:p>
            <w:pPr>
              <w:ind w:left="220"/>
              <w:spacing w:after="0"/>
              <w:rPr>
                <w:sz w:val="20"/>
                <w:szCs w:val="20"/>
                <w:color w:val="auto"/>
              </w:rPr>
            </w:pPr>
            <w:r>
              <w:rPr>
                <w:rFonts w:ascii="Arial" w:cs="Arial" w:eastAsia="Arial" w:hAnsi="Arial"/>
                <w:sz w:val="14"/>
                <w:szCs w:val="14"/>
                <w:color w:val="auto"/>
              </w:rPr>
              <w:t>Other Americas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439.9</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36.5%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26.9%</w:t>
            </w:r>
          </w:p>
        </w:tc>
      </w:tr>
      <w:tr>
        <w:trPr>
          <w:trHeight w:val="21"/>
        </w:trPr>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1,809.9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1,288.8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37.1%</w:t>
            </w:r>
          </w:p>
        </w:tc>
      </w:tr>
      <w:tr>
        <w:trPr>
          <w:trHeight w:val="167"/>
        </w:trPr>
        <w:tc>
          <w:tcPr>
            <w:tcW w:w="24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gridSpan w:val="2"/>
          </w:tcPr>
          <w:p>
            <w:pPr>
              <w:spacing w:after="0"/>
              <w:rPr>
                <w:sz w:val="14"/>
                <w:szCs w:val="14"/>
                <w:color w:val="auto"/>
              </w:rPr>
            </w:pPr>
          </w:p>
        </w:tc>
        <w:tc>
          <w:tcPr>
            <w:tcW w:w="1020" w:type="dxa"/>
            <w:vAlign w:val="bottom"/>
            <w:tcBorders>
              <w:top w:val="single" w:sz="8" w:color="CCEEFF"/>
            </w:tcBorders>
            <w:gridSpan w:val="2"/>
          </w:tcPr>
          <w:p>
            <w:pPr>
              <w:spacing w:after="0"/>
              <w:rPr>
                <w:sz w:val="14"/>
                <w:szCs w:val="14"/>
                <w:color w:val="auto"/>
              </w:rPr>
            </w:pPr>
          </w:p>
        </w:tc>
      </w:tr>
      <w:tr>
        <w:trPr>
          <w:trHeight w:val="167"/>
        </w:trPr>
        <w:tc>
          <w:tcPr>
            <w:tcW w:w="2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France</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2,363.4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2,057.0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w:t>
            </w:r>
          </w:p>
        </w:tc>
      </w:tr>
      <w:tr>
        <w:trPr>
          <w:trHeight w:val="167"/>
        </w:trPr>
        <w:tc>
          <w:tcPr>
            <w:tcW w:w="2420" w:type="dxa"/>
            <w:vAlign w:val="bottom"/>
          </w:tcPr>
          <w:p>
            <w:pPr>
              <w:ind w:left="80"/>
              <w:spacing w:after="0"/>
              <w:rPr>
                <w:sz w:val="20"/>
                <w:szCs w:val="20"/>
                <w:color w:val="auto"/>
              </w:rPr>
            </w:pPr>
            <w:r>
              <w:rPr>
                <w:rFonts w:ascii="Arial" w:cs="Arial" w:eastAsia="Arial" w:hAnsi="Arial"/>
                <w:sz w:val="14"/>
                <w:szCs w:val="14"/>
                <w:color w:val="auto"/>
              </w:rPr>
              <w:t>EMEA:</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Italy</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493.0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450.5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167"/>
        </w:trPr>
        <w:tc>
          <w:tcPr>
            <w:tcW w:w="2420" w:type="dxa"/>
            <w:vAlign w:val="bottom"/>
          </w:tcPr>
          <w:p>
            <w:pPr>
              <w:ind w:left="220"/>
              <w:spacing w:after="0"/>
              <w:rPr>
                <w:sz w:val="20"/>
                <w:szCs w:val="20"/>
                <w:color w:val="auto"/>
              </w:rPr>
            </w:pPr>
            <w:r>
              <w:rPr>
                <w:rFonts w:ascii="Arial" w:cs="Arial" w:eastAsia="Arial" w:hAnsi="Arial"/>
                <w:sz w:val="14"/>
                <w:szCs w:val="14"/>
                <w:color w:val="auto"/>
              </w:rPr>
              <w:t>Other EMEA</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2,813.3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2,514.7</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9.2%</w:t>
            </w:r>
          </w:p>
        </w:tc>
      </w:tr>
      <w:tr>
        <w:trPr>
          <w:trHeight w:val="21"/>
        </w:trPr>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3,306.3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2,965.2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21"/>
        </w:trPr>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7"/>
        </w:trPr>
        <w:tc>
          <w:tcPr>
            <w:tcW w:w="2420" w:type="dxa"/>
            <w:vAlign w:val="bottom"/>
          </w:tcPr>
          <w:p>
            <w:pPr>
              <w:ind w:left="6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831.4</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20.7%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10.2%</w:t>
            </w:r>
          </w:p>
        </w:tc>
      </w:tr>
      <w:tr>
        <w:trPr>
          <w:trHeight w:val="167"/>
        </w:trPr>
        <w:tc>
          <w:tcPr>
            <w:tcW w:w="2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Right Management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294.1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-33.2%</w:t>
            </w:r>
          </w:p>
        </w:tc>
      </w:tr>
      <w:tr>
        <w:trPr>
          <w:trHeight w:val="21"/>
        </w:trPr>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7"/>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8,684.9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7,436.5</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16.8%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14.6%</w:t>
            </w:r>
          </w:p>
        </w:tc>
      </w:tr>
      <w:tr>
        <w:trPr>
          <w:trHeight w:val="20"/>
        </w:trPr>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9"/>
        </w:trPr>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b w:val="1"/>
                <w:bCs w:val="1"/>
                <w:color w:val="auto"/>
              </w:rPr>
              <w:t>Operating Unit Profit (Loss):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Americas: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tcPr>
          <w:p>
            <w:pPr>
              <w:ind w:left="220"/>
              <w:spacing w:after="0"/>
              <w:rPr>
                <w:sz w:val="20"/>
                <w:szCs w:val="20"/>
                <w:color w:val="auto"/>
              </w:rPr>
            </w:pPr>
            <w:r>
              <w:rPr>
                <w:rFonts w:ascii="Arial" w:cs="Arial" w:eastAsia="Arial" w:hAnsi="Arial"/>
                <w:sz w:val="14"/>
                <w:szCs w:val="14"/>
                <w:color w:val="auto"/>
              </w:rPr>
              <w:t>United States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(34.8)</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N/A</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167"/>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Americas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98.0%</w:t>
            </w:r>
          </w:p>
        </w:tc>
      </w:tr>
      <w:tr>
        <w:trPr>
          <w:trHeight w:val="21"/>
        </w:trPr>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8"/>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(26.1)</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N/A</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167"/>
        </w:trPr>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r>
      <w:tr>
        <w:trPr>
          <w:trHeight w:val="167"/>
        </w:trPr>
        <w:tc>
          <w:tcPr>
            <w:tcW w:w="2420" w:type="dxa"/>
            <w:vAlign w:val="bottom"/>
          </w:tcPr>
          <w:p>
            <w:pPr>
              <w:ind w:left="80"/>
              <w:spacing w:after="0"/>
              <w:rPr>
                <w:sz w:val="20"/>
                <w:szCs w:val="20"/>
                <w:color w:val="auto"/>
              </w:rPr>
            </w:pPr>
            <w:r>
              <w:rPr>
                <w:rFonts w:ascii="Arial" w:cs="Arial" w:eastAsia="Arial" w:hAnsi="Arial"/>
                <w:sz w:val="14"/>
                <w:szCs w:val="14"/>
                <w:color w:val="auto"/>
              </w:rPr>
              <w:t>France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5.2</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96.2%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122.1%</w:t>
            </w:r>
          </w:p>
        </w:tc>
      </w:tr>
      <w:tr>
        <w:trPr>
          <w:trHeight w:val="167"/>
        </w:trPr>
        <w:tc>
          <w:tcPr>
            <w:tcW w:w="2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EMEA:</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tcPr>
          <w:p>
            <w:pPr>
              <w:ind w:left="220"/>
              <w:spacing w:after="0"/>
              <w:rPr>
                <w:sz w:val="20"/>
                <w:szCs w:val="20"/>
                <w:color w:val="auto"/>
              </w:rPr>
            </w:pPr>
            <w:r>
              <w:rPr>
                <w:rFonts w:ascii="Arial" w:cs="Arial" w:eastAsia="Arial" w:hAnsi="Arial"/>
                <w:sz w:val="14"/>
                <w:szCs w:val="14"/>
                <w:color w:val="auto"/>
              </w:rPr>
              <w:t>Italy</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8.2</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148.4%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157.5%</w:t>
            </w:r>
          </w:p>
        </w:tc>
      </w:tr>
      <w:tr>
        <w:trPr>
          <w:trHeight w:val="167"/>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EMEA</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(7.8)</w:t>
            </w: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r>
      <w:tr>
        <w:trPr>
          <w:trHeight w:val="21"/>
        </w:trPr>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7"/>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0.4</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N/A</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21"/>
        </w:trPr>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2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Asia Pacific</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15.6</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41.9%</w:t>
            </w:r>
          </w:p>
        </w:tc>
      </w:tr>
      <w:tr>
        <w:trPr>
          <w:trHeight w:val="167"/>
        </w:trPr>
        <w:tc>
          <w:tcPr>
            <w:tcW w:w="2420" w:type="dxa"/>
            <w:vAlign w:val="bottom"/>
          </w:tcPr>
          <w:p>
            <w:pPr>
              <w:ind w:left="80"/>
              <w:spacing w:after="0"/>
              <w:rPr>
                <w:sz w:val="20"/>
                <w:szCs w:val="20"/>
                <w:color w:val="auto"/>
              </w:rPr>
            </w:pPr>
            <w:r>
              <w:rPr>
                <w:rFonts w:ascii="Arial" w:cs="Arial" w:eastAsia="Arial" w:hAnsi="Arial"/>
                <w:sz w:val="14"/>
                <w:szCs w:val="14"/>
                <w:color w:val="auto"/>
              </w:rPr>
              <w:t>Right Management</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71.4</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-71.5%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-72.1%</w:t>
            </w:r>
          </w:p>
        </w:tc>
      </w:tr>
      <w:tr>
        <w:trPr>
          <w:trHeight w:val="21"/>
        </w:trPr>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66.5</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rPr>
              <w:t>Corporate expenses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(46.8)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(35.5)</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 amortization expense</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(10.6)</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w w:val="99"/>
              </w:rPr>
              <w:t>Reclassification of French business tax</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
        </w:trPr>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profit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447.6%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441.4%</w:t>
            </w:r>
          </w:p>
        </w:tc>
      </w:tr>
      <w:tr>
        <w:trPr>
          <w:trHeight w:val="168"/>
        </w:trPr>
        <w:tc>
          <w:tcPr>
            <w:tcW w:w="2420" w:type="dxa"/>
            <w:vAlign w:val="bottom"/>
          </w:tcPr>
          <w:p>
            <w:pPr>
              <w:spacing w:after="0"/>
              <w:rPr>
                <w:sz w:val="20"/>
                <w:szCs w:val="20"/>
                <w:color w:val="auto"/>
              </w:rPr>
            </w:pPr>
            <w:r>
              <w:rPr>
                <w:rFonts w:ascii="Arial" w:cs="Arial" w:eastAsia="Arial" w:hAnsi="Arial"/>
                <w:sz w:val="14"/>
                <w:szCs w:val="14"/>
                <w:color w:val="auto"/>
              </w:rPr>
              <w:t>Interest and other expenses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(22.7)</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74"/>
        </w:trPr>
        <w:tc>
          <w:tcPr>
            <w:tcW w:w="24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r>
    </w:tbl>
    <w:p>
      <w:pPr>
        <w:sectPr>
          <w:pgSz w:w="11900" w:h="16900" w:orient="portrait"/>
          <w:cols w:equalWidth="0" w:num="1">
            <w:col w:w="11460"/>
          </w:cols>
          <w:pgMar w:left="220" w:top="118" w:right="21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Earnings (loss) before income taxes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86.9</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65"/>
        </w:trPr>
        <w:tc>
          <w:tcPr>
            <w:tcW w:w="2420" w:type="dxa"/>
            <w:vAlign w:val="bottom"/>
            <w:tcBorders>
              <w:top w:val="single" w:sz="8" w:color="CCEEFF"/>
            </w:tcBorders>
          </w:tcPr>
          <w:p>
            <w:pPr>
              <w:spacing w:after="0"/>
              <w:rPr>
                <w:sz w:val="5"/>
                <w:szCs w:val="5"/>
                <w:color w:val="auto"/>
              </w:rPr>
            </w:pPr>
          </w:p>
        </w:tc>
        <w:tc>
          <w:tcPr>
            <w:tcW w:w="200" w:type="dxa"/>
            <w:vAlign w:val="bottom"/>
            <w:tcBorders>
              <w:top w:val="single" w:sz="8" w:color="CCEEFF"/>
            </w:tcBorders>
          </w:tcPr>
          <w:p>
            <w:pPr>
              <w:spacing w:after="0"/>
              <w:rPr>
                <w:sz w:val="5"/>
                <w:szCs w:val="5"/>
                <w:color w:val="auto"/>
              </w:rPr>
            </w:pPr>
          </w:p>
        </w:tc>
        <w:tc>
          <w:tcPr>
            <w:tcW w:w="7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920" w:type="dxa"/>
            <w:vAlign w:val="bottom"/>
            <w:tcBorders>
              <w:top w:val="single" w:sz="8" w:color="CCEEFF"/>
            </w:tcBorders>
            <w:gridSpan w:val="2"/>
          </w:tcPr>
          <w:p>
            <w:pPr>
              <w:spacing w:after="0"/>
              <w:rPr>
                <w:sz w:val="5"/>
                <w:szCs w:val="5"/>
                <w:color w:val="auto"/>
              </w:rPr>
            </w:pPr>
          </w:p>
        </w:tc>
        <w:tc>
          <w:tcPr>
            <w:tcW w:w="1160" w:type="dxa"/>
            <w:vAlign w:val="bottom"/>
            <w:tcBorders>
              <w:top w:val="single" w:sz="8" w:color="CCEEFF"/>
            </w:tcBorders>
            <w:gridSpan w:val="2"/>
          </w:tcPr>
          <w:p>
            <w:pPr>
              <w:spacing w:after="0"/>
              <w:rPr>
                <w:sz w:val="5"/>
                <w:szCs w:val="5"/>
                <w:color w:val="auto"/>
              </w:rPr>
            </w:pPr>
          </w:p>
        </w:tc>
        <w:tc>
          <w:tcPr>
            <w:tcW w:w="240" w:type="dxa"/>
            <w:vAlign w:val="bottom"/>
            <w:tcBorders>
              <w:top w:val="single" w:sz="8" w:color="CCEEFF"/>
            </w:tcBorders>
          </w:tcPr>
          <w:p>
            <w:pPr>
              <w:spacing w:after="0"/>
              <w:rPr>
                <w:sz w:val="5"/>
                <w:szCs w:val="5"/>
                <w:color w:val="auto"/>
              </w:rPr>
            </w:pPr>
          </w:p>
        </w:tc>
        <w:tc>
          <w:tcPr>
            <w:tcW w:w="920" w:type="dxa"/>
            <w:vAlign w:val="bottom"/>
            <w:tcBorders>
              <w:top w:val="single" w:sz="8" w:color="CCEEFF"/>
            </w:tcBorders>
          </w:tcPr>
          <w:p>
            <w:pPr>
              <w:spacing w:after="0"/>
              <w:rPr>
                <w:sz w:val="5"/>
                <w:szCs w:val="5"/>
                <w:color w:val="auto"/>
              </w:rPr>
            </w:pPr>
          </w:p>
        </w:tc>
        <w:tc>
          <w:tcPr>
            <w:tcW w:w="260" w:type="dxa"/>
            <w:vAlign w:val="bottom"/>
            <w:tcBorders>
              <w:top w:val="single" w:sz="8" w:color="CCEEFF"/>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900" w:type="dxa"/>
            <w:vAlign w:val="bottom"/>
            <w:tcBorders>
              <w:top w:val="single" w:sz="8" w:color="auto"/>
            </w:tcBorders>
            <w:gridSpan w:val="2"/>
          </w:tcPr>
          <w:p>
            <w:pPr>
              <w:spacing w:after="0"/>
              <w:rPr>
                <w:sz w:val="5"/>
                <w:szCs w:val="5"/>
                <w:color w:val="auto"/>
              </w:rPr>
            </w:pPr>
          </w:p>
        </w:tc>
        <w:tc>
          <w:tcPr>
            <w:tcW w:w="1120" w:type="dxa"/>
            <w:vAlign w:val="bottom"/>
            <w:tcBorders>
              <w:top w:val="single" w:sz="8" w:color="CCEEFF"/>
            </w:tcBorders>
            <w:gridSpan w:val="2"/>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90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586"/>
        </w:trPr>
        <w:tc>
          <w:tcPr>
            <w:tcW w:w="2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8"/>
              </w:rPr>
              <w:t>Three Months Ended September 30</w:t>
            </w:r>
          </w:p>
        </w:tc>
        <w:tc>
          <w:tcPr>
            <w:tcW w:w="9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0"/>
              </w:rPr>
              <w:t>Nine Months Ended September 30</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 Variance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 Variance</w:t>
            </w:r>
          </w:p>
        </w:tc>
        <w:tc>
          <w:tcPr>
            <w:tcW w:w="120" w:type="dxa"/>
            <w:vAlign w:val="bottom"/>
          </w:tcPr>
          <w:p>
            <w:pPr>
              <w:spacing w:after="0"/>
              <w:rPr>
                <w:sz w:val="14"/>
                <w:szCs w:val="14"/>
                <w:color w:val="auto"/>
              </w:rPr>
            </w:pPr>
          </w:p>
        </w:tc>
      </w:tr>
      <w:tr>
        <w:trPr>
          <w:trHeight w:val="152"/>
        </w:trPr>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460"/>
              <w:spacing w:after="0" w:line="153" w:lineRule="exact"/>
              <w:rPr>
                <w:sz w:val="20"/>
                <w:szCs w:val="20"/>
                <w:color w:val="auto"/>
              </w:rPr>
            </w:pPr>
            <w:r>
              <w:rPr>
                <w:rFonts w:ascii="Arial" w:cs="Arial" w:eastAsia="Arial" w:hAnsi="Arial"/>
                <w:sz w:val="14"/>
                <w:szCs w:val="14"/>
                <w:b w:val="1"/>
                <w:bCs w:val="1"/>
                <w:color w:val="auto"/>
              </w:rPr>
              <w:t>Amount</w:t>
            </w:r>
          </w:p>
        </w:tc>
        <w:tc>
          <w:tcPr>
            <w:tcW w:w="920" w:type="dxa"/>
            <w:vAlign w:val="bottom"/>
          </w:tcPr>
          <w:p>
            <w:pPr>
              <w:ind w:left="200"/>
              <w:spacing w:after="0" w:line="153" w:lineRule="exact"/>
              <w:rPr>
                <w:sz w:val="20"/>
                <w:szCs w:val="20"/>
                <w:color w:val="auto"/>
              </w:rPr>
            </w:pPr>
            <w:r>
              <w:rPr>
                <w:rFonts w:ascii="Arial" w:cs="Arial" w:eastAsia="Arial" w:hAnsi="Arial"/>
                <w:sz w:val="14"/>
                <w:szCs w:val="14"/>
                <w:b w:val="1"/>
                <w:bCs w:val="1"/>
                <w:color w:val="auto"/>
              </w:rPr>
              <w:t>Constant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3"/>
                <w:szCs w:val="13"/>
                <w:color w:val="auto"/>
              </w:rPr>
            </w:pPr>
          </w:p>
        </w:tc>
        <w:tc>
          <w:tcPr>
            <w:tcW w:w="90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Constant</w:t>
            </w:r>
          </w:p>
        </w:tc>
        <w:tc>
          <w:tcPr>
            <w:tcW w:w="120" w:type="dxa"/>
            <w:vAlign w:val="bottom"/>
          </w:tcPr>
          <w:p>
            <w:pPr>
              <w:spacing w:after="0"/>
              <w:rPr>
                <w:sz w:val="13"/>
                <w:szCs w:val="13"/>
                <w:color w:val="auto"/>
              </w:rPr>
            </w:pPr>
          </w:p>
        </w:tc>
      </w:tr>
      <w:tr>
        <w:trPr>
          <w:trHeight w:val="183"/>
        </w:trPr>
        <w:tc>
          <w:tcPr>
            <w:tcW w:w="2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Reported</w:t>
            </w:r>
          </w:p>
        </w:tc>
        <w:tc>
          <w:tcPr>
            <w:tcW w:w="240" w:type="dxa"/>
            <w:vAlign w:val="bottom"/>
          </w:tcPr>
          <w:p>
            <w:pPr>
              <w:spacing w:after="0"/>
              <w:rPr>
                <w:sz w:val="15"/>
                <w:szCs w:val="15"/>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Currency</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Reported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5"/>
                <w:szCs w:val="15"/>
                <w:color w:val="auto"/>
              </w:rPr>
            </w:pPr>
          </w:p>
        </w:tc>
      </w:tr>
      <w:tr>
        <w:trPr>
          <w:trHeight w:val="167"/>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 from Services: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tcPr>
          <w:p>
            <w:pPr>
              <w:ind w:left="60"/>
              <w:spacing w:after="0"/>
              <w:rPr>
                <w:sz w:val="20"/>
                <w:szCs w:val="20"/>
                <w:color w:val="auto"/>
              </w:rPr>
            </w:pPr>
            <w:r>
              <w:rPr>
                <w:rFonts w:ascii="Arial" w:cs="Arial" w:eastAsia="Arial" w:hAnsi="Arial"/>
                <w:sz w:val="14"/>
                <w:szCs w:val="14"/>
                <w:color w:val="auto"/>
              </w:rPr>
              <w:t>Americas: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United States</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797.0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458.1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74.0%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74.0%</w:t>
            </w: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2,006.3</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1,307.0</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53.5%</w:t>
            </w:r>
          </w:p>
        </w:tc>
      </w:tr>
      <w:tr>
        <w:trPr>
          <w:trHeight w:val="167"/>
        </w:trPr>
        <w:tc>
          <w:tcPr>
            <w:tcW w:w="2420" w:type="dxa"/>
            <w:vAlign w:val="bottom"/>
          </w:tcPr>
          <w:p>
            <w:pPr>
              <w:ind w:left="220"/>
              <w:spacing w:after="0"/>
              <w:rPr>
                <w:sz w:val="20"/>
                <w:szCs w:val="20"/>
                <w:color w:val="auto"/>
              </w:rPr>
            </w:pPr>
            <w:r>
              <w:rPr>
                <w:rFonts w:ascii="Arial" w:cs="Arial" w:eastAsia="Arial" w:hAnsi="Arial"/>
                <w:sz w:val="14"/>
                <w:szCs w:val="14"/>
                <w:color w:val="auto"/>
              </w:rPr>
              <w:t>Other Americas</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317.1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243.5</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30.3%</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25.8%</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917.7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683.4</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34.3%</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26.5%</w:t>
            </w:r>
          </w:p>
        </w:tc>
      </w:tr>
      <w:tr>
        <w:trPr>
          <w:trHeight w:val="21"/>
        </w:trPr>
        <w:tc>
          <w:tcPr>
            <w:tcW w:w="2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701.6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58.8%</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57.3%</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2,924.0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1,990.4</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46.9%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44.2%</w:t>
            </w:r>
          </w:p>
        </w:tc>
      </w:tr>
      <w:tr>
        <w:trPr>
          <w:trHeight w:val="167"/>
        </w:trPr>
        <w:tc>
          <w:tcPr>
            <w:tcW w:w="24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gridSpan w:val="2"/>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gridSpan w:val="2"/>
          </w:tcPr>
          <w:p>
            <w:pPr>
              <w:spacing w:after="0"/>
              <w:rPr>
                <w:sz w:val="14"/>
                <w:szCs w:val="14"/>
                <w:color w:val="auto"/>
              </w:rPr>
            </w:pPr>
          </w:p>
        </w:tc>
      </w:tr>
      <w:tr>
        <w:trPr>
          <w:trHeight w:val="167"/>
        </w:trPr>
        <w:tc>
          <w:tcPr>
            <w:tcW w:w="2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France</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1,411.6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1,314.1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7.4%</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18.8%</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3,775.0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3,371.1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12.0%</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17.4%</w:t>
            </w:r>
          </w:p>
        </w:tc>
      </w:tr>
      <w:tr>
        <w:trPr>
          <w:trHeight w:val="167"/>
        </w:trPr>
        <w:tc>
          <w:tcPr>
            <w:tcW w:w="2420" w:type="dxa"/>
            <w:vAlign w:val="bottom"/>
          </w:tcPr>
          <w:p>
            <w:pPr>
              <w:ind w:left="80"/>
              <w:spacing w:after="0"/>
              <w:rPr>
                <w:sz w:val="20"/>
                <w:szCs w:val="20"/>
                <w:color w:val="auto"/>
              </w:rPr>
            </w:pPr>
            <w:r>
              <w:rPr>
                <w:rFonts w:ascii="Arial" w:cs="Arial" w:eastAsia="Arial" w:hAnsi="Arial"/>
                <w:sz w:val="14"/>
                <w:szCs w:val="14"/>
                <w:color w:val="auto"/>
              </w:rPr>
              <w:t>EMEA:</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Italy</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231.0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23.1%</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681.5</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10.1%</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67"/>
        </w:trPr>
        <w:tc>
          <w:tcPr>
            <w:tcW w:w="2420" w:type="dxa"/>
            <w:vAlign w:val="bottom"/>
          </w:tcPr>
          <w:p>
            <w:pPr>
              <w:ind w:left="220"/>
              <w:spacing w:after="0"/>
              <w:rPr>
                <w:sz w:val="20"/>
                <w:szCs w:val="20"/>
                <w:color w:val="auto"/>
              </w:rPr>
            </w:pPr>
            <w:r>
              <w:rPr>
                <w:rFonts w:ascii="Arial" w:cs="Arial" w:eastAsia="Arial" w:hAnsi="Arial"/>
                <w:sz w:val="14"/>
                <w:szCs w:val="14"/>
                <w:color w:val="auto"/>
              </w:rPr>
              <w:t>Other EMEA</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1,379.3</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12.2%</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19.6%</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4,361.3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3,894.0</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12.0%</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12.9%</w:t>
            </w:r>
          </w:p>
        </w:tc>
      </w:tr>
      <w:tr>
        <w:trPr>
          <w:trHeight w:val="21"/>
        </w:trPr>
        <w:tc>
          <w:tcPr>
            <w:tcW w:w="2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1,805.1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1,610.3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20.1%</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5,111.4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4,575.5</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21"/>
        </w:trPr>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7"/>
        </w:trPr>
        <w:tc>
          <w:tcPr>
            <w:tcW w:w="2420" w:type="dxa"/>
            <w:vAlign w:val="bottom"/>
          </w:tcPr>
          <w:p>
            <w:pPr>
              <w:ind w:left="6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555.7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427.9</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29.8%</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20.5%</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1,558.9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1,259.3</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23.8%</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13.7%</w:t>
            </w:r>
          </w:p>
        </w:tc>
      </w:tr>
      <w:tr>
        <w:trPr>
          <w:trHeight w:val="167"/>
        </w:trPr>
        <w:tc>
          <w:tcPr>
            <w:tcW w:w="2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Right Management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135.7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-36.5%</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287.6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429.8</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-33.1%</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-34.2%</w:t>
            </w:r>
          </w:p>
        </w:tc>
      </w:tr>
      <w:tr>
        <w:trPr>
          <w:trHeight w:val="21"/>
        </w:trPr>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7"/>
        </w:trPr>
        <w:tc>
          <w:tcPr>
            <w:tcW w:w="2420" w:type="dxa"/>
            <w:vAlign w:val="bottom"/>
          </w:tcPr>
          <w:p>
            <w:pPr>
              <w:spacing w:after="0"/>
              <w:rPr>
                <w:sz w:val="14"/>
                <w:szCs w:val="14"/>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4,972.0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4,189.6</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18.7%</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24.1%</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13,656.9</w:t>
            </w:r>
          </w:p>
        </w:tc>
        <w:tc>
          <w:tcPr>
            <w:tcW w:w="26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11,626.1</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17.5%</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18.0%</w:t>
            </w:r>
          </w:p>
        </w:tc>
      </w:tr>
      <w:tr>
        <w:trPr>
          <w:trHeight w:val="20"/>
        </w:trPr>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9"/>
        </w:trPr>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b w:val="1"/>
                <w:bCs w:val="1"/>
                <w:color w:val="auto"/>
              </w:rPr>
              <w:t>Operating Unit Profit (Loss):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Americas: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tcPr>
          <w:p>
            <w:pPr>
              <w:ind w:left="220"/>
              <w:spacing w:after="0"/>
              <w:rPr>
                <w:sz w:val="20"/>
                <w:szCs w:val="20"/>
                <w:color w:val="auto"/>
              </w:rPr>
            </w:pPr>
            <w:r>
              <w:rPr>
                <w:rFonts w:ascii="Arial" w:cs="Arial" w:eastAsia="Arial" w:hAnsi="Arial"/>
                <w:sz w:val="14"/>
                <w:szCs w:val="14"/>
                <w:color w:val="auto"/>
              </w:rPr>
              <w:t>United States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25.9</w:t>
            </w: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1.1</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N/A</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N/A</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28.7</w:t>
            </w:r>
          </w:p>
        </w:tc>
        <w:tc>
          <w:tcPr>
            <w:tcW w:w="26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(33.7)</w:t>
            </w: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167"/>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Americas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49.4%</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43.2%</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87.1%</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76.8%</w:t>
            </w:r>
          </w:p>
        </w:tc>
      </w:tr>
      <w:tr>
        <w:trPr>
          <w:trHeight w:val="21"/>
        </w:trPr>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8"/>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6.6</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415.1%</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409.9%</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(19.5)</w:t>
            </w: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167"/>
        </w:trPr>
        <w:tc>
          <w:tcPr>
            <w:tcW w:w="24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r>
      <w:tr>
        <w:trPr>
          <w:trHeight w:val="167"/>
        </w:trPr>
        <w:tc>
          <w:tcPr>
            <w:tcW w:w="2420" w:type="dxa"/>
            <w:vAlign w:val="bottom"/>
          </w:tcPr>
          <w:p>
            <w:pPr>
              <w:ind w:left="80"/>
              <w:spacing w:after="0"/>
              <w:rPr>
                <w:sz w:val="20"/>
                <w:szCs w:val="20"/>
                <w:color w:val="auto"/>
              </w:rPr>
            </w:pPr>
            <w:r>
              <w:rPr>
                <w:rFonts w:ascii="Arial" w:cs="Arial" w:eastAsia="Arial" w:hAnsi="Arial"/>
                <w:sz w:val="14"/>
                <w:szCs w:val="14"/>
                <w:color w:val="auto"/>
              </w:rPr>
              <w:t>France</w:t>
            </w: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10.6</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135.6%</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160.6%</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15.8</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122.7%</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148.0%</w:t>
            </w:r>
          </w:p>
        </w:tc>
      </w:tr>
      <w:tr>
        <w:trPr>
          <w:trHeight w:val="167"/>
        </w:trPr>
        <w:tc>
          <w:tcPr>
            <w:tcW w:w="2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EMEA:</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tcPr>
          <w:p>
            <w:pPr>
              <w:ind w:left="220"/>
              <w:spacing w:after="0"/>
              <w:rPr>
                <w:sz w:val="20"/>
                <w:szCs w:val="20"/>
                <w:color w:val="auto"/>
              </w:rPr>
            </w:pPr>
            <w:r>
              <w:rPr>
                <w:rFonts w:ascii="Arial" w:cs="Arial" w:eastAsia="Arial" w:hAnsi="Arial"/>
                <w:sz w:val="14"/>
                <w:szCs w:val="14"/>
                <w:color w:val="auto"/>
              </w:rPr>
              <w:t>Italy</w:t>
            </w: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8.6</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30.7%</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44.6%</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16.8</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87.9%</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99.5%</w:t>
            </w:r>
          </w:p>
        </w:tc>
      </w:tr>
      <w:tr>
        <w:trPr>
          <w:trHeight w:val="167"/>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EMEA</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171.0%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190.8%</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r>
      <w:tr>
        <w:trPr>
          <w:trHeight w:val="21"/>
        </w:trPr>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7"/>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24.6</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121.5%</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139.3%</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123.3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25.0</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392.8%</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410.2%</w:t>
            </w:r>
          </w:p>
        </w:tc>
      </w:tr>
      <w:tr>
        <w:trPr>
          <w:trHeight w:val="21"/>
        </w:trPr>
        <w:tc>
          <w:tcPr>
            <w:tcW w:w="2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2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Asia Pacific</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234.1%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210.9%</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93.4%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76.6%</w:t>
            </w:r>
          </w:p>
        </w:tc>
      </w:tr>
      <w:tr>
        <w:trPr>
          <w:trHeight w:val="167"/>
        </w:trPr>
        <w:tc>
          <w:tcPr>
            <w:tcW w:w="2420" w:type="dxa"/>
            <w:vAlign w:val="bottom"/>
          </w:tcPr>
          <w:p>
            <w:pPr>
              <w:ind w:left="80"/>
              <w:spacing w:after="0"/>
              <w:rPr>
                <w:sz w:val="20"/>
                <w:szCs w:val="20"/>
                <w:color w:val="auto"/>
              </w:rPr>
            </w:pPr>
            <w:r>
              <w:rPr>
                <w:rFonts w:ascii="Arial" w:cs="Arial" w:eastAsia="Arial" w:hAnsi="Arial"/>
                <w:sz w:val="14"/>
                <w:szCs w:val="14"/>
                <w:color w:val="auto"/>
              </w:rPr>
              <w:t>Right Management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21.2</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N/A</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92.6</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-78.0%</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-78.9%</w:t>
            </w:r>
          </w:p>
        </w:tc>
      </w:tr>
      <w:tr>
        <w:trPr>
          <w:trHeight w:val="21"/>
        </w:trPr>
        <w:tc>
          <w:tcPr>
            <w:tcW w:w="2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67.0</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133.5</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rPr>
              <w:t>Corporate expenses</w:t>
            </w:r>
          </w:p>
        </w:tc>
        <w:tc>
          <w:tcPr>
            <w:tcW w:w="2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(21.1)</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(56.6)</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24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Goodwill and intangible asset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8"/>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impairment</w:t>
            </w: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(61.0)</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(61.0)</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rPr>
              <w:t>Intangible asset amortization expense</w:t>
            </w:r>
          </w:p>
        </w:tc>
        <w:tc>
          <w:tcPr>
            <w:tcW w:w="2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(6.4)</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(17.0)</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w w:val="99"/>
              </w:rPr>
              <w:t>Reclassification of French business tax</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1"/>
        </w:trPr>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7"/>
        </w:trPr>
        <w:tc>
          <w:tcPr>
            <w:tcW w:w="2420" w:type="dxa"/>
            <w:vAlign w:val="bottom"/>
          </w:tcPr>
          <w:p>
            <w:pPr>
              <w:ind w:left="140"/>
              <w:spacing w:after="0"/>
              <w:rPr>
                <w:sz w:val="20"/>
                <w:szCs w:val="20"/>
                <w:color w:val="auto"/>
              </w:rPr>
            </w:pPr>
            <w:r>
              <w:rPr>
                <w:rFonts w:ascii="Arial" w:cs="Arial" w:eastAsia="Arial" w:hAnsi="Arial"/>
                <w:sz w:val="14"/>
                <w:szCs w:val="14"/>
                <w:color w:val="auto"/>
              </w:rPr>
              <w:t>Operating profit (loss)</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(21.5)</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N/A</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220.6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(1.1)</w:t>
            </w: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167"/>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Interest and other expenses</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(29.3)</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(52.0)</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1"/>
        </w:trPr>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7"/>
        </w:trPr>
        <w:tc>
          <w:tcPr>
            <w:tcW w:w="2420" w:type="dxa"/>
            <w:vAlign w:val="bottom"/>
          </w:tcPr>
          <w:p>
            <w:pPr>
              <w:ind w:left="140"/>
              <w:spacing w:after="0"/>
              <w:rPr>
                <w:sz w:val="20"/>
                <w:szCs w:val="20"/>
                <w:color w:val="auto"/>
              </w:rPr>
            </w:pPr>
            <w:r>
              <w:rPr>
                <w:rFonts w:ascii="Arial" w:cs="Arial" w:eastAsia="Arial" w:hAnsi="Arial"/>
                <w:sz w:val="14"/>
                <w:szCs w:val="14"/>
                <w:color w:val="auto"/>
              </w:rPr>
              <w:t>Earnings (loss) before income taxes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(50.8)</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187.4</w:t>
            </w:r>
          </w:p>
        </w:tc>
        <w:tc>
          <w:tcPr>
            <w:tcW w:w="26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(53.1)</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4"/>
        </w:trPr>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0"/>
              </w:rPr>
              <w:t>Year Ended December 31</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 Variance</w:t>
            </w:r>
          </w:p>
        </w:tc>
        <w:tc>
          <w:tcPr>
            <w:tcW w:w="120" w:type="dxa"/>
            <w:vAlign w:val="bottom"/>
          </w:tcPr>
          <w:p>
            <w:pPr>
              <w:spacing w:after="0"/>
              <w:rPr>
                <w:sz w:val="14"/>
                <w:szCs w:val="14"/>
                <w:color w:val="auto"/>
              </w:rPr>
            </w:pPr>
          </w:p>
        </w:tc>
      </w:tr>
      <w:tr>
        <w:trPr>
          <w:trHeight w:val="152"/>
        </w:trPr>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3"/>
                <w:szCs w:val="13"/>
                <w:color w:val="auto"/>
              </w:rPr>
            </w:pPr>
          </w:p>
        </w:tc>
        <w:tc>
          <w:tcPr>
            <w:tcW w:w="90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Constant</w:t>
            </w:r>
          </w:p>
        </w:tc>
        <w:tc>
          <w:tcPr>
            <w:tcW w:w="120" w:type="dxa"/>
            <w:vAlign w:val="bottom"/>
          </w:tcPr>
          <w:p>
            <w:pPr>
              <w:spacing w:after="0"/>
              <w:rPr>
                <w:sz w:val="13"/>
                <w:szCs w:val="13"/>
                <w:color w:val="auto"/>
              </w:rPr>
            </w:pPr>
          </w:p>
        </w:tc>
      </w:tr>
      <w:tr>
        <w:trPr>
          <w:trHeight w:val="183"/>
        </w:trPr>
        <w:tc>
          <w:tcPr>
            <w:tcW w:w="2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Reported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5"/>
                <w:szCs w:val="15"/>
                <w:color w:val="auto"/>
              </w:rPr>
            </w:pPr>
          </w:p>
        </w:tc>
      </w:tr>
      <w:tr>
        <w:trPr>
          <w:trHeight w:val="167"/>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 from Services: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tcPr>
          <w:p>
            <w:pPr>
              <w:ind w:left="60"/>
              <w:spacing w:after="0"/>
              <w:rPr>
                <w:sz w:val="20"/>
                <w:szCs w:val="20"/>
                <w:color w:val="auto"/>
              </w:rPr>
            </w:pPr>
            <w:r>
              <w:rPr>
                <w:rFonts w:ascii="Arial" w:cs="Arial" w:eastAsia="Arial" w:hAnsi="Arial"/>
                <w:sz w:val="14"/>
                <w:szCs w:val="14"/>
                <w:color w:val="auto"/>
              </w:rPr>
              <w:t>Americas: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United States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1,786.0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2,236.4</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-20.1%</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-20.1%</w:t>
            </w:r>
          </w:p>
        </w:tc>
      </w:tr>
      <w:tr>
        <w:trPr>
          <w:trHeight w:val="167"/>
        </w:trPr>
        <w:tc>
          <w:tcPr>
            <w:tcW w:w="2420" w:type="dxa"/>
            <w:vAlign w:val="bottom"/>
          </w:tcPr>
          <w:p>
            <w:pPr>
              <w:ind w:left="220"/>
              <w:spacing w:after="0"/>
              <w:rPr>
                <w:sz w:val="20"/>
                <w:szCs w:val="20"/>
                <w:color w:val="auto"/>
              </w:rPr>
            </w:pPr>
            <w:r>
              <w:rPr>
                <w:rFonts w:ascii="Arial" w:cs="Arial" w:eastAsia="Arial" w:hAnsi="Arial"/>
                <w:sz w:val="14"/>
                <w:szCs w:val="14"/>
                <w:color w:val="auto"/>
              </w:rPr>
              <w:t>Other Americas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1,129.8</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-14.4%</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-3.1%</w:t>
            </w:r>
          </w:p>
        </w:tc>
      </w:tr>
      <w:tr>
        <w:trPr>
          <w:trHeight w:val="21"/>
        </w:trPr>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2,753.3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3,366.2</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-18.2%</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-14.4%</w:t>
            </w:r>
          </w:p>
        </w:tc>
      </w:tr>
      <w:tr>
        <w:trPr>
          <w:trHeight w:val="167"/>
        </w:trPr>
        <w:tc>
          <w:tcPr>
            <w:tcW w:w="24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gridSpan w:val="2"/>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gridSpan w:val="2"/>
          </w:tcPr>
          <w:p>
            <w:pPr>
              <w:spacing w:after="0"/>
              <w:rPr>
                <w:sz w:val="14"/>
                <w:szCs w:val="14"/>
                <w:color w:val="auto"/>
              </w:rPr>
            </w:pPr>
          </w:p>
        </w:tc>
      </w:tr>
      <w:tr>
        <w:trPr>
          <w:trHeight w:val="167"/>
        </w:trPr>
        <w:tc>
          <w:tcPr>
            <w:tcW w:w="2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France</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4,675.5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6,935.6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-32.6%</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-29.2%</w:t>
            </w:r>
          </w:p>
        </w:tc>
      </w:tr>
      <w:tr>
        <w:trPr>
          <w:trHeight w:val="167"/>
        </w:trPr>
        <w:tc>
          <w:tcPr>
            <w:tcW w:w="2420" w:type="dxa"/>
            <w:vAlign w:val="bottom"/>
          </w:tcPr>
          <w:p>
            <w:pPr>
              <w:ind w:left="80"/>
              <w:spacing w:after="0"/>
              <w:rPr>
                <w:sz w:val="20"/>
                <w:szCs w:val="20"/>
                <w:color w:val="auto"/>
              </w:rPr>
            </w:pPr>
            <w:r>
              <w:rPr>
                <w:rFonts w:ascii="Arial" w:cs="Arial" w:eastAsia="Arial" w:hAnsi="Arial"/>
                <w:sz w:val="14"/>
                <w:szCs w:val="14"/>
                <w:color w:val="auto"/>
              </w:rPr>
              <w:t>EMEA:</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Italy</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950.8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1,519.5</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-34.2%</w:t>
            </w:r>
          </w:p>
        </w:tc>
      </w:tr>
      <w:tr>
        <w:trPr>
          <w:trHeight w:val="167"/>
        </w:trPr>
        <w:tc>
          <w:tcPr>
            <w:tcW w:w="2420" w:type="dxa"/>
            <w:vAlign w:val="bottom"/>
          </w:tcPr>
          <w:p>
            <w:pPr>
              <w:ind w:left="220"/>
              <w:spacing w:after="0"/>
              <w:rPr>
                <w:sz w:val="20"/>
                <w:szCs w:val="20"/>
                <w:color w:val="auto"/>
              </w:rPr>
            </w:pPr>
            <w:r>
              <w:rPr>
                <w:rFonts w:ascii="Arial" w:cs="Arial" w:eastAsia="Arial" w:hAnsi="Arial"/>
                <w:sz w:val="14"/>
                <w:szCs w:val="14"/>
                <w:color w:val="auto"/>
              </w:rPr>
              <w:t>Other EMEA</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5,371.7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7,422.0</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-27.6%</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-19.2%</w:t>
            </w:r>
          </w:p>
        </w:tc>
      </w:tr>
      <w:tr>
        <w:trPr>
          <w:trHeight w:val="21"/>
        </w:trPr>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6,322.5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8,941.5</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-21.7%</w:t>
            </w:r>
          </w:p>
        </w:tc>
      </w:tr>
      <w:tr>
        <w:trPr>
          <w:trHeight w:val="21"/>
        </w:trPr>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7"/>
        </w:trPr>
        <w:tc>
          <w:tcPr>
            <w:tcW w:w="2420" w:type="dxa"/>
            <w:vAlign w:val="bottom"/>
          </w:tcPr>
          <w:p>
            <w:pPr>
              <w:ind w:left="6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1,728.0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1,841.6</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-6.2%</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-9.2%</w:t>
            </w:r>
          </w:p>
        </w:tc>
      </w:tr>
      <w:tr>
        <w:trPr>
          <w:trHeight w:val="167"/>
        </w:trPr>
        <w:tc>
          <w:tcPr>
            <w:tcW w:w="2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Right Management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452.2</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28.5%</w:t>
            </w:r>
          </w:p>
        </w:tc>
      </w:tr>
      <w:tr>
        <w:trPr>
          <w:trHeight w:val="21"/>
        </w:trPr>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7"/>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16,038.7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21,537.1</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-25.5%</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-20.9%</w:t>
            </w:r>
          </w:p>
        </w:tc>
      </w:tr>
      <w:tr>
        <w:trPr>
          <w:trHeight w:val="20"/>
        </w:trPr>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9"/>
        </w:trPr>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b w:val="1"/>
                <w:bCs w:val="1"/>
                <w:color w:val="auto"/>
              </w:rPr>
              <w:t>Operating Unit Profit (Loss):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Americas: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tcPr>
          <w:p>
            <w:pPr>
              <w:ind w:left="220"/>
              <w:spacing w:after="0"/>
              <w:rPr>
                <w:sz w:val="20"/>
                <w:szCs w:val="20"/>
                <w:color w:val="auto"/>
              </w:rPr>
            </w:pPr>
            <w:r>
              <w:rPr>
                <w:rFonts w:ascii="Arial" w:cs="Arial" w:eastAsia="Arial" w:hAnsi="Arial"/>
                <w:sz w:val="14"/>
                <w:szCs w:val="14"/>
                <w:color w:val="auto"/>
              </w:rPr>
              <w:t>United States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(41.4)</w:t>
            </w:r>
          </w:p>
        </w:tc>
        <w:tc>
          <w:tcPr>
            <w:tcW w:w="26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17.3</w:t>
            </w: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167"/>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Americas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25.9</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-22.2%</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1"/>
        </w:trPr>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8"/>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43.2</w:t>
            </w: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r>
      <w:tr>
        <w:trPr>
          <w:trHeight w:val="167"/>
        </w:trPr>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r>
      <w:tr>
        <w:trPr>
          <w:trHeight w:val="167"/>
        </w:trPr>
        <w:tc>
          <w:tcPr>
            <w:tcW w:w="2420" w:type="dxa"/>
            <w:vAlign w:val="bottom"/>
          </w:tcPr>
          <w:p>
            <w:pPr>
              <w:ind w:left="80"/>
              <w:spacing w:after="0"/>
              <w:rPr>
                <w:sz w:val="20"/>
                <w:szCs w:val="20"/>
                <w:color w:val="auto"/>
              </w:rPr>
            </w:pPr>
            <w:r>
              <w:rPr>
                <w:rFonts w:ascii="Arial" w:cs="Arial" w:eastAsia="Arial" w:hAnsi="Arial"/>
                <w:sz w:val="14"/>
                <w:szCs w:val="14"/>
                <w:color w:val="auto"/>
              </w:rPr>
              <w:t>France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299.0</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-93.0%</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-92.6%</w:t>
            </w:r>
          </w:p>
        </w:tc>
      </w:tr>
      <w:tr>
        <w:trPr>
          <w:trHeight w:val="167"/>
        </w:trPr>
        <w:tc>
          <w:tcPr>
            <w:tcW w:w="2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EMEA:</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tcPr>
          <w:p>
            <w:pPr>
              <w:ind w:left="220"/>
              <w:spacing w:after="0"/>
              <w:rPr>
                <w:sz w:val="20"/>
                <w:szCs w:val="20"/>
                <w:color w:val="auto"/>
              </w:rPr>
            </w:pPr>
            <w:r>
              <w:rPr>
                <w:rFonts w:ascii="Arial" w:cs="Arial" w:eastAsia="Arial" w:hAnsi="Arial"/>
                <w:sz w:val="14"/>
                <w:szCs w:val="14"/>
                <w:color w:val="auto"/>
              </w:rPr>
              <w:t>Italy</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120.4</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-76.8%</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-76.5%</w:t>
            </w:r>
          </w:p>
        </w:tc>
      </w:tr>
      <w:tr>
        <w:trPr>
          <w:trHeight w:val="167"/>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EMEA</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237.8</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-85.4%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-86.4%</w:t>
            </w:r>
          </w:p>
        </w:tc>
      </w:tr>
      <w:tr>
        <w:trPr>
          <w:trHeight w:val="21"/>
        </w:trPr>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7"/>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358.2</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-82.5%</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-83.1%</w:t>
            </w:r>
          </w:p>
        </w:tc>
      </w:tr>
      <w:tr>
        <w:trPr>
          <w:trHeight w:val="21"/>
        </w:trPr>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2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Asia Pacific</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29.2</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-19.9%</w:t>
            </w:r>
          </w:p>
        </w:tc>
      </w:tr>
      <w:tr>
        <w:trPr>
          <w:trHeight w:val="167"/>
        </w:trPr>
        <w:tc>
          <w:tcPr>
            <w:tcW w:w="2420" w:type="dxa"/>
            <w:vAlign w:val="bottom"/>
          </w:tcPr>
          <w:p>
            <w:pPr>
              <w:ind w:left="80"/>
              <w:spacing w:after="0"/>
              <w:rPr>
                <w:sz w:val="20"/>
                <w:szCs w:val="20"/>
                <w:color w:val="auto"/>
              </w:rPr>
            </w:pPr>
            <w:r>
              <w:rPr>
                <w:rFonts w:ascii="Arial" w:cs="Arial" w:eastAsia="Arial" w:hAnsi="Arial"/>
                <w:sz w:val="14"/>
                <w:szCs w:val="14"/>
                <w:color w:val="auto"/>
              </w:rPr>
              <w:t>Right Management</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44.7</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153.6%</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158.8%</w:t>
            </w:r>
          </w:p>
        </w:tc>
      </w:tr>
      <w:tr>
        <w:trPr>
          <w:trHeight w:val="21"/>
        </w:trPr>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2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774.3</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rPr>
              <w:t>Corporate expenses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(95.6)</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24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Goodwill and intangible asset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8"/>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impairment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(163.1)</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rPr>
              <w:t>Intangible asset amortization expense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(22.1)</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
        </w:trPr>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profit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493.5</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-91.5%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-91.3%</w:t>
            </w: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rPr>
              <w:t>Interest and other expenses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(50.9)</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
        </w:trPr>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7"/>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(Loss) earnings before income taxes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(22.9)</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442.6</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-9844405</wp:posOffset>
            </wp:positionV>
            <wp:extent cx="7277735" cy="8890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7735" cy="889000"/>
                    </a:xfrm>
                    <a:prstGeom prst="rect">
                      <a:avLst/>
                    </a:prstGeom>
                    <a:noFill/>
                  </pic:spPr>
                </pic:pic>
              </a:graphicData>
            </a:graphic>
          </wp:anchor>
        </w:drawing>
      </w:r>
    </w:p>
    <w:sectPr>
      <w:pgSz w:w="11900" w:h="16838" w:orient="portrait"/>
      <w:cols w:equalWidth="0" w:num="1">
        <w:col w:w="11460"/>
      </w:cols>
      <w:pgMar w:left="220" w:top="140" w:right="219" w:bottom="42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Letter"/>
      <w:start w:val="1"/>
    </w:lvl>
  </w:abstractNum>
  <w:abstractNum w:abstractNumId="1">
    <w:nsid w:val="1F16E9E8"/>
    <w:multiLevelType w:val="hybridMultilevel"/>
    <w:lvl w:ilvl="0">
      <w:lvlJc w:val="left"/>
      <w:lvlText w:val="(%1)"/>
      <w:numFmt w:val="lowerLetter"/>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82"/>
    </w:lvl>
    <w:lvl w:ilvl="1">
      <w:lvlJc w:val="left"/>
      <w:lvlText w:val="(%2)"/>
      <w:numFmt w:val="decimal"/>
      <w:start w:val="58"/>
    </w:lvl>
  </w:abstractNum>
  <w:abstractNum w:abstractNumId="15">
    <w:nsid w:val="431BD7B7"/>
    <w:multiLevelType w:val="hybridMultilevel"/>
    <w:lvl w:ilvl="0">
      <w:lvlJc w:val="left"/>
      <w:lvlText w:val="%1"/>
      <w:numFmt w:val="decimal"/>
      <w:start w:val="124"/>
    </w:lvl>
    <w:lvl w:ilvl="1">
      <w:lvlJc w:val="left"/>
      <w:lvlText w:val="(%2)"/>
      <w:numFmt w:val="decimal"/>
      <w:start w:val="15"/>
    </w:lvl>
  </w:abstractNum>
  <w:abstractNum w:abstractNumId="16">
    <w:nsid w:val="3F2DBA31"/>
    <w:multiLevelType w:val="hybridMultilevel"/>
    <w:lvl w:ilvl="0">
      <w:lvlJc w:val="left"/>
      <w:lvlText w:val="(%1)"/>
      <w:numFmt w:val="decimal"/>
      <w:start w:val="270"/>
    </w:lvl>
    <w:lvl w:ilvl="1">
      <w:lvlJc w:val="left"/>
      <w:lvlText w:val="%2"/>
      <w:numFmt w:val="decimal"/>
      <w:start w:val="1"/>
    </w:lvl>
    <w:lvl w:ilvl="2">
      <w:lvlJc w:val="left"/>
      <w:lvlText w:val="%3"/>
      <w:numFmt w:val="decimal"/>
      <w:start w:val="1"/>
    </w:lvl>
  </w:abstractNum>
  <w:abstractNum w:abstractNumId="17">
    <w:nsid w:val="7C83E458"/>
    <w:multiLevelType w:val="hybridMultilevel"/>
    <w:lvl w:ilvl="0">
      <w:lvlJc w:val="left"/>
      <w:lvlText w:val="(%1)"/>
      <w:numFmt w:val="decimal"/>
      <w:start w:val="35"/>
    </w:lvl>
    <w:lvl w:ilvl="1">
      <w:lvlJc w:val="left"/>
      <w:lvlText w:val="(%2)"/>
      <w:numFmt w:val="decimal"/>
      <w:start w:val="18"/>
    </w:lvl>
    <w:lvl w:ilvl="2">
      <w:lvlJc w:val="left"/>
      <w:lvlText w:val="(%3)"/>
      <w:numFmt w:val="decimal"/>
      <w:start w:val="28"/>
    </w:lvl>
  </w:abstractNum>
  <w:abstractNum w:abstractNumId="18">
    <w:nsid w:val="257130A3"/>
    <w:multiLevelType w:val="hybridMultilevel"/>
    <w:lvl w:ilvl="0">
      <w:lvlJc w:val="left"/>
      <w:lvlText w:val="(%1)"/>
      <w:numFmt w:val="decimal"/>
      <w:start w:val="242"/>
    </w:lvl>
  </w:abstractNum>
  <w:abstractNum w:abstractNumId="19">
    <w:nsid w:val="62BBD95A"/>
    <w:multiLevelType w:val="hybridMultilevel"/>
    <w:lvl w:ilvl="0">
      <w:lvlJc w:val="left"/>
      <w:lvlText w:val="(%1)"/>
      <w:numFmt w:val="lowerLetter"/>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2019-12-10T10:28:12Z</dcterms:created>
  <dcterms:modified xsi:type="dcterms:W3CDTF">2019-12-10T10:28:12Z</dcterms:modified>
</cp:coreProperties>
</file>