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color w:val="auto"/>
        </w:rPr>
        <w:t>SECURITIES AND EXCHANGE COMMISSION</w:t>
      </w: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Pursuant to Section 13 or 15(d) of the Securities Exchange Act of 1934</w:t>
      </w:r>
    </w:p>
    <w:p>
      <w:pPr>
        <w:spacing w:after="0" w:line="200" w:lineRule="exact"/>
        <w:rPr>
          <w:sz w:val="24"/>
          <w:szCs w:val="24"/>
          <w:color w:val="auto"/>
        </w:rPr>
      </w:pPr>
    </w:p>
    <w:p>
      <w:pPr>
        <w:spacing w:after="0" w:line="28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Date of Report (Date of earliest event reported): December 3, 2002</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MANPOWER INC.</w:t>
      </w: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842" w:right="279" w:bottom="59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1220"/>
        <w:spacing w:after="0"/>
        <w:rPr>
          <w:sz w:val="20"/>
          <w:szCs w:val="20"/>
          <w:color w:val="auto"/>
        </w:rPr>
      </w:pPr>
      <w:r>
        <w:rPr>
          <w:rFonts w:ascii="Arial" w:cs="Arial" w:eastAsia="Arial" w:hAnsi="Arial"/>
          <w:sz w:val="18"/>
          <w:szCs w:val="18"/>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740"/>
        <w:spacing w:after="0"/>
        <w:rPr>
          <w:sz w:val="20"/>
          <w:szCs w:val="20"/>
          <w:color w:val="auto"/>
        </w:rPr>
      </w:pPr>
      <w:r>
        <w:rPr>
          <w:rFonts w:ascii="Arial" w:cs="Arial" w:eastAsia="Arial" w:hAnsi="Arial"/>
          <w:sz w:val="19"/>
          <w:szCs w:val="19"/>
          <w:b w:val="1"/>
          <w:bCs w:val="1"/>
          <w:color w:val="auto"/>
        </w:rPr>
        <w:t>1-10686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2500"/>
        <w:spacing w:after="0"/>
        <w:rPr>
          <w:sz w:val="20"/>
          <w:szCs w:val="20"/>
          <w:color w:val="auto"/>
        </w:rPr>
      </w:pPr>
      <w:r>
        <w:rPr>
          <w:rFonts w:ascii="Arial" w:cs="Arial" w:eastAsia="Arial" w:hAnsi="Arial"/>
          <w:sz w:val="19"/>
          <w:szCs w:val="19"/>
          <w:b w:val="1"/>
          <w:bCs w:val="1"/>
          <w:color w:val="auto"/>
        </w:rPr>
        <w:t>39-1672779</w:t>
      </w:r>
    </w:p>
    <w:p>
      <w:pPr>
        <w:spacing w:after="0" w:line="62" w:lineRule="exact"/>
        <w:rPr>
          <w:sz w:val="24"/>
          <w:szCs w:val="24"/>
          <w:color w:val="auto"/>
        </w:rPr>
      </w:pPr>
    </w:p>
    <w:p>
      <w:pPr>
        <w:sectPr>
          <w:pgSz w:w="11900" w:h="16838" w:orient="portrait"/>
          <w:cols w:equalWidth="0" w:num="3">
            <w:col w:w="3940" w:space="720"/>
            <w:col w:w="2460" w:space="720"/>
            <w:col w:w="3540"/>
          </w:cols>
          <w:pgMar w:left="240" w:top="842" w:right="279" w:bottom="593" w:gutter="0" w:footer="0" w:header="0"/>
          <w:type w:val="continuous"/>
        </w:sectPr>
      </w:pPr>
    </w:p>
    <w:p>
      <w:pPr>
        <w:jc w:val="center"/>
        <w:ind w:left="20"/>
        <w:spacing w:after="0"/>
        <w:rPr>
          <w:sz w:val="20"/>
          <w:szCs w:val="20"/>
          <w:color w:val="auto"/>
        </w:rPr>
      </w:pPr>
      <w:r>
        <w:rPr>
          <w:rFonts w:ascii="Arial" w:cs="Arial" w:eastAsia="Arial" w:hAnsi="Arial"/>
          <w:sz w:val="16"/>
          <w:szCs w:val="16"/>
          <w:color w:val="auto"/>
        </w:rPr>
        <w:t>(State or other jurisdiction</w:t>
      </w:r>
    </w:p>
    <w:p>
      <w:pPr>
        <w:spacing w:after="0" w:line="10" w:lineRule="exact"/>
        <w:rPr>
          <w:sz w:val="24"/>
          <w:szCs w:val="24"/>
          <w:color w:val="auto"/>
        </w:rPr>
      </w:pPr>
    </w:p>
    <w:p>
      <w:pPr>
        <w:jc w:val="center"/>
        <w:ind w:left="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6"/>
          <w:szCs w:val="16"/>
          <w:color w:val="auto"/>
        </w:rPr>
        <w:t>(Commission file number)</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Identification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417" w:lineRule="exact"/>
        <w:rPr>
          <w:sz w:val="24"/>
          <w:szCs w:val="24"/>
          <w:color w:val="auto"/>
        </w:rPr>
      </w:pPr>
    </w:p>
    <w:p>
      <w:pPr>
        <w:sectPr>
          <w:pgSz w:w="11900" w:h="16838" w:orient="portrait"/>
          <w:cols w:equalWidth="0" w:num="3">
            <w:col w:w="3360" w:space="720"/>
            <w:col w:w="3020" w:space="720"/>
            <w:col w:w="3560"/>
          </w:cols>
          <w:pgMar w:left="240" w:top="842" w:right="279" w:bottom="593" w:gutter="0" w:footer="0" w:header="0"/>
          <w:type w:val="continuous"/>
        </w:sectPr>
      </w:pPr>
    </w:p>
    <w:p>
      <w:pPr>
        <w:spacing w:after="0" w:line="307"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5301 North Ironwood Road</w:t>
      </w:r>
    </w:p>
    <w:p>
      <w:pPr>
        <w:jc w:val="center"/>
        <w:ind w:right="-39"/>
        <w:spacing w:after="0" w:line="209" w:lineRule="auto"/>
        <w:rPr>
          <w:sz w:val="20"/>
          <w:szCs w:val="20"/>
          <w:color w:val="auto"/>
        </w:rPr>
      </w:pPr>
      <w:r>
        <w:rPr>
          <w:rFonts w:ascii="Arial" w:cs="Arial" w:eastAsia="Arial" w:hAnsi="Arial"/>
          <w:sz w:val="22"/>
          <w:szCs w:val="22"/>
          <w:color w:val="auto"/>
        </w:rPr>
        <w:t>Milwaukee, Wisconsin 53217</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380"/>
          </w:cols>
          <w:pgMar w:left="240" w:top="842" w:right="279" w:bottom="593"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5. Other Events.</w:t>
      </w:r>
    </w:p>
    <w:p>
      <w:pPr>
        <w:spacing w:after="0" w:line="212" w:lineRule="exact"/>
        <w:rPr>
          <w:sz w:val="24"/>
          <w:szCs w:val="24"/>
          <w:color w:val="auto"/>
        </w:rPr>
      </w:pPr>
    </w:p>
    <w:p>
      <w:pPr>
        <w:ind w:firstLine="648"/>
        <w:spacing w:after="0" w:line="234" w:lineRule="auto"/>
        <w:rPr>
          <w:sz w:val="20"/>
          <w:szCs w:val="20"/>
          <w:color w:val="auto"/>
        </w:rPr>
      </w:pPr>
      <w:r>
        <w:rPr>
          <w:rFonts w:ascii="Arial" w:cs="Arial" w:eastAsia="Arial" w:hAnsi="Arial"/>
          <w:sz w:val="21"/>
          <w:szCs w:val="21"/>
          <w:color w:val="auto"/>
        </w:rPr>
        <w:t>On December 3, 2002, Manpower Inc. (the “Company”) issued a press release announcing the resignation of J. Ira Harris as a director of the Company. The December 3, 2002 Press Release is attached hereto as an exhibit and is incorporated herein by reference, except for references to the Company’s website and the information contained therein.</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1960" w:type="dxa"/>
            <w:vAlign w:val="bottom"/>
            <w:gridSpan w:val="2"/>
          </w:tcPr>
          <w:p>
            <w:pPr>
              <w:spacing w:after="0"/>
              <w:rPr>
                <w:sz w:val="20"/>
                <w:szCs w:val="20"/>
                <w:color w:val="auto"/>
              </w:rPr>
            </w:pPr>
            <w:r>
              <w:rPr>
                <w:rFonts w:ascii="Arial" w:cs="Arial" w:eastAsia="Arial" w:hAnsi="Arial"/>
                <w:sz w:val="22"/>
                <w:szCs w:val="22"/>
                <w:b w:val="1"/>
                <w:bCs w:val="1"/>
                <w:color w:val="auto"/>
              </w:rPr>
              <w:t>Item 7. Exhibits.</w:t>
            </w:r>
          </w:p>
        </w:tc>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09"/>
        </w:trPr>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94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63"/>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94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22"/>
                <w:szCs w:val="22"/>
                <w:color w:val="auto"/>
                <w:w w:val="85"/>
              </w:rPr>
              <w:t>Press Release dated December 3, 2002.</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4"/>
          <w:szCs w:val="24"/>
          <w:color w:val="auto"/>
        </w:rPr>
      </w:pPr>
    </w:p>
    <w:p>
      <w:pPr>
        <w:spacing w:after="0" w:line="255" w:lineRule="exact"/>
        <w:rPr>
          <w:sz w:val="24"/>
          <w:szCs w:val="24"/>
          <w:color w:val="auto"/>
        </w:rPr>
      </w:pPr>
    </w:p>
    <w:p>
      <w:pPr>
        <w:ind w:right="100" w:firstLine="648"/>
        <w:spacing w:after="0" w:line="232"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4540" w:type="dxa"/>
            <w:vAlign w:val="bottom"/>
          </w:tcPr>
          <w:p>
            <w:pPr>
              <w:spacing w:after="0"/>
              <w:rPr>
                <w:sz w:val="23"/>
                <w:szCs w:val="23"/>
                <w:color w:val="auto"/>
              </w:rPr>
            </w:pPr>
          </w:p>
        </w:tc>
        <w:tc>
          <w:tcPr>
            <w:tcW w:w="4100" w:type="dxa"/>
            <w:vAlign w:val="bottom"/>
            <w:gridSpan w:val="2"/>
          </w:tcPr>
          <w:p>
            <w:pPr>
              <w:spacing w:after="0"/>
              <w:rPr>
                <w:sz w:val="20"/>
                <w:szCs w:val="20"/>
                <w:color w:val="auto"/>
              </w:rPr>
            </w:pPr>
            <w:r>
              <w:rPr>
                <w:rFonts w:ascii="Arial" w:cs="Arial" w:eastAsia="Arial" w:hAnsi="Arial"/>
                <w:sz w:val="22"/>
                <w:szCs w:val="22"/>
                <w:color w:val="auto"/>
              </w:rPr>
              <w:t>MANPOWER INC.</w:t>
            </w:r>
          </w:p>
        </w:tc>
      </w:tr>
      <w:tr>
        <w:trPr>
          <w:trHeight w:val="652"/>
        </w:trPr>
        <w:tc>
          <w:tcPr>
            <w:tcW w:w="4540" w:type="dxa"/>
            <w:vAlign w:val="bottom"/>
          </w:tcPr>
          <w:p>
            <w:pPr>
              <w:spacing w:after="0"/>
              <w:rPr>
                <w:sz w:val="20"/>
                <w:szCs w:val="20"/>
                <w:color w:val="auto"/>
              </w:rPr>
            </w:pPr>
            <w:r>
              <w:rPr>
                <w:rFonts w:ascii="Arial" w:cs="Arial" w:eastAsia="Arial" w:hAnsi="Arial"/>
                <w:sz w:val="22"/>
                <w:szCs w:val="22"/>
                <w:color w:val="auto"/>
              </w:rPr>
              <w:t>Date: December 3, 2002</w:t>
            </w:r>
          </w:p>
        </w:tc>
        <w:tc>
          <w:tcPr>
            <w:tcW w:w="4100" w:type="dxa"/>
            <w:vAlign w:val="bottom"/>
            <w:gridSpan w:val="2"/>
          </w:tcPr>
          <w:p>
            <w:pPr>
              <w:spacing w:after="0"/>
              <w:rPr>
                <w:sz w:val="20"/>
                <w:szCs w:val="20"/>
                <w:color w:val="auto"/>
              </w:rPr>
            </w:pPr>
            <w:r>
              <w:rPr>
                <w:rFonts w:ascii="Arial" w:cs="Arial" w:eastAsia="Arial" w:hAnsi="Arial"/>
                <w:sz w:val="22"/>
                <w:szCs w:val="22"/>
                <w:color w:val="auto"/>
              </w:rPr>
              <w:t>/s/ Michael J. Van Handel</w:t>
            </w:r>
          </w:p>
        </w:tc>
      </w:tr>
      <w:tr>
        <w:trPr>
          <w:trHeight w:val="188"/>
        </w:trPr>
        <w:tc>
          <w:tcPr>
            <w:tcW w:w="4540" w:type="dxa"/>
            <w:vAlign w:val="bottom"/>
          </w:tcPr>
          <w:p>
            <w:pPr>
              <w:spacing w:after="0"/>
              <w:rPr>
                <w:sz w:val="16"/>
                <w:szCs w:val="16"/>
                <w:color w:val="auto"/>
              </w:rPr>
            </w:pPr>
          </w:p>
        </w:tc>
        <w:tc>
          <w:tcPr>
            <w:tcW w:w="3900" w:type="dxa"/>
            <w:vAlign w:val="bottom"/>
            <w:tcBorders>
              <w:top w:val="single" w:sz="8" w:color="auto"/>
            </w:tcBorders>
          </w:tcPr>
          <w:p>
            <w:pPr>
              <w:spacing w:after="0" w:line="188" w:lineRule="exact"/>
              <w:rPr>
                <w:sz w:val="20"/>
                <w:szCs w:val="20"/>
                <w:color w:val="auto"/>
              </w:rPr>
            </w:pPr>
            <w:r>
              <w:rPr>
                <w:rFonts w:ascii="Arial" w:cs="Arial" w:eastAsia="Arial" w:hAnsi="Arial"/>
                <w:sz w:val="21"/>
                <w:szCs w:val="21"/>
                <w:color w:val="auto"/>
              </w:rPr>
              <w:t>Michael J. Van Handel</w:t>
            </w:r>
          </w:p>
        </w:tc>
        <w:tc>
          <w:tcPr>
            <w:tcW w:w="20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4100" w:type="dxa"/>
            <w:vAlign w:val="bottom"/>
            <w:gridSpan w:val="2"/>
          </w:tcPr>
          <w:p>
            <w:pPr>
              <w:spacing w:after="0" w:line="217" w:lineRule="exact"/>
              <w:rPr>
                <w:sz w:val="20"/>
                <w:szCs w:val="20"/>
                <w:color w:val="auto"/>
              </w:rPr>
            </w:pPr>
            <w:r>
              <w:rPr>
                <w:rFonts w:ascii="Arial" w:cs="Arial" w:eastAsia="Arial" w:hAnsi="Arial"/>
                <w:sz w:val="22"/>
                <w:szCs w:val="22"/>
                <w:color w:val="auto"/>
                <w:w w:val="90"/>
              </w:rPr>
              <w:t>Senior Vice President – Chief Financial Officer</w:t>
            </w:r>
          </w:p>
        </w:tc>
      </w:tr>
      <w:tr>
        <w:trPr>
          <w:trHeight w:val="275"/>
        </w:trPr>
        <w:tc>
          <w:tcPr>
            <w:tcW w:w="4540" w:type="dxa"/>
            <w:vAlign w:val="bottom"/>
          </w:tcPr>
          <w:p>
            <w:pPr>
              <w:spacing w:after="0"/>
              <w:rPr>
                <w:sz w:val="23"/>
                <w:szCs w:val="23"/>
                <w:color w:val="auto"/>
              </w:rPr>
            </w:pPr>
          </w:p>
        </w:tc>
        <w:tc>
          <w:tcPr>
            <w:tcW w:w="4100" w:type="dxa"/>
            <w:vAlign w:val="bottom"/>
            <w:gridSpan w:val="2"/>
          </w:tcPr>
          <w:p>
            <w:pPr>
              <w:spacing w:after="0"/>
              <w:rPr>
                <w:sz w:val="20"/>
                <w:szCs w:val="20"/>
                <w:color w:val="auto"/>
              </w:rPr>
            </w:pPr>
            <w:r>
              <w:rPr>
                <w:rFonts w:ascii="Arial" w:cs="Arial" w:eastAsia="Arial" w:hAnsi="Arial"/>
                <w:sz w:val="22"/>
                <w:szCs w:val="22"/>
                <w:color w:val="auto"/>
              </w:rPr>
              <w:t>and Secretary</w:t>
            </w:r>
          </w:p>
        </w:tc>
      </w:tr>
    </w:tbl>
    <w:p>
      <w:pPr>
        <w:sectPr>
          <w:pgSz w:w="11900" w:h="16838" w:orient="portrait"/>
          <w:cols w:equalWidth="0" w:num="1">
            <w:col w:w="11380"/>
          </w:cols>
          <w:pgMar w:left="240" w:top="842" w:right="279" w:bottom="593"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0" w:type="dxa"/>
            <w:vAlign w:val="bottom"/>
          </w:tcPr>
          <w:p>
            <w:pPr>
              <w:ind w:left="1920"/>
              <w:spacing w:after="0"/>
              <w:rPr>
                <w:sz w:val="20"/>
                <w:szCs w:val="20"/>
                <w:color w:val="auto"/>
              </w:rPr>
            </w:pPr>
            <w:r>
              <w:rPr>
                <w:rFonts w:ascii="Arial" w:cs="Arial" w:eastAsia="Arial" w:hAnsi="Arial"/>
                <w:sz w:val="22"/>
                <w:szCs w:val="22"/>
                <w:b w:val="1"/>
                <w:bCs w:val="1"/>
                <w:color w:val="auto"/>
              </w:rPr>
              <w:t>EXHIBIT INDEX</w:t>
            </w:r>
          </w:p>
        </w:tc>
      </w:tr>
      <w:tr>
        <w:trPr>
          <w:trHeight w:val="409"/>
        </w:trPr>
        <w:tc>
          <w:tcPr>
            <w:tcW w:w="1020" w:type="dxa"/>
            <w:vAlign w:val="bottom"/>
          </w:tcPr>
          <w:p>
            <w:pPr>
              <w:jc w:val="center"/>
              <w:spacing w:after="0"/>
              <w:rPr>
                <w:sz w:val="20"/>
                <w:szCs w:val="20"/>
                <w:color w:val="auto"/>
              </w:rPr>
            </w:pPr>
            <w:r>
              <w:rPr>
                <w:rFonts w:ascii="Arial" w:cs="Arial" w:eastAsia="Arial" w:hAnsi="Arial"/>
                <w:sz w:val="22"/>
                <w:szCs w:val="22"/>
                <w:color w:val="auto"/>
                <w:w w:val="95"/>
              </w:rPr>
              <w:t>Exhibit No.</w:t>
            </w:r>
          </w:p>
        </w:tc>
        <w:tc>
          <w:tcPr>
            <w:tcW w:w="9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63"/>
        </w:trPr>
        <w:tc>
          <w:tcPr>
            <w:tcW w:w="1020" w:type="dxa"/>
            <w:vAlign w:val="bottom"/>
          </w:tcPr>
          <w:p>
            <w:pPr>
              <w:jc w:val="right"/>
              <w:ind w:right="192"/>
              <w:spacing w:after="0"/>
              <w:rPr>
                <w:sz w:val="20"/>
                <w:szCs w:val="20"/>
                <w:color w:val="auto"/>
              </w:rPr>
            </w:pPr>
            <w:r>
              <w:rPr>
                <w:rFonts w:ascii="Arial" w:cs="Arial" w:eastAsia="Arial" w:hAnsi="Arial"/>
                <w:sz w:val="22"/>
                <w:szCs w:val="22"/>
                <w:color w:val="auto"/>
              </w:rPr>
              <w:t>99.1</w:t>
            </w:r>
          </w:p>
        </w:tc>
        <w:tc>
          <w:tcPr>
            <w:tcW w:w="9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22"/>
                <w:szCs w:val="22"/>
                <w:color w:val="auto"/>
              </w:rPr>
              <w:t>Press Release dated December 3, 2002.</w:t>
            </w:r>
          </w:p>
        </w:tc>
      </w:tr>
    </w:tbl>
    <w:p>
      <w:pPr>
        <w:sectPr>
          <w:pgSz w:w="11900" w:h="16838" w:orient="portrait"/>
          <w:cols w:equalWidth="0" w:num="1">
            <w:col w:w="10219"/>
          </w:cols>
          <w:pgMar w:left="240" w:top="98" w:right="1440" w:bottom="1440" w:gutter="0" w:footer="0" w:header="0"/>
        </w:sectPr>
      </w:pPr>
    </w:p>
    <w:bookmarkStart w:id="2" w:name="page3"/>
    <w:bookmarkEnd w:id="2"/>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1389380" cy="1974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89380" cy="19748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97" w:lineRule="auto"/>
        <w:rPr>
          <w:sz w:val="20"/>
          <w:szCs w:val="20"/>
          <w:color w:val="auto"/>
        </w:rPr>
      </w:pPr>
      <w:r>
        <w:rPr>
          <w:rFonts w:ascii="Arial" w:cs="Arial" w:eastAsia="Arial" w:hAnsi="Arial"/>
          <w:sz w:val="20"/>
          <w:szCs w:val="20"/>
          <w:color w:val="auto"/>
        </w:rPr>
        <w:t>Tracy Shilobrit</w:t>
      </w:r>
    </w:p>
    <w:p>
      <w:pPr>
        <w:spacing w:after="0" w:line="197" w:lineRule="auto"/>
        <w:rPr>
          <w:sz w:val="20"/>
          <w:szCs w:val="20"/>
          <w:color w:val="auto"/>
        </w:rPr>
      </w:pPr>
      <w:r>
        <w:rPr>
          <w:rFonts w:ascii="Arial" w:cs="Arial" w:eastAsia="Arial" w:hAnsi="Arial"/>
          <w:sz w:val="20"/>
          <w:szCs w:val="20"/>
          <w:color w:val="auto"/>
        </w:rPr>
        <w:t>Manpower Inc.</w:t>
      </w:r>
    </w:p>
    <w:p>
      <w:pPr>
        <w:spacing w:after="0" w:line="197" w:lineRule="auto"/>
        <w:rPr>
          <w:sz w:val="20"/>
          <w:szCs w:val="20"/>
          <w:color w:val="auto"/>
        </w:rPr>
      </w:pPr>
      <w:r>
        <w:rPr>
          <w:rFonts w:ascii="Arial" w:cs="Arial" w:eastAsia="Arial" w:hAnsi="Arial"/>
          <w:sz w:val="20"/>
          <w:szCs w:val="20"/>
          <w:color w:val="auto"/>
        </w:rPr>
        <w:t>414-906-6088</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tracy.shilobrit@na.manpower.com</w:t>
      </w:r>
    </w:p>
    <w:p>
      <w:pPr>
        <w:spacing w:after="0" w:line="200" w:lineRule="exact"/>
        <w:rPr>
          <w:sz w:val="20"/>
          <w:szCs w:val="20"/>
          <w:color w:val="auto"/>
        </w:rPr>
      </w:pPr>
    </w:p>
    <w:p>
      <w:pPr>
        <w:sectPr>
          <w:pgSz w:w="11900" w:h="16838" w:orient="portrait"/>
          <w:cols w:equalWidth="0" w:num="2">
            <w:col w:w="4140" w:space="720"/>
            <w:col w:w="4520"/>
          </w:cols>
          <w:pgMar w:left="1220" w:top="1440" w:right="1299" w:bottom="1440" w:gutter="0" w:footer="0" w:header="0"/>
        </w:sectPr>
      </w:pPr>
    </w:p>
    <w:p>
      <w:pPr>
        <w:spacing w:after="0" w:line="4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J. IRA HARRIS STEPS DOWN FROM MANPOWER INC. BOARD OF DIRECTORS</w:t>
      </w:r>
    </w:p>
    <w:p>
      <w:pPr>
        <w:spacing w:after="0" w:line="289" w:lineRule="exact"/>
        <w:rPr>
          <w:sz w:val="20"/>
          <w:szCs w:val="20"/>
          <w:color w:val="auto"/>
        </w:rPr>
      </w:pPr>
    </w:p>
    <w:p>
      <w:pPr>
        <w:ind w:right="440"/>
        <w:spacing w:after="0" w:line="331" w:lineRule="auto"/>
        <w:rPr>
          <w:sz w:val="20"/>
          <w:szCs w:val="20"/>
          <w:color w:val="auto"/>
        </w:rPr>
      </w:pPr>
      <w:r>
        <w:rPr>
          <w:rFonts w:ascii="Arial" w:cs="Arial" w:eastAsia="Arial" w:hAnsi="Arial"/>
          <w:sz w:val="20"/>
          <w:szCs w:val="20"/>
          <w:color w:val="auto"/>
        </w:rPr>
        <w:t>MILWAUKEE, WI, USA, 3 December 2002 – Manpower Inc. (NYSE: MAN) has announced that J. Ira Harris is stepping down from its board of directors after 11 years of service, effective today.</w:t>
      </w:r>
    </w:p>
    <w:p>
      <w:pPr>
        <w:spacing w:after="0" w:line="189" w:lineRule="exact"/>
        <w:rPr>
          <w:sz w:val="20"/>
          <w:szCs w:val="20"/>
          <w:color w:val="auto"/>
        </w:rPr>
      </w:pPr>
    </w:p>
    <w:p>
      <w:pPr>
        <w:ind w:right="140" w:firstLine="648"/>
        <w:spacing w:after="0" w:line="317" w:lineRule="auto"/>
        <w:rPr>
          <w:sz w:val="20"/>
          <w:szCs w:val="20"/>
          <w:color w:val="auto"/>
        </w:rPr>
      </w:pPr>
      <w:r>
        <w:rPr>
          <w:rFonts w:ascii="Arial" w:cs="Arial" w:eastAsia="Arial" w:hAnsi="Arial"/>
          <w:sz w:val="20"/>
          <w:szCs w:val="20"/>
          <w:color w:val="auto"/>
        </w:rPr>
        <w:t>“I’ve reached a point in life where it is necessary to balance my business and personal priorities, so I’ve decided that it is time to step down from my role on the Manpower board,“ said Harris. “Manpower has been one of the most interesting companies to be associated with over the years, and I’ve enjoyed every one of my 11 years of service on the Manpower board,” he added.</w:t>
      </w:r>
    </w:p>
    <w:p>
      <w:pPr>
        <w:spacing w:after="0" w:line="203" w:lineRule="exact"/>
        <w:rPr>
          <w:sz w:val="20"/>
          <w:szCs w:val="20"/>
          <w:color w:val="auto"/>
        </w:rPr>
      </w:pPr>
    </w:p>
    <w:p>
      <w:pPr>
        <w:ind w:right="80" w:firstLine="648"/>
        <w:spacing w:after="0" w:line="317" w:lineRule="auto"/>
        <w:rPr>
          <w:sz w:val="20"/>
          <w:szCs w:val="20"/>
          <w:color w:val="auto"/>
        </w:rPr>
      </w:pPr>
      <w:r>
        <w:rPr>
          <w:rFonts w:ascii="Arial" w:cs="Arial" w:eastAsia="Arial" w:hAnsi="Arial"/>
          <w:sz w:val="20"/>
          <w:szCs w:val="20"/>
          <w:color w:val="auto"/>
        </w:rPr>
        <w:t>Harris is Chairman of J. I. Harris &amp; Associates, a consulting firm, and Vice Chairman of The Pritzker Organization, LLC, a merchant banking investment management services firm. He was Senior Managing Director of the investment banking firm of Lazard Freres &amp; Co., LLC until December 1997. He joined the Manpower Inc. board of directors in August, 1991.</w:t>
      </w:r>
    </w:p>
    <w:p>
      <w:pPr>
        <w:spacing w:after="0" w:line="203" w:lineRule="exact"/>
        <w:rPr>
          <w:sz w:val="20"/>
          <w:szCs w:val="20"/>
          <w:color w:val="auto"/>
        </w:rPr>
      </w:pPr>
    </w:p>
    <w:p>
      <w:pPr>
        <w:jc w:val="both"/>
        <w:ind w:firstLine="648"/>
        <w:spacing w:after="0" w:line="430" w:lineRule="auto"/>
        <w:rPr>
          <w:sz w:val="20"/>
          <w:szCs w:val="20"/>
          <w:color w:val="auto"/>
        </w:rPr>
      </w:pPr>
      <w:r>
        <w:rPr>
          <w:rFonts w:ascii="Arial" w:cs="Arial" w:eastAsia="Arial" w:hAnsi="Arial"/>
          <w:sz w:val="16"/>
          <w:szCs w:val="16"/>
          <w:color w:val="auto"/>
        </w:rPr>
        <w:t>“Ira has been a great asset to Manpower and its shareholders, working through several interesting transitions – from the Blue Arrow transition through the CEO succession,” said Jeffrey A. Joerres, Chairman &amp; CEO of Manpower Inc. “I want to publicly thank Ira for his service to our company and wish him well in his many other endeavors.”</w:t>
      </w:r>
    </w:p>
    <w:p>
      <w:pPr>
        <w:spacing w:after="0" w:line="132" w:lineRule="exact"/>
        <w:rPr>
          <w:sz w:val="20"/>
          <w:szCs w:val="20"/>
          <w:color w:val="auto"/>
        </w:rPr>
      </w:pPr>
    </w:p>
    <w:p>
      <w:pPr>
        <w:ind w:right="460" w:firstLine="648"/>
        <w:spacing w:after="0" w:line="320" w:lineRule="auto"/>
        <w:rPr>
          <w:sz w:val="20"/>
          <w:szCs w:val="20"/>
          <w:color w:val="auto"/>
        </w:rPr>
      </w:pPr>
      <w:r>
        <w:rPr>
          <w:rFonts w:ascii="Arial" w:cs="Arial" w:eastAsia="Arial" w:hAnsi="Arial"/>
          <w:sz w:val="20"/>
          <w:szCs w:val="20"/>
          <w:color w:val="auto"/>
        </w:rPr>
        <w:t>The Manpower Inc. board of directors has initiated its normal succession planning process and will be reviewing candidates to replace Harris in the near future, according to Joerres. With Harris’ departure, the board currently consists of eight members.</w:t>
      </w:r>
    </w:p>
    <w:p>
      <w:pPr>
        <w:spacing w:after="0" w:line="201" w:lineRule="exact"/>
        <w:rPr>
          <w:sz w:val="20"/>
          <w:szCs w:val="20"/>
          <w:color w:val="auto"/>
        </w:rPr>
      </w:pPr>
    </w:p>
    <w:p>
      <w:pPr>
        <w:ind w:right="120" w:firstLine="648"/>
        <w:spacing w:after="0" w:line="301" w:lineRule="auto"/>
        <w:rPr>
          <w:sz w:val="20"/>
          <w:szCs w:val="20"/>
          <w:color w:val="auto"/>
        </w:rPr>
      </w:pPr>
      <w:r>
        <w:rPr>
          <w:rFonts w:ascii="Arial" w:cs="Arial" w:eastAsia="Arial" w:hAnsi="Arial"/>
          <w:sz w:val="20"/>
          <w:szCs w:val="20"/>
          <w:color w:val="auto"/>
        </w:rPr>
        <w:t xml:space="preserve">Manpower Inc. is a world leader in the staffing industry, providing workforce management services and solutions to customers through 3,900 offices in 61 countries. The firm annually provides employment to 2 million people worldwide and is an industry leader in employee assessment and training. Manpower also provides a range of staffing solutions, engagement and consulting services worldwide under the subsidiary brands of Brook Street, Elan, The Empower Group and Jefferson Wells. More information on Manpower Inc. can be found at the company's website, </w:t>
      </w:r>
      <w:r>
        <w:rPr>
          <w:rFonts w:ascii="Arial" w:cs="Arial" w:eastAsia="Arial" w:hAnsi="Arial"/>
          <w:sz w:val="20"/>
          <w:szCs w:val="20"/>
          <w:u w:val="single" w:color="auto"/>
          <w:color w:val="auto"/>
        </w:rPr>
        <w:t>www.manpower.com</w:t>
      </w:r>
      <w:r>
        <w:rPr>
          <w:rFonts w:ascii="Arial" w:cs="Arial" w:eastAsia="Arial" w:hAnsi="Arial"/>
          <w:sz w:val="20"/>
          <w:szCs w:val="20"/>
          <w:color w:val="auto"/>
        </w:rPr>
        <w:t>.</w:t>
      </w:r>
    </w:p>
    <w:p>
      <w:pPr>
        <w:spacing w:after="0" w:line="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 -</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MANPOWER INC. • P.O. BOX 2053 • 5301 N. IRONWOOD RD., MILWAUKEE, WI 53201 • USA • PHONE 414-961-1000 • www.manpower.com</w:t>
      </w:r>
    </w:p>
    <w:sectPr>
      <w:pgSz w:w="11900" w:h="16838" w:orient="portrait"/>
      <w:cols w:equalWidth="0" w:num="1">
        <w:col w:w="9380"/>
      </w:cols>
      <w:pgMar w:left="1220" w:top="1440"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2019-12-19T23:38:57Z</dcterms:created>
  <dcterms:modified xsi:type="dcterms:W3CDTF">2019-12-19T23:38:57Z</dcterms:modified>
</cp:coreProperties>
</file>