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3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1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the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the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-840105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351155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 w:name="page2"/>
    <w:bookmarkEnd w:id="1"/>
    <w:p>
      <w:pPr>
        <w:ind w:left="892" w:hanging="446"/>
        <w:spacing w:after="0"/>
        <w:tabs>
          <w:tab w:leader="none" w:pos="8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the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275" w:lineRule="auto"/>
        <w:tabs>
          <w:tab w:leader="none" w:pos="452"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160" w:lineRule="exact"/>
        <w:rPr>
          <w:rFonts w:ascii="MS PGothic" w:cs="MS PGothic" w:eastAsia="MS PGothic" w:hAnsi="MS PGothic"/>
          <w:sz w:val="18"/>
          <w:szCs w:val="18"/>
          <w:color w:val="auto"/>
        </w:rPr>
      </w:pPr>
    </w:p>
    <w:p>
      <w:pPr>
        <w:ind w:left="892" w:hanging="446"/>
        <w:spacing w:after="0"/>
        <w:tabs>
          <w:tab w:leader="none" w:pos="8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-3054350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-1202055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-670560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383540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537845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563880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12"/>
          </w:cols>
          <w:pgMar w:left="248" w:top="125" w:right="6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920"/>
        <w:spacing w:after="0"/>
        <w:rPr>
          <w:sz w:val="20"/>
          <w:szCs w:val="20"/>
          <w:color w:val="auto"/>
        </w:rPr>
      </w:pPr>
      <w:r>
        <w:rPr>
          <w:rFonts w:ascii="Arial" w:cs="Arial" w:eastAsia="Arial" w:hAnsi="Arial"/>
          <w:sz w:val="65"/>
          <w:szCs w:val="65"/>
          <w:color w:val="5D89B4"/>
        </w:rPr>
        <w:t>Notice of</w:t>
      </w:r>
    </w:p>
    <w:p>
      <w:pPr>
        <w:ind w:left="200"/>
        <w:spacing w:after="0" w:line="180" w:lineRule="auto"/>
        <w:tabs>
          <w:tab w:leader="none" w:pos="3900" w:val="left"/>
        </w:tabs>
        <w:rPr>
          <w:sz w:val="20"/>
          <w:szCs w:val="20"/>
          <w:color w:val="auto"/>
        </w:rPr>
      </w:pPr>
      <w:r>
        <w:rPr>
          <w:rFonts w:ascii="Arial" w:cs="Arial" w:eastAsia="Arial" w:hAnsi="Arial"/>
          <w:sz w:val="95"/>
          <w:szCs w:val="95"/>
          <w:color w:val="5D89B4"/>
          <w:vertAlign w:val="subscript"/>
        </w:rPr>
        <w:t>2018</w:t>
      </w:r>
      <w:r>
        <w:rPr>
          <w:sz w:val="20"/>
          <w:szCs w:val="20"/>
          <w:color w:val="auto"/>
        </w:rPr>
        <w:tab/>
      </w:r>
      <w:r>
        <w:rPr>
          <w:rFonts w:ascii="Arial" w:cs="Arial" w:eastAsia="Arial" w:hAnsi="Arial"/>
          <w:sz w:val="51"/>
          <w:szCs w:val="51"/>
          <w:color w:val="5D89B4"/>
        </w:rPr>
        <w:t>Annual Meeting</w:t>
      </w:r>
    </w:p>
    <w:p>
      <w:pPr>
        <w:ind w:left="3920"/>
        <w:spacing w:after="0" w:line="239" w:lineRule="auto"/>
        <w:rPr>
          <w:sz w:val="20"/>
          <w:szCs w:val="20"/>
          <w:color w:val="auto"/>
        </w:rPr>
      </w:pPr>
      <w:r>
        <w:rPr>
          <w:rFonts w:ascii="Arial" w:cs="Arial" w:eastAsia="Arial" w:hAnsi="Arial"/>
          <w:sz w:val="65"/>
          <w:szCs w:val="65"/>
          <w:color w:val="5D89B4"/>
        </w:rPr>
        <w:t>of Shareholders</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64"/>
          <w:szCs w:val="64"/>
          <w:color w:val="5D89B4"/>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3172460</wp:posOffset>
            </wp:positionV>
            <wp:extent cx="2512695"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2695" cy="45466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MANPOWERGROUP INC.</w:t>
      </w:r>
    </w:p>
    <w:p>
      <w:pPr>
        <w:jc w:val="center"/>
        <w:ind w:right="-179"/>
        <w:spacing w:after="0"/>
        <w:rPr>
          <w:sz w:val="20"/>
          <w:szCs w:val="20"/>
          <w:color w:val="auto"/>
        </w:rPr>
      </w:pPr>
      <w:r>
        <w:rPr>
          <w:rFonts w:ascii="Arial" w:cs="Arial" w:eastAsia="Arial" w:hAnsi="Arial"/>
          <w:sz w:val="20"/>
          <w:szCs w:val="20"/>
          <w:b w:val="1"/>
          <w:bCs w:val="1"/>
          <w:color w:val="auto"/>
        </w:rPr>
        <w:t>100 MANPOWER PLACE</w:t>
      </w:r>
    </w:p>
    <w:p>
      <w:pPr>
        <w:jc w:val="center"/>
        <w:ind w:right="-179"/>
        <w:spacing w:after="0"/>
        <w:rPr>
          <w:sz w:val="20"/>
          <w:szCs w:val="20"/>
          <w:color w:val="auto"/>
        </w:rPr>
      </w:pPr>
      <w:r>
        <w:rPr>
          <w:rFonts w:ascii="Arial" w:cs="Arial" w:eastAsia="Arial" w:hAnsi="Arial"/>
          <w:sz w:val="20"/>
          <w:szCs w:val="20"/>
          <w:b w:val="1"/>
          <w:bCs w:val="1"/>
          <w:color w:val="auto"/>
        </w:rPr>
        <w:t>MILWAUKEE, WISCONSIN 53212</w:t>
      </w:r>
    </w:p>
    <w:p>
      <w:pPr>
        <w:spacing w:after="0" w:line="37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Notice of Annual Meeting of Shareholders</w:t>
      </w:r>
    </w:p>
    <w:p>
      <w:pPr>
        <w:spacing w:after="0" w:line="24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680" w:type="dxa"/>
            <w:vAlign w:val="bottom"/>
            <w:shd w:val="clear" w:color="auto" w:fill="BECFE1"/>
          </w:tcPr>
          <w:p>
            <w:pPr>
              <w:ind w:left="1100"/>
              <w:spacing w:after="0"/>
              <w:rPr>
                <w:sz w:val="20"/>
                <w:szCs w:val="20"/>
                <w:color w:val="auto"/>
              </w:rPr>
            </w:pPr>
            <w:r>
              <w:rPr>
                <w:rFonts w:ascii="Arial" w:cs="Arial" w:eastAsia="Arial" w:hAnsi="Arial"/>
                <w:sz w:val="18"/>
                <w:szCs w:val="18"/>
                <w:b w:val="1"/>
                <w:bCs w:val="1"/>
                <w:color w:val="auto"/>
              </w:rPr>
              <w:t>May 4, 2018</w:t>
            </w:r>
          </w:p>
        </w:tc>
        <w:tc>
          <w:tcPr>
            <w:tcW w:w="4880" w:type="dxa"/>
            <w:vAlign w:val="bottom"/>
            <w:shd w:val="clear" w:color="auto" w:fill="BECFE1"/>
          </w:tcPr>
          <w:p>
            <w:pPr>
              <w:ind w:left="420"/>
              <w:spacing w:after="0"/>
              <w:rPr>
                <w:sz w:val="20"/>
                <w:szCs w:val="20"/>
                <w:color w:val="auto"/>
              </w:rPr>
            </w:pPr>
            <w:r>
              <w:rPr>
                <w:rFonts w:ascii="Arial" w:cs="Arial" w:eastAsia="Arial" w:hAnsi="Arial"/>
                <w:sz w:val="18"/>
                <w:szCs w:val="18"/>
                <w:b w:val="1"/>
                <w:bCs w:val="1"/>
                <w:color w:val="auto"/>
              </w:rPr>
              <w:t>International Headquarters of ManpowerGroup</w:t>
            </w:r>
          </w:p>
        </w:tc>
        <w:tc>
          <w:tcPr>
            <w:tcW w:w="3460" w:type="dxa"/>
            <w:vAlign w:val="bottom"/>
            <w:shd w:val="clear" w:color="auto" w:fill="BECFE1"/>
          </w:tcPr>
          <w:p>
            <w:pPr>
              <w:ind w:left="480"/>
              <w:spacing w:after="0"/>
              <w:rPr>
                <w:sz w:val="20"/>
                <w:szCs w:val="20"/>
                <w:color w:val="auto"/>
              </w:rPr>
            </w:pPr>
            <w:r>
              <w:rPr>
                <w:rFonts w:ascii="Arial" w:cs="Arial" w:eastAsia="Arial" w:hAnsi="Arial"/>
                <w:sz w:val="18"/>
                <w:szCs w:val="18"/>
                <w:b w:val="1"/>
                <w:bCs w:val="1"/>
                <w:color w:val="auto"/>
              </w:rPr>
              <w:t>Record Date</w:t>
            </w:r>
          </w:p>
        </w:tc>
      </w:tr>
      <w:tr>
        <w:trPr>
          <w:trHeight w:val="203"/>
        </w:trPr>
        <w:tc>
          <w:tcPr>
            <w:tcW w:w="2680" w:type="dxa"/>
            <w:vAlign w:val="bottom"/>
            <w:shd w:val="clear" w:color="auto" w:fill="BECFE1"/>
          </w:tcPr>
          <w:p>
            <w:pPr>
              <w:ind w:left="1100"/>
              <w:spacing w:after="0" w:line="202" w:lineRule="exact"/>
              <w:rPr>
                <w:sz w:val="20"/>
                <w:szCs w:val="20"/>
                <w:color w:val="auto"/>
              </w:rPr>
            </w:pPr>
            <w:r>
              <w:rPr>
                <w:rFonts w:ascii="Arial" w:cs="Arial" w:eastAsia="Arial" w:hAnsi="Arial"/>
                <w:sz w:val="18"/>
                <w:szCs w:val="18"/>
                <w:color w:val="auto"/>
              </w:rPr>
              <w:t>9:00 a.m. CDT</w:t>
            </w:r>
          </w:p>
        </w:tc>
        <w:tc>
          <w:tcPr>
            <w:tcW w:w="4880" w:type="dxa"/>
            <w:vAlign w:val="bottom"/>
            <w:shd w:val="clear" w:color="auto" w:fill="BECFE1"/>
          </w:tcPr>
          <w:p>
            <w:pPr>
              <w:ind w:left="420"/>
              <w:spacing w:after="0" w:line="202" w:lineRule="exact"/>
              <w:rPr>
                <w:sz w:val="20"/>
                <w:szCs w:val="20"/>
                <w:color w:val="auto"/>
              </w:rPr>
            </w:pPr>
            <w:r>
              <w:rPr>
                <w:rFonts w:ascii="Arial" w:cs="Arial" w:eastAsia="Arial" w:hAnsi="Arial"/>
                <w:sz w:val="18"/>
                <w:szCs w:val="18"/>
                <w:color w:val="auto"/>
              </w:rPr>
              <w:t>100 Manpower Place</w:t>
            </w:r>
          </w:p>
        </w:tc>
        <w:tc>
          <w:tcPr>
            <w:tcW w:w="3460" w:type="dxa"/>
            <w:vAlign w:val="bottom"/>
            <w:shd w:val="clear" w:color="auto" w:fill="BECFE1"/>
          </w:tcPr>
          <w:p>
            <w:pPr>
              <w:ind w:left="480"/>
              <w:spacing w:after="0" w:line="202" w:lineRule="exact"/>
              <w:rPr>
                <w:sz w:val="20"/>
                <w:szCs w:val="20"/>
                <w:color w:val="auto"/>
              </w:rPr>
            </w:pPr>
            <w:r>
              <w:rPr>
                <w:rFonts w:ascii="Arial" w:cs="Arial" w:eastAsia="Arial" w:hAnsi="Arial"/>
                <w:sz w:val="18"/>
                <w:szCs w:val="18"/>
                <w:color w:val="auto"/>
              </w:rPr>
              <w:t>The close of business</w:t>
            </w:r>
          </w:p>
        </w:tc>
      </w:tr>
      <w:tr>
        <w:trPr>
          <w:trHeight w:val="225"/>
        </w:trPr>
        <w:tc>
          <w:tcPr>
            <w:tcW w:w="2680" w:type="dxa"/>
            <w:vAlign w:val="bottom"/>
            <w:shd w:val="clear" w:color="auto" w:fill="BECFE1"/>
          </w:tcPr>
          <w:p>
            <w:pPr>
              <w:spacing w:after="0"/>
              <w:rPr>
                <w:sz w:val="19"/>
                <w:szCs w:val="19"/>
                <w:color w:val="auto"/>
              </w:rPr>
            </w:pPr>
          </w:p>
        </w:tc>
        <w:tc>
          <w:tcPr>
            <w:tcW w:w="4880" w:type="dxa"/>
            <w:vAlign w:val="bottom"/>
            <w:shd w:val="clear" w:color="auto" w:fill="BECFE1"/>
          </w:tcPr>
          <w:p>
            <w:pPr>
              <w:ind w:left="420"/>
              <w:spacing w:after="0"/>
              <w:rPr>
                <w:sz w:val="20"/>
                <w:szCs w:val="20"/>
                <w:color w:val="auto"/>
              </w:rPr>
            </w:pPr>
            <w:r>
              <w:rPr>
                <w:rFonts w:ascii="Arial" w:cs="Arial" w:eastAsia="Arial" w:hAnsi="Arial"/>
                <w:sz w:val="18"/>
                <w:szCs w:val="18"/>
                <w:color w:val="auto"/>
              </w:rPr>
              <w:t>Milwaukee, Wisconsin 53212</w:t>
            </w:r>
          </w:p>
        </w:tc>
        <w:tc>
          <w:tcPr>
            <w:tcW w:w="3460" w:type="dxa"/>
            <w:vAlign w:val="bottom"/>
            <w:shd w:val="clear" w:color="auto" w:fill="BECFE1"/>
          </w:tcPr>
          <w:p>
            <w:pPr>
              <w:ind w:left="480"/>
              <w:spacing w:after="0"/>
              <w:rPr>
                <w:sz w:val="20"/>
                <w:szCs w:val="20"/>
                <w:color w:val="auto"/>
              </w:rPr>
            </w:pPr>
            <w:r>
              <w:rPr>
                <w:rFonts w:ascii="Arial" w:cs="Arial" w:eastAsia="Arial" w:hAnsi="Arial"/>
                <w:sz w:val="18"/>
                <w:szCs w:val="18"/>
                <w:color w:val="auto"/>
              </w:rPr>
              <w:t>February 23, 2018</w:t>
            </w:r>
          </w:p>
        </w:tc>
      </w:tr>
    </w:tbl>
    <w:p>
      <w:pPr>
        <w:spacing w:after="0" w:line="29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Items of Business:</w:t>
      </w:r>
    </w:p>
    <w:p>
      <w:pPr>
        <w:spacing w:after="0" w:line="110" w:lineRule="exact"/>
        <w:rPr>
          <w:sz w:val="20"/>
          <w:szCs w:val="20"/>
          <w:color w:val="auto"/>
        </w:rPr>
      </w:pPr>
    </w:p>
    <w:p>
      <w:pPr>
        <w:ind w:left="640" w:hanging="436"/>
        <w:spacing w:after="0"/>
        <w:tabs>
          <w:tab w:leader="none" w:pos="64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elect twelve individuals nominated by the Board of Directors of ManpowerGroup to serve until 2019 as directors;</w:t>
      </w:r>
    </w:p>
    <w:p>
      <w:pPr>
        <w:spacing w:after="0" w:line="202" w:lineRule="exact"/>
        <w:rPr>
          <w:rFonts w:ascii="Arial" w:cs="Arial" w:eastAsia="Arial" w:hAnsi="Arial"/>
          <w:sz w:val="20"/>
          <w:szCs w:val="20"/>
          <w:b w:val="1"/>
          <w:bCs w:val="1"/>
          <w:color w:val="5D89B4"/>
        </w:rPr>
      </w:pPr>
    </w:p>
    <w:p>
      <w:pPr>
        <w:ind w:left="640" w:hanging="436"/>
        <w:spacing w:after="0"/>
        <w:tabs>
          <w:tab w:leader="none" w:pos="64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ratify the appointment of Deloitte &amp; Touche LLP as our independent auditors for 2018;</w:t>
      </w:r>
    </w:p>
    <w:p>
      <w:pPr>
        <w:spacing w:after="0" w:line="202" w:lineRule="exact"/>
        <w:rPr>
          <w:rFonts w:ascii="Arial" w:cs="Arial" w:eastAsia="Arial" w:hAnsi="Arial"/>
          <w:sz w:val="20"/>
          <w:szCs w:val="20"/>
          <w:b w:val="1"/>
          <w:bCs w:val="1"/>
          <w:color w:val="5D89B4"/>
        </w:rPr>
      </w:pPr>
    </w:p>
    <w:p>
      <w:pPr>
        <w:ind w:left="640" w:hanging="436"/>
        <w:spacing w:after="0"/>
        <w:tabs>
          <w:tab w:leader="none" w:pos="64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hold an advisory vote on approval of the compensation of our named executive officers; and</w:t>
      </w:r>
    </w:p>
    <w:p>
      <w:pPr>
        <w:spacing w:after="0" w:line="202" w:lineRule="exact"/>
        <w:rPr>
          <w:rFonts w:ascii="Arial" w:cs="Arial" w:eastAsia="Arial" w:hAnsi="Arial"/>
          <w:sz w:val="20"/>
          <w:szCs w:val="20"/>
          <w:b w:val="1"/>
          <w:bCs w:val="1"/>
          <w:color w:val="5D89B4"/>
        </w:rPr>
      </w:pPr>
    </w:p>
    <w:p>
      <w:pPr>
        <w:ind w:left="640" w:hanging="436"/>
        <w:spacing w:after="0"/>
        <w:tabs>
          <w:tab w:leader="none" w:pos="64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transact such other business as may properly come before the meeting.</w:t>
      </w:r>
    </w:p>
    <w:p>
      <w:pPr>
        <w:spacing w:after="0" w:line="180" w:lineRule="exact"/>
        <w:rPr>
          <w:sz w:val="20"/>
          <w:szCs w:val="20"/>
          <w:color w:val="auto"/>
        </w:rPr>
      </w:pPr>
    </w:p>
    <w:p>
      <w:pPr>
        <w:ind w:left="200" w:right="120"/>
        <w:spacing w:after="0" w:line="248" w:lineRule="auto"/>
        <w:rPr>
          <w:sz w:val="20"/>
          <w:szCs w:val="20"/>
          <w:color w:val="auto"/>
        </w:rPr>
      </w:pPr>
      <w:r>
        <w:rPr>
          <w:rFonts w:ascii="Arial" w:cs="Arial" w:eastAsia="Arial" w:hAnsi="Arial"/>
          <w:sz w:val="18"/>
          <w:szCs w:val="18"/>
          <w:b w:val="1"/>
          <w:bCs w:val="1"/>
          <w:color w:val="auto"/>
        </w:rPr>
        <w:t>Holders of a majority of the outstanding shares must be present in person or by proxy in order for the annual meeting to be held. As allowed under the Securities and Exchange Commission’s rules, we have elected to furnish our proxy materials over the Internet. Accordingly, we have mailed to our shareholders of record and beneficial owners a Notice of Internet Availability of Proxy Materials (the “Notice”) containing instructions on how to access the attached proxy statement and our annual report on Form 10-K via the Internet and how to vote online.</w:t>
      </w:r>
    </w:p>
    <w:p>
      <w:pPr>
        <w:spacing w:after="0" w:line="119" w:lineRule="exact"/>
        <w:rPr>
          <w:sz w:val="20"/>
          <w:szCs w:val="20"/>
          <w:color w:val="auto"/>
        </w:rPr>
      </w:pPr>
    </w:p>
    <w:p>
      <w:pPr>
        <w:ind w:left="200" w:right="60"/>
        <w:spacing w:after="0" w:line="245" w:lineRule="auto"/>
        <w:rPr>
          <w:sz w:val="20"/>
          <w:szCs w:val="20"/>
          <w:color w:val="auto"/>
        </w:rPr>
      </w:pPr>
      <w:r>
        <w:rPr>
          <w:rFonts w:ascii="Arial" w:cs="Arial" w:eastAsia="Arial" w:hAnsi="Arial"/>
          <w:sz w:val="18"/>
          <w:szCs w:val="18"/>
          <w:b w:val="1"/>
          <w:bCs w:val="1"/>
          <w:color w:val="auto"/>
        </w:rPr>
        <w:t>Whether or not you expect to attend the annual meeting in person, you are urged to vote by a telephone vote, by voting electronically via the Internet or, as applicable, by completing and mailing the proxy card. Instructions for telephonic voting and electronic voting via the Internet are contained in the Notice or, as applicable, on the accompanying proxy card. If you attend the meeting and wish to vote your shares personally, you may do so by revoking your proxy at any time prior to the voting thereof. In addition, you may revoke your proxy at any time before it is voted by advising the Secretary of ManpowerGroup in writing (including executing a later-dated proxy or voting via the Internet) or by telephone of such revocation.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117475</wp:posOffset>
            </wp:positionV>
            <wp:extent cx="7002145" cy="467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467360"/>
                    </a:xfrm>
                    <a:prstGeom prst="rect">
                      <a:avLst/>
                    </a:prstGeom>
                    <a:noFill/>
                  </pic:spPr>
                </pic:pic>
              </a:graphicData>
            </a:graphic>
          </wp:anchor>
        </w:drawing>
      </w:r>
    </w:p>
    <w:p>
      <w:pPr>
        <w:spacing w:after="0" w:line="198" w:lineRule="exact"/>
        <w:rPr>
          <w:sz w:val="20"/>
          <w:szCs w:val="20"/>
          <w:color w:val="auto"/>
        </w:rPr>
      </w:pPr>
    </w:p>
    <w:p>
      <w:pPr>
        <w:jc w:val="both"/>
        <w:ind w:left="440" w:right="320"/>
        <w:spacing w:after="0" w:line="279" w:lineRule="auto"/>
        <w:rPr>
          <w:sz w:val="20"/>
          <w:szCs w:val="20"/>
          <w:color w:val="auto"/>
        </w:rPr>
      </w:pPr>
      <w:r>
        <w:rPr>
          <w:rFonts w:ascii="Arial" w:cs="Arial" w:eastAsia="Arial" w:hAnsi="Arial"/>
          <w:sz w:val="17"/>
          <w:szCs w:val="17"/>
          <w:b w:val="1"/>
          <w:bCs w:val="1"/>
          <w:color w:val="5D89B4"/>
        </w:rPr>
        <w:t xml:space="preserve">Important Notice Regarding the Availability of Proxy Materials for the Annual Meeting of Shareholders to be held on May 4, 2018: </w:t>
      </w:r>
      <w:r>
        <w:rPr>
          <w:rFonts w:ascii="Arial" w:cs="Arial" w:eastAsia="Arial" w:hAnsi="Arial"/>
          <w:sz w:val="17"/>
          <w:szCs w:val="17"/>
          <w:color w:val="000000"/>
        </w:rPr>
        <w:t>The annual report on Form 10-K and proxy statement of ManpowerGroup are available for review on the Internet. Instructions</w:t>
      </w:r>
      <w:r>
        <w:rPr>
          <w:rFonts w:ascii="Arial" w:cs="Arial" w:eastAsia="Arial" w:hAnsi="Arial"/>
          <w:sz w:val="17"/>
          <w:szCs w:val="17"/>
          <w:b w:val="1"/>
          <w:bCs w:val="1"/>
          <w:color w:val="5D89B4"/>
        </w:rPr>
        <w:t xml:space="preserve"> </w:t>
      </w:r>
      <w:r>
        <w:rPr>
          <w:rFonts w:ascii="Arial" w:cs="Arial" w:eastAsia="Arial" w:hAnsi="Arial"/>
          <w:sz w:val="17"/>
          <w:szCs w:val="17"/>
          <w:color w:val="000000"/>
        </w:rPr>
        <w:t>on how to access and review the materials on the Internet can be found on the Notice and the accompanying proxy card.</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Richard Buchband, Secretary</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March 9, 2018</w:t>
      </w:r>
    </w:p>
    <w:p>
      <w:pPr>
        <w:sectPr>
          <w:pgSz w:w="11900" w:h="16838" w:orient="portrait"/>
          <w:cols w:equalWidth="0" w:num="1">
            <w:col w:w="11240"/>
          </w:cols>
          <w:pgMar w:left="240" w:top="455" w:right="4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200" w:type="dxa"/>
        <w:tblCellMar>
          <w:top w:w="0" w:type="dxa"/>
          <w:left w:w="0" w:type="dxa"/>
          <w:bottom w:w="0" w:type="dxa"/>
          <w:right w:w="0" w:type="dxa"/>
        </w:tblCellMar>
      </w:tblPr>
      <w:tr>
        <w:trPr>
          <w:trHeight w:val="301"/>
        </w:trPr>
        <w:tc>
          <w:tcPr>
            <w:tcW w:w="80" w:type="dxa"/>
            <w:vAlign w:val="bottom"/>
            <w:tcBorders>
              <w:right w:val="single" w:sz="8" w:color="5D89B4"/>
            </w:tcBorders>
          </w:tcPr>
          <w:p>
            <w:pPr>
              <w:spacing w:after="0"/>
              <w:rPr>
                <w:sz w:val="24"/>
                <w:szCs w:val="24"/>
                <w:color w:val="auto"/>
              </w:rPr>
            </w:pPr>
          </w:p>
        </w:tc>
        <w:tc>
          <w:tcPr>
            <w:tcW w:w="160" w:type="dxa"/>
            <w:vAlign w:val="bottom"/>
            <w:shd w:val="clear" w:color="auto" w:fill="5D89B4"/>
          </w:tcPr>
          <w:p>
            <w:pPr>
              <w:spacing w:after="0"/>
              <w:rPr>
                <w:sz w:val="24"/>
                <w:szCs w:val="24"/>
                <w:color w:val="auto"/>
              </w:rPr>
            </w:pPr>
          </w:p>
        </w:tc>
        <w:tc>
          <w:tcPr>
            <w:tcW w:w="960" w:type="dxa"/>
            <w:vAlign w:val="bottom"/>
            <w:shd w:val="clear" w:color="auto" w:fill="5D89B4"/>
          </w:tcPr>
          <w:p>
            <w:pPr>
              <w:spacing w:after="0"/>
              <w:rPr>
                <w:sz w:val="24"/>
                <w:szCs w:val="24"/>
                <w:color w:val="auto"/>
              </w:rPr>
            </w:pPr>
          </w:p>
        </w:tc>
        <w:tc>
          <w:tcPr>
            <w:tcW w:w="120" w:type="dxa"/>
            <w:vAlign w:val="bottom"/>
            <w:shd w:val="clear" w:color="auto" w:fill="5D89B4"/>
          </w:tcPr>
          <w:p>
            <w:pPr>
              <w:spacing w:after="0"/>
              <w:rPr>
                <w:sz w:val="24"/>
                <w:szCs w:val="24"/>
                <w:color w:val="auto"/>
              </w:rPr>
            </w:pPr>
          </w:p>
        </w:tc>
        <w:tc>
          <w:tcPr>
            <w:tcW w:w="14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440" w:type="dxa"/>
            <w:vAlign w:val="bottom"/>
            <w:shd w:val="clear" w:color="auto" w:fill="5D89B4"/>
          </w:tcPr>
          <w:p>
            <w:pPr>
              <w:spacing w:after="0"/>
              <w:rPr>
                <w:sz w:val="24"/>
                <w:szCs w:val="24"/>
                <w:color w:val="auto"/>
              </w:rPr>
            </w:pPr>
          </w:p>
        </w:tc>
        <w:tc>
          <w:tcPr>
            <w:tcW w:w="12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8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38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26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80" w:type="dxa"/>
            <w:vAlign w:val="bottom"/>
            <w:shd w:val="clear" w:color="auto" w:fill="5D89B4"/>
          </w:tcPr>
          <w:p>
            <w:pPr>
              <w:spacing w:after="0"/>
              <w:rPr>
                <w:sz w:val="24"/>
                <w:szCs w:val="24"/>
                <w:color w:val="auto"/>
              </w:rPr>
            </w:pPr>
          </w:p>
        </w:tc>
        <w:tc>
          <w:tcPr>
            <w:tcW w:w="16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260" w:type="dxa"/>
            <w:vAlign w:val="bottom"/>
            <w:shd w:val="clear" w:color="auto" w:fill="5D89B4"/>
          </w:tcPr>
          <w:p>
            <w:pPr>
              <w:spacing w:after="0"/>
              <w:rPr>
                <w:sz w:val="24"/>
                <w:szCs w:val="24"/>
                <w:color w:val="auto"/>
              </w:rPr>
            </w:pPr>
          </w:p>
        </w:tc>
        <w:tc>
          <w:tcPr>
            <w:tcW w:w="38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180" w:type="dxa"/>
            <w:vAlign w:val="bottom"/>
            <w:shd w:val="clear" w:color="auto" w:fill="5D89B4"/>
          </w:tcPr>
          <w:p>
            <w:pPr>
              <w:spacing w:after="0"/>
              <w:rPr>
                <w:sz w:val="24"/>
                <w:szCs w:val="24"/>
                <w:color w:val="auto"/>
              </w:rPr>
            </w:pPr>
          </w:p>
        </w:tc>
        <w:tc>
          <w:tcPr>
            <w:tcW w:w="480" w:type="dxa"/>
            <w:vAlign w:val="bottom"/>
            <w:shd w:val="clear" w:color="auto" w:fill="5D89B4"/>
          </w:tcPr>
          <w:p>
            <w:pPr>
              <w:spacing w:after="0"/>
              <w:rPr>
                <w:sz w:val="24"/>
                <w:szCs w:val="24"/>
                <w:color w:val="auto"/>
              </w:rPr>
            </w:pPr>
          </w:p>
        </w:tc>
        <w:tc>
          <w:tcPr>
            <w:tcW w:w="160" w:type="dxa"/>
            <w:vAlign w:val="bottom"/>
            <w:shd w:val="clear" w:color="auto" w:fill="5D89B4"/>
          </w:tcPr>
          <w:p>
            <w:pPr>
              <w:spacing w:after="0"/>
              <w:rPr>
                <w:sz w:val="24"/>
                <w:szCs w:val="24"/>
                <w:color w:val="auto"/>
              </w:rPr>
            </w:pPr>
          </w:p>
        </w:tc>
        <w:tc>
          <w:tcPr>
            <w:tcW w:w="1340" w:type="dxa"/>
            <w:vAlign w:val="bottom"/>
            <w:shd w:val="clear" w:color="auto" w:fill="5D89B4"/>
          </w:tcPr>
          <w:p>
            <w:pPr>
              <w:spacing w:after="0"/>
              <w:rPr>
                <w:sz w:val="24"/>
                <w:szCs w:val="24"/>
                <w:color w:val="auto"/>
              </w:rPr>
            </w:pPr>
          </w:p>
        </w:tc>
        <w:tc>
          <w:tcPr>
            <w:tcW w:w="1600" w:type="dxa"/>
            <w:vAlign w:val="bottom"/>
            <w:shd w:val="clear" w:color="auto" w:fill="5D89B4"/>
          </w:tcPr>
          <w:p>
            <w:pPr>
              <w:spacing w:after="0"/>
              <w:rPr>
                <w:sz w:val="24"/>
                <w:szCs w:val="24"/>
                <w:color w:val="auto"/>
              </w:rPr>
            </w:pPr>
          </w:p>
        </w:tc>
        <w:tc>
          <w:tcPr>
            <w:tcW w:w="420" w:type="dxa"/>
            <w:vAlign w:val="bottom"/>
            <w:shd w:val="clear" w:color="auto" w:fill="5D89B4"/>
          </w:tcPr>
          <w:p>
            <w:pPr>
              <w:spacing w:after="0"/>
              <w:rPr>
                <w:sz w:val="24"/>
                <w:szCs w:val="24"/>
                <w:color w:val="auto"/>
              </w:rPr>
            </w:pPr>
          </w:p>
        </w:tc>
        <w:tc>
          <w:tcPr>
            <w:tcW w:w="440" w:type="dxa"/>
            <w:vAlign w:val="bottom"/>
            <w:shd w:val="clear" w:color="auto" w:fill="5D89B4"/>
          </w:tcPr>
          <w:p>
            <w:pPr>
              <w:spacing w:after="0"/>
              <w:rPr>
                <w:sz w:val="24"/>
                <w:szCs w:val="24"/>
                <w:color w:val="auto"/>
              </w:rPr>
            </w:pPr>
          </w:p>
        </w:tc>
        <w:tc>
          <w:tcPr>
            <w:tcW w:w="80" w:type="dxa"/>
            <w:vAlign w:val="bottom"/>
            <w:shd w:val="clear" w:color="auto" w:fill="5D89B4"/>
          </w:tcPr>
          <w:p>
            <w:pPr>
              <w:spacing w:after="0"/>
              <w:rPr>
                <w:sz w:val="24"/>
                <w:szCs w:val="24"/>
                <w:color w:val="auto"/>
              </w:rPr>
            </w:pPr>
          </w:p>
        </w:tc>
        <w:tc>
          <w:tcPr>
            <w:tcW w:w="1580" w:type="dxa"/>
            <w:vAlign w:val="bottom"/>
            <w:shd w:val="clear" w:color="auto" w:fill="5D89B4"/>
          </w:tcPr>
          <w:p>
            <w:pPr>
              <w:jc w:val="right"/>
              <w:ind w:right="39"/>
              <w:spacing w:after="0"/>
              <w:rPr>
                <w:sz w:val="20"/>
                <w:szCs w:val="20"/>
                <w:color w:val="auto"/>
              </w:rPr>
            </w:pPr>
            <w:r>
              <w:rPr>
                <w:rFonts w:ascii="Arial" w:cs="Arial" w:eastAsia="Arial" w:hAnsi="Arial"/>
                <w:sz w:val="18"/>
                <w:szCs w:val="18"/>
                <w:color w:val="FFFFFF"/>
              </w:rPr>
              <w:t>Table of Contents</w:t>
            </w:r>
          </w:p>
        </w:tc>
        <w:tc>
          <w:tcPr>
            <w:tcW w:w="0" w:type="dxa"/>
            <w:vAlign w:val="bottom"/>
          </w:tcPr>
          <w:p>
            <w:pPr>
              <w:spacing w:after="0"/>
              <w:rPr>
                <w:sz w:val="1"/>
                <w:szCs w:val="1"/>
                <w:color w:val="auto"/>
              </w:rPr>
            </w:pPr>
          </w:p>
        </w:tc>
      </w:tr>
      <w:tr>
        <w:trPr>
          <w:trHeight w:val="77"/>
        </w:trPr>
        <w:tc>
          <w:tcPr>
            <w:tcW w:w="80" w:type="dxa"/>
            <w:vAlign w:val="bottom"/>
            <w:tcBorders>
              <w:right w:val="single" w:sz="8" w:color="5D89B4"/>
            </w:tcBorders>
          </w:tcPr>
          <w:p>
            <w:pPr>
              <w:spacing w:after="0"/>
              <w:rPr>
                <w:sz w:val="6"/>
                <w:szCs w:val="6"/>
                <w:color w:val="auto"/>
              </w:rPr>
            </w:pPr>
          </w:p>
        </w:tc>
        <w:tc>
          <w:tcPr>
            <w:tcW w:w="160" w:type="dxa"/>
            <w:vAlign w:val="bottom"/>
            <w:shd w:val="clear" w:color="auto" w:fill="5D89B4"/>
          </w:tcPr>
          <w:p>
            <w:pPr>
              <w:spacing w:after="0"/>
              <w:rPr>
                <w:sz w:val="6"/>
                <w:szCs w:val="6"/>
                <w:color w:val="auto"/>
              </w:rPr>
            </w:pPr>
          </w:p>
        </w:tc>
        <w:tc>
          <w:tcPr>
            <w:tcW w:w="960" w:type="dxa"/>
            <w:vAlign w:val="bottom"/>
            <w:shd w:val="clear" w:color="auto" w:fill="5D89B4"/>
          </w:tcPr>
          <w:p>
            <w:pPr>
              <w:spacing w:after="0"/>
              <w:rPr>
                <w:sz w:val="6"/>
                <w:szCs w:val="6"/>
                <w:color w:val="auto"/>
              </w:rPr>
            </w:pPr>
          </w:p>
        </w:tc>
        <w:tc>
          <w:tcPr>
            <w:tcW w:w="120" w:type="dxa"/>
            <w:vAlign w:val="bottom"/>
            <w:shd w:val="clear" w:color="auto" w:fill="5D89B4"/>
          </w:tcPr>
          <w:p>
            <w:pPr>
              <w:spacing w:after="0"/>
              <w:rPr>
                <w:sz w:val="6"/>
                <w:szCs w:val="6"/>
                <w:color w:val="auto"/>
              </w:rPr>
            </w:pPr>
          </w:p>
        </w:tc>
        <w:tc>
          <w:tcPr>
            <w:tcW w:w="140" w:type="dxa"/>
            <w:vAlign w:val="bottom"/>
            <w:shd w:val="clear" w:color="auto" w:fill="5D89B4"/>
          </w:tcPr>
          <w:p>
            <w:pPr>
              <w:spacing w:after="0"/>
              <w:rPr>
                <w:sz w:val="6"/>
                <w:szCs w:val="6"/>
                <w:color w:val="auto"/>
              </w:rPr>
            </w:pPr>
          </w:p>
        </w:tc>
        <w:tc>
          <w:tcPr>
            <w:tcW w:w="40" w:type="dxa"/>
            <w:vAlign w:val="bottom"/>
            <w:shd w:val="clear" w:color="auto" w:fill="5D89B4"/>
          </w:tcPr>
          <w:p>
            <w:pPr>
              <w:spacing w:after="0"/>
              <w:rPr>
                <w:sz w:val="6"/>
                <w:szCs w:val="6"/>
                <w:color w:val="auto"/>
              </w:rPr>
            </w:pPr>
          </w:p>
        </w:tc>
        <w:tc>
          <w:tcPr>
            <w:tcW w:w="440" w:type="dxa"/>
            <w:vAlign w:val="bottom"/>
            <w:shd w:val="clear" w:color="auto" w:fill="5D89B4"/>
          </w:tcPr>
          <w:p>
            <w:pPr>
              <w:spacing w:after="0"/>
              <w:rPr>
                <w:sz w:val="6"/>
                <w:szCs w:val="6"/>
                <w:color w:val="auto"/>
              </w:rPr>
            </w:pPr>
          </w:p>
        </w:tc>
        <w:tc>
          <w:tcPr>
            <w:tcW w:w="120" w:type="dxa"/>
            <w:vAlign w:val="bottom"/>
            <w:shd w:val="clear" w:color="auto" w:fill="5D89B4"/>
          </w:tcPr>
          <w:p>
            <w:pPr>
              <w:spacing w:after="0"/>
              <w:rPr>
                <w:sz w:val="6"/>
                <w:szCs w:val="6"/>
                <w:color w:val="auto"/>
              </w:rPr>
            </w:pPr>
          </w:p>
        </w:tc>
        <w:tc>
          <w:tcPr>
            <w:tcW w:w="40" w:type="dxa"/>
            <w:vAlign w:val="bottom"/>
            <w:shd w:val="clear" w:color="auto" w:fill="5D89B4"/>
          </w:tcPr>
          <w:p>
            <w:pPr>
              <w:spacing w:after="0"/>
              <w:rPr>
                <w:sz w:val="6"/>
                <w:szCs w:val="6"/>
                <w:color w:val="auto"/>
              </w:rPr>
            </w:pPr>
          </w:p>
        </w:tc>
        <w:tc>
          <w:tcPr>
            <w:tcW w:w="100" w:type="dxa"/>
            <w:vAlign w:val="bottom"/>
            <w:shd w:val="clear" w:color="auto" w:fill="5D89B4"/>
          </w:tcPr>
          <w:p>
            <w:pPr>
              <w:spacing w:after="0"/>
              <w:rPr>
                <w:sz w:val="6"/>
                <w:szCs w:val="6"/>
                <w:color w:val="auto"/>
              </w:rPr>
            </w:pPr>
          </w:p>
        </w:tc>
        <w:tc>
          <w:tcPr>
            <w:tcW w:w="20" w:type="dxa"/>
            <w:vAlign w:val="bottom"/>
            <w:shd w:val="clear" w:color="auto" w:fill="5D89B4"/>
          </w:tcPr>
          <w:p>
            <w:pPr>
              <w:spacing w:after="0"/>
              <w:rPr>
                <w:sz w:val="6"/>
                <w:szCs w:val="6"/>
                <w:color w:val="auto"/>
              </w:rPr>
            </w:pPr>
          </w:p>
        </w:tc>
        <w:tc>
          <w:tcPr>
            <w:tcW w:w="80" w:type="dxa"/>
            <w:vAlign w:val="bottom"/>
            <w:shd w:val="clear" w:color="auto" w:fill="5D89B4"/>
          </w:tcPr>
          <w:p>
            <w:pPr>
              <w:spacing w:after="0"/>
              <w:rPr>
                <w:sz w:val="6"/>
                <w:szCs w:val="6"/>
                <w:color w:val="auto"/>
              </w:rPr>
            </w:pPr>
          </w:p>
        </w:tc>
        <w:tc>
          <w:tcPr>
            <w:tcW w:w="100" w:type="dxa"/>
            <w:vAlign w:val="bottom"/>
            <w:shd w:val="clear" w:color="auto" w:fill="5D89B4"/>
          </w:tcPr>
          <w:p>
            <w:pPr>
              <w:spacing w:after="0"/>
              <w:rPr>
                <w:sz w:val="6"/>
                <w:szCs w:val="6"/>
                <w:color w:val="auto"/>
              </w:rPr>
            </w:pPr>
          </w:p>
        </w:tc>
        <w:tc>
          <w:tcPr>
            <w:tcW w:w="20" w:type="dxa"/>
            <w:vAlign w:val="bottom"/>
            <w:shd w:val="clear" w:color="auto" w:fill="5D89B4"/>
          </w:tcPr>
          <w:p>
            <w:pPr>
              <w:spacing w:after="0"/>
              <w:rPr>
                <w:sz w:val="6"/>
                <w:szCs w:val="6"/>
                <w:color w:val="auto"/>
              </w:rPr>
            </w:pPr>
          </w:p>
        </w:tc>
        <w:tc>
          <w:tcPr>
            <w:tcW w:w="40" w:type="dxa"/>
            <w:vAlign w:val="bottom"/>
            <w:shd w:val="clear" w:color="auto" w:fill="5D89B4"/>
          </w:tcPr>
          <w:p>
            <w:pPr>
              <w:spacing w:after="0"/>
              <w:rPr>
                <w:sz w:val="6"/>
                <w:szCs w:val="6"/>
                <w:color w:val="auto"/>
              </w:rPr>
            </w:pPr>
          </w:p>
        </w:tc>
        <w:tc>
          <w:tcPr>
            <w:tcW w:w="20" w:type="dxa"/>
            <w:vAlign w:val="bottom"/>
            <w:shd w:val="clear" w:color="auto" w:fill="5D89B4"/>
          </w:tcPr>
          <w:p>
            <w:pPr>
              <w:spacing w:after="0"/>
              <w:rPr>
                <w:sz w:val="6"/>
                <w:szCs w:val="6"/>
                <w:color w:val="auto"/>
              </w:rPr>
            </w:pPr>
          </w:p>
        </w:tc>
        <w:tc>
          <w:tcPr>
            <w:tcW w:w="60" w:type="dxa"/>
            <w:vAlign w:val="bottom"/>
            <w:shd w:val="clear" w:color="auto" w:fill="5D89B4"/>
          </w:tcPr>
          <w:p>
            <w:pPr>
              <w:spacing w:after="0"/>
              <w:rPr>
                <w:sz w:val="6"/>
                <w:szCs w:val="6"/>
                <w:color w:val="auto"/>
              </w:rPr>
            </w:pPr>
          </w:p>
        </w:tc>
        <w:tc>
          <w:tcPr>
            <w:tcW w:w="20" w:type="dxa"/>
            <w:vAlign w:val="bottom"/>
            <w:shd w:val="clear" w:color="auto" w:fill="5D89B4"/>
          </w:tcPr>
          <w:p>
            <w:pPr>
              <w:spacing w:after="0"/>
              <w:rPr>
                <w:sz w:val="6"/>
                <w:szCs w:val="6"/>
                <w:color w:val="auto"/>
              </w:rPr>
            </w:pPr>
          </w:p>
        </w:tc>
        <w:tc>
          <w:tcPr>
            <w:tcW w:w="380" w:type="dxa"/>
            <w:vAlign w:val="bottom"/>
            <w:shd w:val="clear" w:color="auto" w:fill="5D89B4"/>
          </w:tcPr>
          <w:p>
            <w:pPr>
              <w:spacing w:after="0"/>
              <w:rPr>
                <w:sz w:val="6"/>
                <w:szCs w:val="6"/>
                <w:color w:val="auto"/>
              </w:rPr>
            </w:pPr>
          </w:p>
        </w:tc>
        <w:tc>
          <w:tcPr>
            <w:tcW w:w="100" w:type="dxa"/>
            <w:vAlign w:val="bottom"/>
            <w:shd w:val="clear" w:color="auto" w:fill="5D89B4"/>
          </w:tcPr>
          <w:p>
            <w:pPr>
              <w:spacing w:after="0"/>
              <w:rPr>
                <w:sz w:val="6"/>
                <w:szCs w:val="6"/>
                <w:color w:val="auto"/>
              </w:rPr>
            </w:pPr>
          </w:p>
        </w:tc>
        <w:tc>
          <w:tcPr>
            <w:tcW w:w="260" w:type="dxa"/>
            <w:vAlign w:val="bottom"/>
            <w:shd w:val="clear" w:color="auto" w:fill="5D89B4"/>
          </w:tcPr>
          <w:p>
            <w:pPr>
              <w:spacing w:after="0"/>
              <w:rPr>
                <w:sz w:val="6"/>
                <w:szCs w:val="6"/>
                <w:color w:val="auto"/>
              </w:rPr>
            </w:pPr>
          </w:p>
        </w:tc>
        <w:tc>
          <w:tcPr>
            <w:tcW w:w="40" w:type="dxa"/>
            <w:vAlign w:val="bottom"/>
            <w:shd w:val="clear" w:color="auto" w:fill="5D89B4"/>
          </w:tcPr>
          <w:p>
            <w:pPr>
              <w:spacing w:after="0"/>
              <w:rPr>
                <w:sz w:val="6"/>
                <w:szCs w:val="6"/>
                <w:color w:val="auto"/>
              </w:rPr>
            </w:pPr>
          </w:p>
        </w:tc>
        <w:tc>
          <w:tcPr>
            <w:tcW w:w="60" w:type="dxa"/>
            <w:vAlign w:val="bottom"/>
            <w:shd w:val="clear" w:color="auto" w:fill="5D89B4"/>
          </w:tcPr>
          <w:p>
            <w:pPr>
              <w:spacing w:after="0"/>
              <w:rPr>
                <w:sz w:val="6"/>
                <w:szCs w:val="6"/>
                <w:color w:val="auto"/>
              </w:rPr>
            </w:pPr>
          </w:p>
        </w:tc>
        <w:tc>
          <w:tcPr>
            <w:tcW w:w="40" w:type="dxa"/>
            <w:vAlign w:val="bottom"/>
            <w:shd w:val="clear" w:color="auto" w:fill="5D89B4"/>
          </w:tcPr>
          <w:p>
            <w:pPr>
              <w:spacing w:after="0"/>
              <w:rPr>
                <w:sz w:val="6"/>
                <w:szCs w:val="6"/>
                <w:color w:val="auto"/>
              </w:rPr>
            </w:pPr>
          </w:p>
        </w:tc>
        <w:tc>
          <w:tcPr>
            <w:tcW w:w="40" w:type="dxa"/>
            <w:vAlign w:val="bottom"/>
            <w:shd w:val="clear" w:color="auto" w:fill="5D89B4"/>
          </w:tcPr>
          <w:p>
            <w:pPr>
              <w:spacing w:after="0"/>
              <w:rPr>
                <w:sz w:val="6"/>
                <w:szCs w:val="6"/>
                <w:color w:val="auto"/>
              </w:rPr>
            </w:pPr>
          </w:p>
        </w:tc>
        <w:tc>
          <w:tcPr>
            <w:tcW w:w="100" w:type="dxa"/>
            <w:vAlign w:val="bottom"/>
            <w:shd w:val="clear" w:color="auto" w:fill="5D89B4"/>
          </w:tcPr>
          <w:p>
            <w:pPr>
              <w:spacing w:after="0"/>
              <w:rPr>
                <w:sz w:val="6"/>
                <w:szCs w:val="6"/>
                <w:color w:val="auto"/>
              </w:rPr>
            </w:pPr>
          </w:p>
        </w:tc>
        <w:tc>
          <w:tcPr>
            <w:tcW w:w="100" w:type="dxa"/>
            <w:vAlign w:val="bottom"/>
            <w:shd w:val="clear" w:color="auto" w:fill="5D89B4"/>
          </w:tcPr>
          <w:p>
            <w:pPr>
              <w:spacing w:after="0"/>
              <w:rPr>
                <w:sz w:val="6"/>
                <w:szCs w:val="6"/>
                <w:color w:val="auto"/>
              </w:rPr>
            </w:pPr>
          </w:p>
        </w:tc>
        <w:tc>
          <w:tcPr>
            <w:tcW w:w="60" w:type="dxa"/>
            <w:vAlign w:val="bottom"/>
            <w:shd w:val="clear" w:color="auto" w:fill="5D89B4"/>
          </w:tcPr>
          <w:p>
            <w:pPr>
              <w:spacing w:after="0"/>
              <w:rPr>
                <w:sz w:val="6"/>
                <w:szCs w:val="6"/>
                <w:color w:val="auto"/>
              </w:rPr>
            </w:pPr>
          </w:p>
        </w:tc>
        <w:tc>
          <w:tcPr>
            <w:tcW w:w="20" w:type="dxa"/>
            <w:vAlign w:val="bottom"/>
            <w:shd w:val="clear" w:color="auto" w:fill="5D89B4"/>
          </w:tcPr>
          <w:p>
            <w:pPr>
              <w:spacing w:after="0"/>
              <w:rPr>
                <w:sz w:val="6"/>
                <w:szCs w:val="6"/>
                <w:color w:val="auto"/>
              </w:rPr>
            </w:pPr>
          </w:p>
        </w:tc>
        <w:tc>
          <w:tcPr>
            <w:tcW w:w="80" w:type="dxa"/>
            <w:vAlign w:val="bottom"/>
            <w:shd w:val="clear" w:color="auto" w:fill="5D89B4"/>
          </w:tcPr>
          <w:p>
            <w:pPr>
              <w:spacing w:after="0"/>
              <w:rPr>
                <w:sz w:val="6"/>
                <w:szCs w:val="6"/>
                <w:color w:val="auto"/>
              </w:rPr>
            </w:pPr>
          </w:p>
        </w:tc>
        <w:tc>
          <w:tcPr>
            <w:tcW w:w="160" w:type="dxa"/>
            <w:vAlign w:val="bottom"/>
            <w:shd w:val="clear" w:color="auto" w:fill="5D89B4"/>
          </w:tcPr>
          <w:p>
            <w:pPr>
              <w:spacing w:after="0"/>
              <w:rPr>
                <w:sz w:val="6"/>
                <w:szCs w:val="6"/>
                <w:color w:val="auto"/>
              </w:rPr>
            </w:pPr>
          </w:p>
        </w:tc>
        <w:tc>
          <w:tcPr>
            <w:tcW w:w="60" w:type="dxa"/>
            <w:vAlign w:val="bottom"/>
            <w:shd w:val="clear" w:color="auto" w:fill="5D89B4"/>
          </w:tcPr>
          <w:p>
            <w:pPr>
              <w:spacing w:after="0"/>
              <w:rPr>
                <w:sz w:val="6"/>
                <w:szCs w:val="6"/>
                <w:color w:val="auto"/>
              </w:rPr>
            </w:pPr>
          </w:p>
        </w:tc>
        <w:tc>
          <w:tcPr>
            <w:tcW w:w="260" w:type="dxa"/>
            <w:vAlign w:val="bottom"/>
            <w:shd w:val="clear" w:color="auto" w:fill="5D89B4"/>
          </w:tcPr>
          <w:p>
            <w:pPr>
              <w:spacing w:after="0"/>
              <w:rPr>
                <w:sz w:val="6"/>
                <w:szCs w:val="6"/>
                <w:color w:val="auto"/>
              </w:rPr>
            </w:pPr>
          </w:p>
        </w:tc>
        <w:tc>
          <w:tcPr>
            <w:tcW w:w="380" w:type="dxa"/>
            <w:vAlign w:val="bottom"/>
            <w:shd w:val="clear" w:color="auto" w:fill="5D89B4"/>
          </w:tcPr>
          <w:p>
            <w:pPr>
              <w:spacing w:after="0"/>
              <w:rPr>
                <w:sz w:val="6"/>
                <w:szCs w:val="6"/>
                <w:color w:val="auto"/>
              </w:rPr>
            </w:pPr>
          </w:p>
        </w:tc>
        <w:tc>
          <w:tcPr>
            <w:tcW w:w="60" w:type="dxa"/>
            <w:vAlign w:val="bottom"/>
            <w:shd w:val="clear" w:color="auto" w:fill="5D89B4"/>
          </w:tcPr>
          <w:p>
            <w:pPr>
              <w:spacing w:after="0"/>
              <w:rPr>
                <w:sz w:val="6"/>
                <w:szCs w:val="6"/>
                <w:color w:val="auto"/>
              </w:rPr>
            </w:pPr>
          </w:p>
        </w:tc>
        <w:tc>
          <w:tcPr>
            <w:tcW w:w="180" w:type="dxa"/>
            <w:vAlign w:val="bottom"/>
            <w:shd w:val="clear" w:color="auto" w:fill="5D89B4"/>
          </w:tcPr>
          <w:p>
            <w:pPr>
              <w:spacing w:after="0"/>
              <w:rPr>
                <w:sz w:val="6"/>
                <w:szCs w:val="6"/>
                <w:color w:val="auto"/>
              </w:rPr>
            </w:pPr>
          </w:p>
        </w:tc>
        <w:tc>
          <w:tcPr>
            <w:tcW w:w="480" w:type="dxa"/>
            <w:vAlign w:val="bottom"/>
            <w:shd w:val="clear" w:color="auto" w:fill="5D89B4"/>
          </w:tcPr>
          <w:p>
            <w:pPr>
              <w:spacing w:after="0"/>
              <w:rPr>
                <w:sz w:val="6"/>
                <w:szCs w:val="6"/>
                <w:color w:val="auto"/>
              </w:rPr>
            </w:pPr>
          </w:p>
        </w:tc>
        <w:tc>
          <w:tcPr>
            <w:tcW w:w="160" w:type="dxa"/>
            <w:vAlign w:val="bottom"/>
            <w:shd w:val="clear" w:color="auto" w:fill="5D89B4"/>
          </w:tcPr>
          <w:p>
            <w:pPr>
              <w:spacing w:after="0"/>
              <w:rPr>
                <w:sz w:val="6"/>
                <w:szCs w:val="6"/>
                <w:color w:val="auto"/>
              </w:rPr>
            </w:pPr>
          </w:p>
        </w:tc>
        <w:tc>
          <w:tcPr>
            <w:tcW w:w="1340" w:type="dxa"/>
            <w:vAlign w:val="bottom"/>
            <w:shd w:val="clear" w:color="auto" w:fill="5D89B4"/>
          </w:tcPr>
          <w:p>
            <w:pPr>
              <w:spacing w:after="0"/>
              <w:rPr>
                <w:sz w:val="6"/>
                <w:szCs w:val="6"/>
                <w:color w:val="auto"/>
              </w:rPr>
            </w:pPr>
          </w:p>
        </w:tc>
        <w:tc>
          <w:tcPr>
            <w:tcW w:w="1600" w:type="dxa"/>
            <w:vAlign w:val="bottom"/>
            <w:shd w:val="clear" w:color="auto" w:fill="5D89B4"/>
          </w:tcPr>
          <w:p>
            <w:pPr>
              <w:spacing w:after="0"/>
              <w:rPr>
                <w:sz w:val="6"/>
                <w:szCs w:val="6"/>
                <w:color w:val="auto"/>
              </w:rPr>
            </w:pPr>
          </w:p>
        </w:tc>
        <w:tc>
          <w:tcPr>
            <w:tcW w:w="420" w:type="dxa"/>
            <w:vAlign w:val="bottom"/>
            <w:shd w:val="clear" w:color="auto" w:fill="5D89B4"/>
          </w:tcPr>
          <w:p>
            <w:pPr>
              <w:spacing w:after="0"/>
              <w:rPr>
                <w:sz w:val="6"/>
                <w:szCs w:val="6"/>
                <w:color w:val="auto"/>
              </w:rPr>
            </w:pPr>
          </w:p>
        </w:tc>
        <w:tc>
          <w:tcPr>
            <w:tcW w:w="440" w:type="dxa"/>
            <w:vAlign w:val="bottom"/>
            <w:shd w:val="clear" w:color="auto" w:fill="5D89B4"/>
          </w:tcPr>
          <w:p>
            <w:pPr>
              <w:spacing w:after="0"/>
              <w:rPr>
                <w:sz w:val="6"/>
                <w:szCs w:val="6"/>
                <w:color w:val="auto"/>
              </w:rPr>
            </w:pPr>
          </w:p>
        </w:tc>
        <w:tc>
          <w:tcPr>
            <w:tcW w:w="80" w:type="dxa"/>
            <w:vAlign w:val="bottom"/>
            <w:shd w:val="clear" w:color="auto" w:fill="5D89B4"/>
          </w:tcPr>
          <w:p>
            <w:pPr>
              <w:spacing w:after="0"/>
              <w:rPr>
                <w:sz w:val="6"/>
                <w:szCs w:val="6"/>
                <w:color w:val="auto"/>
              </w:rPr>
            </w:pPr>
          </w:p>
        </w:tc>
        <w:tc>
          <w:tcPr>
            <w:tcW w:w="1580" w:type="dxa"/>
            <w:vAlign w:val="bottom"/>
            <w:shd w:val="clear" w:color="auto" w:fill="5D89B4"/>
          </w:tcPr>
          <w:p>
            <w:pPr>
              <w:spacing w:after="0"/>
              <w:rPr>
                <w:sz w:val="6"/>
                <w:szCs w:val="6"/>
                <w:color w:val="auto"/>
              </w:rPr>
            </w:pPr>
          </w:p>
        </w:tc>
        <w:tc>
          <w:tcPr>
            <w:tcW w:w="0" w:type="dxa"/>
            <w:vAlign w:val="bottom"/>
          </w:tcPr>
          <w:p>
            <w:pPr>
              <w:spacing w:after="0"/>
              <w:rPr>
                <w:sz w:val="1"/>
                <w:szCs w:val="1"/>
                <w:color w:val="auto"/>
              </w:rPr>
            </w:pPr>
          </w:p>
        </w:tc>
      </w:tr>
      <w:tr>
        <w:trPr>
          <w:trHeight w:val="742"/>
        </w:trPr>
        <w:tc>
          <w:tcPr>
            <w:tcW w:w="9460" w:type="dxa"/>
            <w:vAlign w:val="bottom"/>
            <w:gridSpan w:val="43"/>
          </w:tcPr>
          <w:p>
            <w:pPr>
              <w:spacing w:after="0"/>
              <w:rPr>
                <w:sz w:val="20"/>
                <w:szCs w:val="20"/>
                <w:color w:val="auto"/>
              </w:rPr>
            </w:pPr>
            <w:r>
              <w:rPr>
                <w:rFonts w:ascii="Arial" w:cs="Arial" w:eastAsia="Arial" w:hAnsi="Arial"/>
                <w:sz w:val="41"/>
                <w:szCs w:val="41"/>
                <w:color w:val="5D89B4"/>
              </w:rPr>
              <w:t>Table of Contents</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9380" w:type="dxa"/>
            <w:vAlign w:val="bottom"/>
            <w:gridSpan w:val="42"/>
          </w:tcPr>
          <w:p>
            <w:pPr>
              <w:spacing w:after="0"/>
              <w:rPr>
                <w:rFonts w:ascii="Arial" w:cs="Arial" w:eastAsia="Arial" w:hAnsi="Arial"/>
                <w:sz w:val="16"/>
                <w:szCs w:val="16"/>
                <w:b w:val="1"/>
                <w:bCs w:val="1"/>
                <w:color w:val="0000EE"/>
              </w:rPr>
            </w:pPr>
            <w:hyperlink w:anchor="page7">
              <w:r>
                <w:rPr>
                  <w:rFonts w:ascii="Arial" w:cs="Arial" w:eastAsia="Arial" w:hAnsi="Arial"/>
                  <w:sz w:val="16"/>
                  <w:szCs w:val="16"/>
                  <w:b w:val="1"/>
                  <w:bCs w:val="1"/>
                  <w:color w:val="0000EE"/>
                </w:rPr>
                <w:t>CORPORATE GOVERNANCE DOCUMENTS</w:t>
              </w:r>
            </w:hyperlink>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
              <w:r>
                <w:rPr>
                  <w:rFonts w:ascii="Arial" w:cs="Arial" w:eastAsia="Arial" w:hAnsi="Arial"/>
                  <w:sz w:val="16"/>
                  <w:szCs w:val="16"/>
                  <w:b w:val="1"/>
                  <w:bCs w:val="1"/>
                  <w:color w:val="0000EE"/>
                </w:rPr>
                <w:t>SECURITY OWNERSHIP OF CERTAIN BENEFICIAL OWNERS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9">
              <w:r>
                <w:rPr>
                  <w:rFonts w:ascii="Arial" w:cs="Arial" w:eastAsia="Arial" w:hAnsi="Arial"/>
                  <w:sz w:val="16"/>
                  <w:szCs w:val="16"/>
                  <w:b w:val="1"/>
                  <w:bCs w:val="1"/>
                  <w:color w:val="0000EE"/>
                </w:rPr>
                <w:t>PROPOSAL 1. ELECTION OF DIRECTORS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160" w:type="dxa"/>
            <w:vAlign w:val="bottom"/>
            <w:tcBorders>
              <w:top w:val="single" w:sz="8" w:color="0000EE"/>
              <w:bottom w:val="single" w:sz="8" w:color="0000EE"/>
            </w:tcBorders>
            <w:gridSpan w:val="11"/>
          </w:tcPr>
          <w:p>
            <w:pPr>
              <w:spacing w:after="0" w:line="169" w:lineRule="exact"/>
              <w:rPr>
                <w:rFonts w:ascii="Arial" w:cs="Arial" w:eastAsia="Arial" w:hAnsi="Arial"/>
                <w:sz w:val="16"/>
                <w:szCs w:val="16"/>
                <w:color w:val="0000EE"/>
              </w:rPr>
            </w:pPr>
            <w:hyperlink w:anchor="page10">
              <w:r>
                <w:rPr>
                  <w:rFonts w:ascii="Arial" w:cs="Arial" w:eastAsia="Arial" w:hAnsi="Arial"/>
                  <w:sz w:val="16"/>
                  <w:szCs w:val="16"/>
                  <w:color w:val="0000EE"/>
                </w:rPr>
                <w:t>Director Nominee Biographies</w:t>
              </w:r>
            </w:hyperlink>
          </w:p>
        </w:tc>
        <w:tc>
          <w:tcPr>
            <w:tcW w:w="900" w:type="dxa"/>
            <w:vAlign w:val="bottom"/>
            <w:tcBorders>
              <w:top w:val="single" w:sz="8" w:color="0000EE"/>
            </w:tcBorders>
            <w:gridSpan w:val="8"/>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20" w:type="dxa"/>
            <w:vAlign w:val="bottom"/>
            <w:gridSpan w:val="41"/>
          </w:tcPr>
          <w:p>
            <w:pPr>
              <w:spacing w:after="0" w:line="169" w:lineRule="exact"/>
              <w:rPr>
                <w:rFonts w:ascii="Arial" w:cs="Arial" w:eastAsia="Arial" w:hAnsi="Arial"/>
                <w:sz w:val="16"/>
                <w:szCs w:val="16"/>
                <w:color w:val="0000EE"/>
              </w:rPr>
            </w:pPr>
            <w:hyperlink w:anchor="page17">
              <w:r>
                <w:rPr>
                  <w:rFonts w:ascii="Arial" w:cs="Arial" w:eastAsia="Arial" w:hAnsi="Arial"/>
                  <w:sz w:val="16"/>
                  <w:szCs w:val="16"/>
                  <w:color w:val="0000EE"/>
                </w:rPr>
                <w:t>Board Independence and Related Party Transactions</w:t>
              </w:r>
            </w:hyperlink>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tcBorders>
              <w:top w:val="single" w:sz="8" w:color="0000EE"/>
            </w:tcBorders>
            <w:gridSpan w:val="30"/>
          </w:tcPr>
          <w:p>
            <w:pPr>
              <w:spacing w:after="0" w:line="169" w:lineRule="exact"/>
              <w:rPr>
                <w:rFonts w:ascii="Arial" w:cs="Arial" w:eastAsia="Arial" w:hAnsi="Arial"/>
                <w:sz w:val="16"/>
                <w:szCs w:val="16"/>
                <w:color w:val="0000EE"/>
              </w:rPr>
            </w:pPr>
            <w:hyperlink w:anchor="page18">
              <w:r>
                <w:rPr>
                  <w:rFonts w:ascii="Arial" w:cs="Arial" w:eastAsia="Arial" w:hAnsi="Arial"/>
                  <w:sz w:val="16"/>
                  <w:szCs w:val="16"/>
                  <w:color w:val="0000EE"/>
                </w:rPr>
                <w:t>Meetings and Committees of the Board</w:t>
              </w:r>
            </w:hyperlink>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vMerge w:val="restart"/>
          </w:tcPr>
          <w:p>
            <w:pPr>
              <w:jc w:val="right"/>
              <w:ind w:right="1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20" w:type="dxa"/>
            <w:vAlign w:val="bottom"/>
            <w:gridSpan w:val="41"/>
          </w:tcPr>
          <w:p>
            <w:pPr>
              <w:spacing w:after="0" w:line="169" w:lineRule="exact"/>
              <w:rPr>
                <w:rFonts w:ascii="Arial" w:cs="Arial" w:eastAsia="Arial" w:hAnsi="Arial"/>
                <w:sz w:val="16"/>
                <w:szCs w:val="16"/>
                <w:color w:val="0000EE"/>
              </w:rPr>
            </w:pPr>
            <w:hyperlink w:anchor="page21">
              <w:r>
                <w:rPr>
                  <w:rFonts w:ascii="Arial" w:cs="Arial" w:eastAsia="Arial" w:hAnsi="Arial"/>
                  <w:sz w:val="16"/>
                  <w:szCs w:val="16"/>
                  <w:color w:val="0000EE"/>
                </w:rPr>
                <w:t>Board Composition and Qualifications of Board Members</w:t>
              </w:r>
            </w:hyperlink>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80" w:type="dxa"/>
            <w:vAlign w:val="bottom"/>
            <w:tcBorders>
              <w:top w:val="single" w:sz="8" w:color="0000EE"/>
            </w:tcBorders>
            <w:gridSpan w:val="31"/>
          </w:tcPr>
          <w:p>
            <w:pPr>
              <w:spacing w:after="0" w:line="169" w:lineRule="exact"/>
              <w:rPr>
                <w:rFonts w:ascii="Arial" w:cs="Arial" w:eastAsia="Arial" w:hAnsi="Arial"/>
                <w:sz w:val="16"/>
                <w:szCs w:val="16"/>
                <w:color w:val="0000EE"/>
              </w:rPr>
            </w:pPr>
            <w:hyperlink w:anchor="page22">
              <w:r>
                <w:rPr>
                  <w:rFonts w:ascii="Arial" w:cs="Arial" w:eastAsia="Arial" w:hAnsi="Arial"/>
                  <w:sz w:val="16"/>
                  <w:szCs w:val="16"/>
                  <w:color w:val="0000EE"/>
                </w:rPr>
                <w:t>Board Diversity and Tenure</w:t>
              </w:r>
            </w:hyperlink>
          </w:p>
        </w:tc>
        <w:tc>
          <w:tcPr>
            <w:tcW w:w="38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w:anchor="page22">
              <w:r>
                <w:rPr>
                  <w:rFonts w:ascii="Arial" w:cs="Arial" w:eastAsia="Arial" w:hAnsi="Arial"/>
                  <w:sz w:val="16"/>
                  <w:szCs w:val="16"/>
                  <w:color w:val="0000EE"/>
                </w:rPr>
                <w:t>Other Information</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spacing w:after="0"/>
              <w:rPr>
                <w:sz w:val="14"/>
                <w:szCs w:val="14"/>
                <w:color w:val="auto"/>
              </w:rPr>
            </w:pPr>
          </w:p>
        </w:tc>
        <w:tc>
          <w:tcPr>
            <w:tcW w:w="2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top w:val="single" w:sz="8" w:color="0000EE"/>
            </w:tcBorders>
            <w:gridSpan w:val="4"/>
          </w:tcPr>
          <w:p>
            <w:pPr>
              <w:spacing w:after="0" w:line="169" w:lineRule="exact"/>
              <w:rPr>
                <w:rFonts w:ascii="Arial" w:cs="Arial" w:eastAsia="Arial" w:hAnsi="Arial"/>
                <w:sz w:val="16"/>
                <w:szCs w:val="16"/>
                <w:color w:val="0000EE"/>
                <w:w w:val="98"/>
              </w:rPr>
            </w:pPr>
            <w:hyperlink w:anchor="page22">
              <w:r>
                <w:rPr>
                  <w:rFonts w:ascii="Arial" w:cs="Arial" w:eastAsia="Arial" w:hAnsi="Arial"/>
                  <w:sz w:val="16"/>
                  <w:szCs w:val="16"/>
                  <w:color w:val="0000EE"/>
                  <w:w w:val="98"/>
                </w:rPr>
                <w:t>Board Leadership</w:t>
              </w:r>
            </w:hyperlink>
          </w:p>
        </w:tc>
        <w:tc>
          <w:tcPr>
            <w:tcW w:w="7960" w:type="dxa"/>
            <w:vAlign w:val="bottom"/>
            <w:gridSpan w:val="37"/>
          </w:tcPr>
          <w:p>
            <w:pPr>
              <w:ind w:left="60"/>
              <w:spacing w:after="0" w:line="169" w:lineRule="exact"/>
              <w:rPr>
                <w:rFonts w:ascii="Arial" w:cs="Arial" w:eastAsia="Arial" w:hAnsi="Arial"/>
                <w:sz w:val="16"/>
                <w:szCs w:val="16"/>
                <w:color w:val="0000EE"/>
              </w:rPr>
            </w:pPr>
            <w:hyperlink w:anchor="page22">
              <w:r>
                <w:rPr>
                  <w:rFonts w:ascii="Arial" w:cs="Arial" w:eastAsia="Arial" w:hAnsi="Arial"/>
                  <w:sz w:val="16"/>
                  <w:szCs w:val="16"/>
                  <w:color w:val="0000EE"/>
                </w:rPr>
                <w:t>Structure</w:t>
              </w:r>
            </w:hyperlink>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Borders>
              <w:top w:val="single" w:sz="8" w:color="0000EE"/>
            </w:tcBorders>
            <w:gridSpan w:val="9"/>
          </w:tcPr>
          <w:p>
            <w:pPr>
              <w:spacing w:after="0" w:line="169" w:lineRule="exact"/>
              <w:rPr>
                <w:rFonts w:ascii="Arial" w:cs="Arial" w:eastAsia="Arial" w:hAnsi="Arial"/>
                <w:sz w:val="16"/>
                <w:szCs w:val="16"/>
                <w:color w:val="0000EE"/>
              </w:rPr>
            </w:pPr>
            <w:hyperlink w:anchor="page23">
              <w:r>
                <w:rPr>
                  <w:rFonts w:ascii="Arial" w:cs="Arial" w:eastAsia="Arial" w:hAnsi="Arial"/>
                  <w:sz w:val="16"/>
                  <w:szCs w:val="16"/>
                  <w:color w:val="0000EE"/>
                </w:rPr>
                <w:t>Board Oversight of Risk</w:t>
              </w:r>
            </w:hyperlink>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spacing w:after="0"/>
              <w:rPr>
                <w:sz w:val="14"/>
                <w:szCs w:val="14"/>
                <w:color w:val="auto"/>
              </w:rPr>
            </w:pPr>
          </w:p>
        </w:tc>
        <w:tc>
          <w:tcPr>
            <w:tcW w:w="2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w w:val="91"/>
              </w:rPr>
            </w:pPr>
            <w:hyperlink w:anchor="page24">
              <w:r>
                <w:rPr>
                  <w:rFonts w:ascii="Arial" w:cs="Arial" w:eastAsia="Arial" w:hAnsi="Arial"/>
                  <w:sz w:val="16"/>
                  <w:szCs w:val="16"/>
                  <w:color w:val="0000EE"/>
                  <w:w w:val="91"/>
                </w:rPr>
                <w:t>Compensation Consultant</w:t>
              </w:r>
            </w:hyperlink>
          </w:p>
        </w:tc>
        <w:tc>
          <w:tcPr>
            <w:tcW w:w="1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20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spacing w:after="0"/>
              <w:rPr>
                <w:sz w:val="14"/>
                <w:szCs w:val="14"/>
                <w:color w:val="auto"/>
              </w:rPr>
            </w:pPr>
          </w:p>
        </w:tc>
        <w:tc>
          <w:tcPr>
            <w:tcW w:w="2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96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26">
              <w:r>
                <w:rPr>
                  <w:rFonts w:ascii="Arial" w:cs="Arial" w:eastAsia="Arial" w:hAnsi="Arial"/>
                  <w:sz w:val="16"/>
                  <w:szCs w:val="16"/>
                  <w:b w:val="1"/>
                  <w:bCs w:val="1"/>
                  <w:color w:val="0000EE"/>
                </w:rPr>
                <w:t>BENEFICIAL OWNERSHIP OF DIRECTORS AND EXECUTIVE OFFICERS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COMPENSATION DISCUSSION AND ANALYSIS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56">
              <w:r>
                <w:rPr>
                  <w:rFonts w:ascii="Arial" w:cs="Arial" w:eastAsia="Arial" w:hAnsi="Arial"/>
                  <w:sz w:val="16"/>
                  <w:szCs w:val="16"/>
                  <w:b w:val="1"/>
                  <w:bCs w:val="1"/>
                  <w:color w:val="0000EE"/>
                </w:rPr>
                <w:t>REPORT OF THE EXECUTIVE COMPENSATION AND HUMAN RESOURCES COMMITTEE OF THE BOARD OF DIRECTORS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top w:val="single" w:sz="8" w:color="0000EE"/>
              <w:bottom w:val="single" w:sz="8" w:color="5D89B4"/>
            </w:tcBorders>
          </w:tcPr>
          <w:p>
            <w:pPr>
              <w:spacing w:after="0"/>
              <w:rPr>
                <w:sz w:val="17"/>
                <w:szCs w:val="17"/>
                <w:color w:val="auto"/>
              </w:rPr>
            </w:pPr>
          </w:p>
        </w:tc>
        <w:tc>
          <w:tcPr>
            <w:tcW w:w="1600" w:type="dxa"/>
            <w:vAlign w:val="bottom"/>
            <w:tcBorders>
              <w:top w:val="single" w:sz="8" w:color="0000EE"/>
              <w:bottom w:val="single" w:sz="8" w:color="5D89B4"/>
            </w:tcBorders>
          </w:tcPr>
          <w:p>
            <w:pPr>
              <w:spacing w:after="0"/>
              <w:rPr>
                <w:sz w:val="17"/>
                <w:szCs w:val="17"/>
                <w:color w:val="auto"/>
              </w:rPr>
            </w:pPr>
          </w:p>
        </w:tc>
        <w:tc>
          <w:tcPr>
            <w:tcW w:w="42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56">
              <w:r>
                <w:rPr>
                  <w:rFonts w:ascii="Arial" w:cs="Arial" w:eastAsia="Arial" w:hAnsi="Arial"/>
                  <w:sz w:val="16"/>
                  <w:szCs w:val="16"/>
                  <w:b w:val="1"/>
                  <w:bCs w:val="1"/>
                  <w:color w:val="0000EE"/>
                </w:rPr>
                <w:t>EXECUTIVE COMPENSATION AND HUMAN RESOURCES COMMITTEE INTERLOCKS AND INSIDER PARTICIPATION</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top w:val="single" w:sz="8" w:color="0000EE"/>
              <w:bottom w:val="single" w:sz="8" w:color="5D89B4"/>
            </w:tcBorders>
          </w:tcPr>
          <w:p>
            <w:pPr>
              <w:spacing w:after="0"/>
              <w:rPr>
                <w:sz w:val="17"/>
                <w:szCs w:val="17"/>
                <w:color w:val="auto"/>
              </w:rPr>
            </w:pPr>
          </w:p>
        </w:tc>
        <w:tc>
          <w:tcPr>
            <w:tcW w:w="1600" w:type="dxa"/>
            <w:vAlign w:val="bottom"/>
            <w:tcBorders>
              <w:top w:val="single" w:sz="8" w:color="0000EE"/>
              <w:bottom w:val="single" w:sz="8" w:color="5D89B4"/>
            </w:tcBorders>
          </w:tcPr>
          <w:p>
            <w:pPr>
              <w:spacing w:after="0"/>
              <w:rPr>
                <w:sz w:val="17"/>
                <w:szCs w:val="17"/>
                <w:color w:val="auto"/>
              </w:rPr>
            </w:pPr>
          </w:p>
        </w:tc>
        <w:tc>
          <w:tcPr>
            <w:tcW w:w="420" w:type="dxa"/>
            <w:vAlign w:val="bottom"/>
            <w:tcBorders>
              <w:top w:val="single" w:sz="8" w:color="0000EE"/>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COMPENSATION POLICIES AND PRACTICES AS THEY RELATE TO RISK MANAGEMENT</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top w:val="single" w:sz="8" w:color="0000EE"/>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COMPENSATION TABLES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820" w:type="dxa"/>
            <w:vAlign w:val="bottom"/>
            <w:tcBorders>
              <w:top w:val="single" w:sz="8" w:color="0000EE"/>
            </w:tcBorders>
            <w:gridSpan w:val="6"/>
          </w:tcPr>
          <w:p>
            <w:pPr>
              <w:spacing w:after="0" w:line="169" w:lineRule="exact"/>
              <w:rPr>
                <w:rFonts w:ascii="Arial" w:cs="Arial" w:eastAsia="Arial" w:hAnsi="Arial"/>
                <w:sz w:val="16"/>
                <w:szCs w:val="16"/>
                <w:color w:val="0000EE"/>
              </w:rPr>
            </w:pPr>
            <w:hyperlink w:anchor="page58">
              <w:r>
                <w:rPr>
                  <w:rFonts w:ascii="Arial" w:cs="Arial" w:eastAsia="Arial" w:hAnsi="Arial"/>
                  <w:sz w:val="16"/>
                  <w:szCs w:val="16"/>
                  <w:color w:val="0000EE"/>
                </w:rPr>
                <w:t>Summary Compensation</w:t>
              </w:r>
            </w:hyperlink>
          </w:p>
        </w:tc>
        <w:tc>
          <w:tcPr>
            <w:tcW w:w="7400" w:type="dxa"/>
            <w:vAlign w:val="bottom"/>
            <w:gridSpan w:val="35"/>
          </w:tcPr>
          <w:p>
            <w:pPr>
              <w:spacing w:after="0" w:line="169" w:lineRule="exact"/>
              <w:rPr>
                <w:rFonts w:ascii="Arial" w:cs="Arial" w:eastAsia="Arial" w:hAnsi="Arial"/>
                <w:sz w:val="16"/>
                <w:szCs w:val="16"/>
                <w:color w:val="0000EE"/>
              </w:rPr>
            </w:pPr>
            <w:hyperlink w:anchor="page58">
              <w:r>
                <w:rPr>
                  <w:rFonts w:ascii="Arial" w:cs="Arial" w:eastAsia="Arial" w:hAnsi="Arial"/>
                  <w:sz w:val="16"/>
                  <w:szCs w:val="16"/>
                  <w:color w:val="0000EE"/>
                </w:rPr>
                <w:t>Table</w:t>
              </w:r>
            </w:hyperlink>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Borders>
              <w:top w:val="single" w:sz="8" w:color="0000EE"/>
              <w:bottom w:val="single" w:sz="8" w:color="0000EE"/>
            </w:tcBorders>
            <w:gridSpan w:val="13"/>
          </w:tcPr>
          <w:p>
            <w:pPr>
              <w:spacing w:after="0" w:line="169" w:lineRule="exact"/>
              <w:rPr>
                <w:rFonts w:ascii="Arial" w:cs="Arial" w:eastAsia="Arial" w:hAnsi="Arial"/>
                <w:sz w:val="16"/>
                <w:szCs w:val="16"/>
                <w:color w:val="0000EE"/>
                <w:w w:val="96"/>
              </w:rPr>
            </w:pPr>
            <w:hyperlink w:anchor="page59">
              <w:r>
                <w:rPr>
                  <w:rFonts w:ascii="Arial" w:cs="Arial" w:eastAsia="Arial" w:hAnsi="Arial"/>
                  <w:sz w:val="16"/>
                  <w:szCs w:val="16"/>
                  <w:color w:val="0000EE"/>
                  <w:w w:val="96"/>
                </w:rPr>
                <w:t>All Other Compensation in 2017</w:t>
              </w:r>
            </w:hyperlink>
          </w:p>
        </w:tc>
        <w:tc>
          <w:tcPr>
            <w:tcW w:w="20" w:type="dxa"/>
            <w:vAlign w:val="bottom"/>
            <w:tcBorders>
              <w:bottom w:val="single" w:sz="8" w:color="0000EE"/>
            </w:tcBorders>
          </w:tcPr>
          <w:p>
            <w:pPr>
              <w:spacing w:after="0"/>
              <w:rPr>
                <w:sz w:val="14"/>
                <w:szCs w:val="14"/>
                <w:color w:val="auto"/>
              </w:rPr>
            </w:pPr>
          </w:p>
        </w:tc>
        <w:tc>
          <w:tcPr>
            <w:tcW w:w="6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spacing w:after="0"/>
              <w:rPr>
                <w:sz w:val="14"/>
                <w:szCs w:val="14"/>
                <w:color w:val="auto"/>
              </w:rPr>
            </w:pPr>
          </w:p>
        </w:tc>
        <w:tc>
          <w:tcPr>
            <w:tcW w:w="2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3100" w:type="dxa"/>
            <w:vAlign w:val="bottom"/>
            <w:gridSpan w:val="3"/>
          </w:tcPr>
          <w:p>
            <w:pPr>
              <w:spacing w:after="0"/>
              <w:rPr>
                <w:sz w:val="14"/>
                <w:szCs w:val="14"/>
                <w:color w:val="auto"/>
              </w:rPr>
            </w:pPr>
          </w:p>
        </w:tc>
        <w:tc>
          <w:tcPr>
            <w:tcW w:w="940" w:type="dxa"/>
            <w:vAlign w:val="bottom"/>
            <w:gridSpan w:val="3"/>
          </w:tcPr>
          <w:p>
            <w:pPr>
              <w:spacing w:after="0"/>
              <w:rPr>
                <w:sz w:val="14"/>
                <w:szCs w:val="14"/>
                <w:color w:val="auto"/>
              </w:rPr>
            </w:pPr>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Grants of Plan-Based Awards in</w:t>
              </w:r>
            </w:hyperlink>
          </w:p>
        </w:tc>
        <w:tc>
          <w:tcPr>
            <w:tcW w:w="380" w:type="dxa"/>
            <w:vAlign w:val="bottom"/>
            <w:tcBorders>
              <w:bottom w:val="single" w:sz="8" w:color="0000EE"/>
            </w:tcBorders>
          </w:tcPr>
          <w:p>
            <w:pPr>
              <w:jc w:val="right"/>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2017</w:t>
              </w:r>
            </w:hyperlink>
          </w:p>
        </w:tc>
        <w:tc>
          <w:tcPr>
            <w:tcW w:w="40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spacing w:after="0"/>
              <w:rPr>
                <w:sz w:val="14"/>
                <w:szCs w:val="14"/>
                <w:color w:val="auto"/>
              </w:rPr>
            </w:pPr>
          </w:p>
        </w:tc>
        <w:tc>
          <w:tcPr>
            <w:tcW w:w="2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3100" w:type="dxa"/>
            <w:vAlign w:val="bottom"/>
            <w:gridSpan w:val="3"/>
          </w:tcPr>
          <w:p>
            <w:pPr>
              <w:spacing w:after="0"/>
              <w:rPr>
                <w:sz w:val="14"/>
                <w:szCs w:val="14"/>
                <w:color w:val="auto"/>
              </w:rPr>
            </w:pPr>
          </w:p>
        </w:tc>
        <w:tc>
          <w:tcPr>
            <w:tcW w:w="940" w:type="dxa"/>
            <w:vAlign w:val="bottom"/>
            <w:gridSpan w:val="3"/>
          </w:tcPr>
          <w:p>
            <w:pPr>
              <w:spacing w:after="0"/>
              <w:rPr>
                <w:sz w:val="14"/>
                <w:szCs w:val="14"/>
                <w:color w:val="auto"/>
              </w:rPr>
            </w:pPr>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20" w:type="dxa"/>
            <w:vAlign w:val="bottom"/>
            <w:gridSpan w:val="41"/>
          </w:tcPr>
          <w:p>
            <w:pPr>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Compensation Agreements and Arrangements</w:t>
              </w:r>
            </w:hyperlink>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40" w:type="dxa"/>
            <w:vAlign w:val="bottom"/>
            <w:tcBorders>
              <w:top w:val="single" w:sz="8" w:color="0000EE"/>
            </w:tcBorders>
            <w:gridSpan w:val="24"/>
          </w:tcPr>
          <w:p>
            <w:pPr>
              <w:spacing w:after="0" w:line="169" w:lineRule="exact"/>
              <w:rPr>
                <w:rFonts w:ascii="Arial" w:cs="Arial" w:eastAsia="Arial" w:hAnsi="Arial"/>
                <w:sz w:val="16"/>
                <w:szCs w:val="16"/>
                <w:color w:val="0000EE"/>
              </w:rPr>
            </w:pPr>
            <w:hyperlink w:anchor="page61">
              <w:r>
                <w:rPr>
                  <w:rFonts w:ascii="Arial" w:cs="Arial" w:eastAsia="Arial" w:hAnsi="Arial"/>
                  <w:sz w:val="16"/>
                  <w:szCs w:val="16"/>
                  <w:color w:val="0000EE"/>
                </w:rPr>
                <w:t>2017 Annual Incentive Awards</w:t>
              </w:r>
            </w:hyperlink>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spacing w:after="0"/>
              <w:rPr>
                <w:sz w:val="14"/>
                <w:szCs w:val="14"/>
                <w:color w:val="auto"/>
              </w:rPr>
            </w:pPr>
          </w:p>
        </w:tc>
        <w:tc>
          <w:tcPr>
            <w:tcW w:w="2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3100" w:type="dxa"/>
            <w:vAlign w:val="bottom"/>
            <w:gridSpan w:val="3"/>
          </w:tcPr>
          <w:p>
            <w:pPr>
              <w:spacing w:after="0"/>
              <w:rPr>
                <w:sz w:val="14"/>
                <w:szCs w:val="14"/>
                <w:color w:val="auto"/>
              </w:rPr>
            </w:pPr>
          </w:p>
        </w:tc>
        <w:tc>
          <w:tcPr>
            <w:tcW w:w="940" w:type="dxa"/>
            <w:vAlign w:val="bottom"/>
            <w:gridSpan w:val="3"/>
          </w:tcPr>
          <w:p>
            <w:pPr>
              <w:spacing w:after="0"/>
              <w:rPr>
                <w:sz w:val="14"/>
                <w:szCs w:val="14"/>
                <w:color w:val="auto"/>
              </w:rPr>
            </w:pPr>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w:anchor="page63">
              <w:r>
                <w:rPr>
                  <w:rFonts w:ascii="Arial" w:cs="Arial" w:eastAsia="Arial" w:hAnsi="Arial"/>
                  <w:sz w:val="16"/>
                  <w:szCs w:val="16"/>
                  <w:color w:val="0000EE"/>
                </w:rPr>
                <w:t>Grants Under the 2011 Equity</w:t>
              </w:r>
            </w:hyperlink>
          </w:p>
        </w:tc>
        <w:tc>
          <w:tcPr>
            <w:tcW w:w="7040" w:type="dxa"/>
            <w:vAlign w:val="bottom"/>
            <w:gridSpan w:val="29"/>
          </w:tcPr>
          <w:p>
            <w:pPr>
              <w:spacing w:after="0" w:line="169" w:lineRule="exact"/>
              <w:rPr>
                <w:rFonts w:ascii="Arial" w:cs="Arial" w:eastAsia="Arial" w:hAnsi="Arial"/>
                <w:sz w:val="16"/>
                <w:szCs w:val="16"/>
                <w:color w:val="0000EE"/>
              </w:rPr>
            </w:pPr>
            <w:hyperlink w:anchor="page63">
              <w:r>
                <w:rPr>
                  <w:rFonts w:ascii="Arial" w:cs="Arial" w:eastAsia="Arial" w:hAnsi="Arial"/>
                  <w:sz w:val="16"/>
                  <w:szCs w:val="16"/>
                  <w:color w:val="0000EE"/>
                </w:rPr>
                <w:t>Incentive Plan</w:t>
              </w:r>
            </w:hyperlink>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Borders>
              <w:top w:val="single" w:sz="8" w:color="0000EE"/>
              <w:bottom w:val="single" w:sz="8" w:color="0000EE"/>
            </w:tcBorders>
            <w:gridSpan w:val="22"/>
          </w:tcPr>
          <w:p>
            <w:pPr>
              <w:spacing w:after="0" w:line="169" w:lineRule="exact"/>
              <w:rPr>
                <w:rFonts w:ascii="Arial" w:cs="Arial" w:eastAsia="Arial" w:hAnsi="Arial"/>
                <w:sz w:val="16"/>
                <w:szCs w:val="16"/>
                <w:color w:val="0000EE"/>
              </w:rPr>
            </w:pPr>
            <w:hyperlink w:anchor="page64">
              <w:r>
                <w:rPr>
                  <w:rFonts w:ascii="Arial" w:cs="Arial" w:eastAsia="Arial" w:hAnsi="Arial"/>
                  <w:sz w:val="16"/>
                  <w:szCs w:val="16"/>
                  <w:color w:val="0000EE"/>
                </w:rPr>
                <w:t>Outstanding Equity Awards at December 31,</w:t>
              </w:r>
            </w:hyperlink>
          </w:p>
        </w:tc>
        <w:tc>
          <w:tcPr>
            <w:tcW w:w="400" w:type="dxa"/>
            <w:vAlign w:val="bottom"/>
            <w:tcBorders>
              <w:bottom w:val="single" w:sz="8" w:color="0000EE"/>
            </w:tcBorders>
            <w:gridSpan w:val="6"/>
          </w:tcPr>
          <w:p>
            <w:pPr>
              <w:ind w:left="40"/>
              <w:spacing w:after="0" w:line="169" w:lineRule="exact"/>
              <w:rPr>
                <w:rFonts w:ascii="Arial" w:cs="Arial" w:eastAsia="Arial" w:hAnsi="Arial"/>
                <w:sz w:val="16"/>
                <w:szCs w:val="16"/>
                <w:color w:val="0000EE"/>
                <w:w w:val="95"/>
              </w:rPr>
            </w:pPr>
            <w:hyperlink w:anchor="page64">
              <w:r>
                <w:rPr>
                  <w:rFonts w:ascii="Arial" w:cs="Arial" w:eastAsia="Arial" w:hAnsi="Arial"/>
                  <w:sz w:val="16"/>
                  <w:szCs w:val="16"/>
                  <w:color w:val="0000EE"/>
                  <w:w w:val="95"/>
                </w:rPr>
                <w:t>2017</w:t>
              </w:r>
            </w:hyperlink>
          </w:p>
        </w:tc>
        <w:tc>
          <w:tcPr>
            <w:tcW w:w="160" w:type="dxa"/>
            <w:vAlign w:val="bottom"/>
          </w:tcPr>
          <w:p>
            <w:pPr>
              <w:spacing w:after="0"/>
              <w:rPr>
                <w:sz w:val="14"/>
                <w:szCs w:val="14"/>
                <w:color w:val="auto"/>
              </w:rPr>
            </w:pPr>
          </w:p>
        </w:tc>
        <w:tc>
          <w:tcPr>
            <w:tcW w:w="700" w:type="dxa"/>
            <w:vAlign w:val="bottom"/>
            <w:gridSpan w:val="3"/>
          </w:tcPr>
          <w:p>
            <w:pPr>
              <w:spacing w:after="0"/>
              <w:rPr>
                <w:sz w:val="14"/>
                <w:szCs w:val="14"/>
                <w:color w:val="auto"/>
              </w:rPr>
            </w:pPr>
          </w:p>
        </w:tc>
        <w:tc>
          <w:tcPr>
            <w:tcW w:w="2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3100" w:type="dxa"/>
            <w:vAlign w:val="bottom"/>
            <w:gridSpan w:val="3"/>
          </w:tcPr>
          <w:p>
            <w:pPr>
              <w:spacing w:after="0"/>
              <w:rPr>
                <w:sz w:val="14"/>
                <w:szCs w:val="14"/>
                <w:color w:val="auto"/>
              </w:rPr>
            </w:pPr>
          </w:p>
        </w:tc>
        <w:tc>
          <w:tcPr>
            <w:tcW w:w="940" w:type="dxa"/>
            <w:vAlign w:val="bottom"/>
            <w:gridSpan w:val="3"/>
          </w:tcPr>
          <w:p>
            <w:pPr>
              <w:spacing w:after="0"/>
              <w:rPr>
                <w:sz w:val="14"/>
                <w:szCs w:val="14"/>
                <w:color w:val="auto"/>
              </w:rPr>
            </w:pPr>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gridSpan w:val="28"/>
          </w:tcPr>
          <w:p>
            <w:pPr>
              <w:spacing w:after="0" w:line="169" w:lineRule="exact"/>
              <w:rPr>
                <w:rFonts w:ascii="Arial" w:cs="Arial" w:eastAsia="Arial" w:hAnsi="Arial"/>
                <w:sz w:val="16"/>
                <w:szCs w:val="16"/>
                <w:color w:val="0000EE"/>
              </w:rPr>
            </w:pPr>
            <w:hyperlink w:anchor="page66">
              <w:r>
                <w:rPr>
                  <w:rFonts w:ascii="Arial" w:cs="Arial" w:eastAsia="Arial" w:hAnsi="Arial"/>
                  <w:sz w:val="16"/>
                  <w:szCs w:val="16"/>
                  <w:color w:val="0000EE"/>
                </w:rPr>
                <w:t>Option Exercises and Stock Vested in 2017</w:t>
              </w:r>
            </w:hyperlink>
          </w:p>
        </w:tc>
        <w:tc>
          <w:tcPr>
            <w:tcW w:w="160" w:type="dxa"/>
            <w:vAlign w:val="bottom"/>
          </w:tcPr>
          <w:p>
            <w:pPr>
              <w:spacing w:after="0"/>
              <w:rPr>
                <w:sz w:val="14"/>
                <w:szCs w:val="14"/>
                <w:color w:val="auto"/>
              </w:rPr>
            </w:pPr>
          </w:p>
        </w:tc>
        <w:tc>
          <w:tcPr>
            <w:tcW w:w="700" w:type="dxa"/>
            <w:vAlign w:val="bottom"/>
            <w:gridSpan w:val="3"/>
          </w:tcPr>
          <w:p>
            <w:pPr>
              <w:spacing w:after="0"/>
              <w:rPr>
                <w:sz w:val="14"/>
                <w:szCs w:val="14"/>
                <w:color w:val="auto"/>
              </w:rPr>
            </w:pPr>
          </w:p>
        </w:tc>
        <w:tc>
          <w:tcPr>
            <w:tcW w:w="2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3100" w:type="dxa"/>
            <w:vAlign w:val="bottom"/>
            <w:gridSpan w:val="3"/>
          </w:tcPr>
          <w:p>
            <w:pPr>
              <w:spacing w:after="0"/>
              <w:rPr>
                <w:sz w:val="14"/>
                <w:szCs w:val="14"/>
                <w:color w:val="auto"/>
              </w:rPr>
            </w:pPr>
          </w:p>
        </w:tc>
        <w:tc>
          <w:tcPr>
            <w:tcW w:w="940" w:type="dxa"/>
            <w:vAlign w:val="bottom"/>
            <w:gridSpan w:val="3"/>
          </w:tcPr>
          <w:p>
            <w:pPr>
              <w:spacing w:after="0"/>
              <w:rPr>
                <w:sz w:val="14"/>
                <w:szCs w:val="14"/>
                <w:color w:val="auto"/>
              </w:rPr>
            </w:pPr>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80" w:type="dxa"/>
            <w:vAlign w:val="bottom"/>
            <w:vMerge w:val="restart"/>
          </w:tcPr>
          <w:p>
            <w:pPr>
              <w:jc w:val="right"/>
              <w:ind w:right="159"/>
              <w:spacing w:after="0"/>
              <w:rPr>
                <w:sz w:val="20"/>
                <w:szCs w:val="20"/>
                <w:color w:val="auto"/>
              </w:rPr>
            </w:pPr>
            <w:r>
              <w:rPr>
                <w:rFonts w:ascii="Arial" w:cs="Arial" w:eastAsia="Arial" w:hAnsi="Arial"/>
                <w:sz w:val="16"/>
                <w:szCs w:val="16"/>
                <w:color w:val="auto"/>
              </w:rPr>
              <w:t>62</w:t>
            </w: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20" w:type="dxa"/>
            <w:vAlign w:val="bottom"/>
            <w:gridSpan w:val="41"/>
          </w:tcPr>
          <w:p>
            <w:pPr>
              <w:spacing w:after="0" w:line="169" w:lineRule="exact"/>
              <w:rPr>
                <w:rFonts w:ascii="Arial" w:cs="Arial" w:eastAsia="Arial" w:hAnsi="Arial"/>
                <w:sz w:val="16"/>
                <w:szCs w:val="16"/>
                <w:color w:val="0000EE"/>
              </w:rPr>
            </w:pPr>
            <w:hyperlink w:anchor="page67">
              <w:r>
                <w:rPr>
                  <w:rFonts w:ascii="Arial" w:cs="Arial" w:eastAsia="Arial" w:hAnsi="Arial"/>
                  <w:sz w:val="16"/>
                  <w:szCs w:val="16"/>
                  <w:color w:val="0000EE"/>
                </w:rPr>
                <w:t>Nonqualified Deferred Compensation in 2017</w:t>
              </w:r>
            </w:hyperlink>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tcBorders>
              <w:top w:val="single" w:sz="8" w:color="0000EE"/>
            </w:tcBorders>
            <w:gridSpan w:val="23"/>
          </w:tcPr>
          <w:p>
            <w:pPr>
              <w:spacing w:after="0" w:line="169" w:lineRule="exact"/>
              <w:rPr>
                <w:rFonts w:ascii="Arial" w:cs="Arial" w:eastAsia="Arial" w:hAnsi="Arial"/>
                <w:sz w:val="16"/>
                <w:szCs w:val="16"/>
                <w:color w:val="0000EE"/>
              </w:rPr>
            </w:pPr>
            <w:hyperlink w:anchor="page69">
              <w:r>
                <w:rPr>
                  <w:rFonts w:ascii="Arial" w:cs="Arial" w:eastAsia="Arial" w:hAnsi="Arial"/>
                  <w:sz w:val="16"/>
                  <w:szCs w:val="16"/>
                  <w:color w:val="0000EE"/>
                </w:rPr>
                <w:t>Termination of Employment and Change of</w:t>
              </w:r>
            </w:hyperlink>
          </w:p>
        </w:tc>
        <w:tc>
          <w:tcPr>
            <w:tcW w:w="5980" w:type="dxa"/>
            <w:vAlign w:val="bottom"/>
            <w:gridSpan w:val="18"/>
          </w:tcPr>
          <w:p>
            <w:pPr>
              <w:spacing w:after="0" w:line="169" w:lineRule="exact"/>
              <w:rPr>
                <w:rFonts w:ascii="Arial" w:cs="Arial" w:eastAsia="Arial" w:hAnsi="Arial"/>
                <w:sz w:val="16"/>
                <w:szCs w:val="16"/>
                <w:color w:val="0000EE"/>
              </w:rPr>
            </w:pPr>
            <w:hyperlink w:anchor="page69">
              <w:r>
                <w:rPr>
                  <w:rFonts w:ascii="Arial" w:cs="Arial" w:eastAsia="Arial" w:hAnsi="Arial"/>
                  <w:sz w:val="16"/>
                  <w:szCs w:val="16"/>
                  <w:color w:val="0000EE"/>
                </w:rPr>
                <w:t>Control Arrangements</w:t>
              </w:r>
            </w:hyperlink>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00" w:type="dxa"/>
            <w:vAlign w:val="bottom"/>
            <w:tcBorders>
              <w:top w:val="single" w:sz="8" w:color="0000EE"/>
            </w:tcBorders>
            <w:gridSpan w:val="34"/>
          </w:tcPr>
          <w:p>
            <w:pPr>
              <w:spacing w:after="0" w:line="169" w:lineRule="exact"/>
              <w:rPr>
                <w:rFonts w:ascii="Arial" w:cs="Arial" w:eastAsia="Arial" w:hAnsi="Arial"/>
                <w:sz w:val="16"/>
                <w:szCs w:val="16"/>
                <w:color w:val="0000EE"/>
              </w:rPr>
            </w:pPr>
            <w:hyperlink w:anchor="page72">
              <w:r>
                <w:rPr>
                  <w:rFonts w:ascii="Arial" w:cs="Arial" w:eastAsia="Arial" w:hAnsi="Arial"/>
                  <w:sz w:val="16"/>
                  <w:szCs w:val="16"/>
                  <w:color w:val="0000EE"/>
                </w:rPr>
                <w:t>Post-Termination and Change of Control Benefits</w:t>
              </w:r>
            </w:hyperlink>
          </w:p>
        </w:tc>
        <w:tc>
          <w:tcPr>
            <w:tcW w:w="480" w:type="dxa"/>
            <w:vAlign w:val="bottom"/>
          </w:tcPr>
          <w:p>
            <w:pPr>
              <w:spacing w:after="0"/>
              <w:rPr>
                <w:sz w:val="14"/>
                <w:szCs w:val="14"/>
                <w:color w:val="auto"/>
              </w:rPr>
            </w:pPr>
          </w:p>
        </w:tc>
        <w:tc>
          <w:tcPr>
            <w:tcW w:w="3100" w:type="dxa"/>
            <w:vAlign w:val="bottom"/>
            <w:gridSpan w:val="3"/>
          </w:tcPr>
          <w:p>
            <w:pPr>
              <w:spacing w:after="0"/>
              <w:rPr>
                <w:sz w:val="14"/>
                <w:szCs w:val="14"/>
                <w:color w:val="auto"/>
              </w:rPr>
            </w:pPr>
          </w:p>
        </w:tc>
        <w:tc>
          <w:tcPr>
            <w:tcW w:w="940" w:type="dxa"/>
            <w:vAlign w:val="bottom"/>
            <w:gridSpan w:val="3"/>
          </w:tcPr>
          <w:p>
            <w:pPr>
              <w:spacing w:after="0"/>
              <w:rPr>
                <w:sz w:val="14"/>
                <w:szCs w:val="14"/>
                <w:color w:val="auto"/>
              </w:rPr>
            </w:pPr>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2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w:anchor="page77">
              <w:r>
                <w:rPr>
                  <w:rFonts w:ascii="Arial" w:cs="Arial" w:eastAsia="Arial" w:hAnsi="Arial"/>
                  <w:sz w:val="16"/>
                  <w:szCs w:val="16"/>
                  <w:color w:val="0000EE"/>
                </w:rPr>
                <w:t>Director Compensation for 2017</w:t>
              </w:r>
            </w:hyperlink>
          </w:p>
        </w:tc>
        <w:tc>
          <w:tcPr>
            <w:tcW w:w="240" w:type="dxa"/>
            <w:vAlign w:val="bottom"/>
            <w:gridSpan w:val="2"/>
          </w:tcPr>
          <w:p>
            <w:pPr>
              <w:spacing w:after="0"/>
              <w:rPr>
                <w:sz w:val="14"/>
                <w:szCs w:val="14"/>
                <w:color w:val="auto"/>
              </w:rPr>
            </w:pPr>
          </w:p>
        </w:tc>
        <w:tc>
          <w:tcPr>
            <w:tcW w:w="700" w:type="dxa"/>
            <w:vAlign w:val="bottom"/>
            <w:gridSpan w:val="3"/>
          </w:tcPr>
          <w:p>
            <w:pPr>
              <w:spacing w:after="0"/>
              <w:rPr>
                <w:sz w:val="14"/>
                <w:szCs w:val="14"/>
                <w:color w:val="auto"/>
              </w:rPr>
            </w:pPr>
          </w:p>
        </w:tc>
        <w:tc>
          <w:tcPr>
            <w:tcW w:w="720" w:type="dxa"/>
            <w:vAlign w:val="bottom"/>
            <w:gridSpan w:val="3"/>
          </w:tcPr>
          <w:p>
            <w:pPr>
              <w:spacing w:after="0"/>
              <w:rPr>
                <w:sz w:val="14"/>
                <w:szCs w:val="14"/>
                <w:color w:val="auto"/>
              </w:rPr>
            </w:pPr>
          </w:p>
        </w:tc>
        <w:tc>
          <w:tcPr>
            <w:tcW w:w="3100" w:type="dxa"/>
            <w:vAlign w:val="bottom"/>
            <w:gridSpan w:val="3"/>
          </w:tcPr>
          <w:p>
            <w:pPr>
              <w:spacing w:after="0"/>
              <w:rPr>
                <w:sz w:val="14"/>
                <w:szCs w:val="14"/>
                <w:color w:val="auto"/>
              </w:rPr>
            </w:pPr>
          </w:p>
        </w:tc>
        <w:tc>
          <w:tcPr>
            <w:tcW w:w="940" w:type="dxa"/>
            <w:vAlign w:val="bottom"/>
            <w:gridSpan w:val="3"/>
          </w:tcPr>
          <w:p>
            <w:pPr>
              <w:spacing w:after="0"/>
              <w:rPr>
                <w:sz w:val="14"/>
                <w:szCs w:val="14"/>
                <w:color w:val="auto"/>
              </w:rPr>
            </w:pPr>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Borders>
              <w:top w:val="single" w:sz="8" w:color="0000EE"/>
            </w:tcBorders>
            <w:gridSpan w:val="15"/>
          </w:tcPr>
          <w:p>
            <w:pPr>
              <w:spacing w:after="0" w:line="169" w:lineRule="exact"/>
              <w:rPr>
                <w:rFonts w:ascii="Arial" w:cs="Arial" w:eastAsia="Arial" w:hAnsi="Arial"/>
                <w:sz w:val="16"/>
                <w:szCs w:val="16"/>
                <w:color w:val="0000EE"/>
              </w:rPr>
            </w:pPr>
            <w:hyperlink w:anchor="page80">
              <w:r>
                <w:rPr>
                  <w:rFonts w:ascii="Arial" w:cs="Arial" w:eastAsia="Arial" w:hAnsi="Arial"/>
                  <w:sz w:val="16"/>
                  <w:szCs w:val="16"/>
                  <w:color w:val="0000EE"/>
                </w:rPr>
                <w:t>Non-Employee Director Stock</w:t>
              </w:r>
            </w:hyperlink>
          </w:p>
        </w:tc>
        <w:tc>
          <w:tcPr>
            <w:tcW w:w="6920" w:type="dxa"/>
            <w:vAlign w:val="bottom"/>
            <w:gridSpan w:val="26"/>
          </w:tcPr>
          <w:p>
            <w:pPr>
              <w:spacing w:after="0" w:line="169" w:lineRule="exact"/>
              <w:rPr>
                <w:rFonts w:ascii="Arial" w:cs="Arial" w:eastAsia="Arial" w:hAnsi="Arial"/>
                <w:sz w:val="16"/>
                <w:szCs w:val="16"/>
                <w:color w:val="0000EE"/>
              </w:rPr>
            </w:pPr>
            <w:hyperlink w:anchor="page80">
              <w:r>
                <w:rPr>
                  <w:rFonts w:ascii="Arial" w:cs="Arial" w:eastAsia="Arial" w:hAnsi="Arial"/>
                  <w:sz w:val="16"/>
                  <w:szCs w:val="16"/>
                  <w:color w:val="0000EE"/>
                </w:rPr>
                <w:t>Ownership Guidelines</w:t>
              </w:r>
            </w:hyperlink>
          </w:p>
        </w:tc>
        <w:tc>
          <w:tcPr>
            <w:tcW w:w="15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1">
              <w:r>
                <w:rPr>
                  <w:rFonts w:ascii="Arial" w:cs="Arial" w:eastAsia="Arial" w:hAnsi="Arial"/>
                  <w:sz w:val="16"/>
                  <w:szCs w:val="16"/>
                  <w:b w:val="1"/>
                  <w:bCs w:val="1"/>
                  <w:color w:val="0000EE"/>
                </w:rPr>
                <w:t>CEO PAY RATIO</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2">
              <w:r>
                <w:rPr>
                  <w:rFonts w:ascii="Arial" w:cs="Arial" w:eastAsia="Arial" w:hAnsi="Arial"/>
                  <w:sz w:val="16"/>
                  <w:szCs w:val="16"/>
                  <w:b w:val="1"/>
                  <w:bCs w:val="1"/>
                  <w:color w:val="0000EE"/>
                </w:rPr>
                <w:t>AUDIT COMMITTEE REPORT</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5">
              <w:r>
                <w:rPr>
                  <w:rFonts w:ascii="Arial" w:cs="Arial" w:eastAsia="Arial" w:hAnsi="Arial"/>
                  <w:sz w:val="16"/>
                  <w:szCs w:val="16"/>
                  <w:b w:val="1"/>
                  <w:bCs w:val="1"/>
                  <w:color w:val="0000EE"/>
                </w:rPr>
                <w:t>PROPOSAL 2. RATIFICATION OF INDEPENDENT AUDITORS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6">
              <w:r>
                <w:rPr>
                  <w:rFonts w:ascii="Arial" w:cs="Arial" w:eastAsia="Arial" w:hAnsi="Arial"/>
                  <w:sz w:val="16"/>
                  <w:szCs w:val="16"/>
                  <w:b w:val="1"/>
                  <w:bCs w:val="1"/>
                  <w:color w:val="0000EE"/>
                </w:rPr>
                <w:t>PROPOSAL 3. ADVISORY VOTE ON APPROVAL OF THE COMPENSATION OF NAMED EXECUTIVE OFFICERS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top w:val="single" w:sz="8" w:color="0000EE"/>
              <w:bottom w:val="single" w:sz="8" w:color="5D89B4"/>
            </w:tcBorders>
          </w:tcPr>
          <w:p>
            <w:pPr>
              <w:spacing w:after="0"/>
              <w:rPr>
                <w:sz w:val="17"/>
                <w:szCs w:val="17"/>
                <w:color w:val="auto"/>
              </w:rPr>
            </w:pPr>
          </w:p>
        </w:tc>
        <w:tc>
          <w:tcPr>
            <w:tcW w:w="1600" w:type="dxa"/>
            <w:vAlign w:val="bottom"/>
            <w:tcBorders>
              <w:top w:val="single" w:sz="8" w:color="0000EE"/>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8">
              <w:r>
                <w:rPr>
                  <w:rFonts w:ascii="Arial" w:cs="Arial" w:eastAsia="Arial" w:hAnsi="Arial"/>
                  <w:sz w:val="16"/>
                  <w:szCs w:val="16"/>
                  <w:b w:val="1"/>
                  <w:bCs w:val="1"/>
                  <w:color w:val="0000EE"/>
                </w:rPr>
                <w:t>SUBMISSION OF SHAREHOLDER PROPOSALS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8">
              <w:r>
                <w:rPr>
                  <w:rFonts w:ascii="Arial" w:cs="Arial" w:eastAsia="Arial" w:hAnsi="Arial"/>
                  <w:sz w:val="16"/>
                  <w:szCs w:val="16"/>
                  <w:b w:val="1"/>
                  <w:bCs w:val="1"/>
                  <w:color w:val="0000EE"/>
                </w:rPr>
                <w:t>SECTION 16(a) BENEFICIAL OWNERSHIP REPORTING COMPLIANCE</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8">
              <w:r>
                <w:rPr>
                  <w:rFonts w:ascii="Arial" w:cs="Arial" w:eastAsia="Arial" w:hAnsi="Arial"/>
                  <w:sz w:val="16"/>
                  <w:szCs w:val="16"/>
                  <w:b w:val="1"/>
                  <w:bCs w:val="1"/>
                  <w:color w:val="0000EE"/>
                </w:rPr>
                <w:t>OTHER VOTING INFORMATION</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8">
              <w:r>
                <w:rPr>
                  <w:rFonts w:ascii="Arial" w:cs="Arial" w:eastAsia="Arial" w:hAnsi="Arial"/>
                  <w:sz w:val="16"/>
                  <w:szCs w:val="16"/>
                  <w:b w:val="1"/>
                  <w:bCs w:val="1"/>
                  <w:color w:val="0000EE"/>
                </w:rPr>
                <w:t>OTHER MATTERS</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380" w:type="dxa"/>
            <w:vAlign w:val="bottom"/>
            <w:gridSpan w:val="42"/>
          </w:tcPr>
          <w:p>
            <w:pPr>
              <w:spacing w:after="0" w:line="155" w:lineRule="exact"/>
              <w:rPr>
                <w:rFonts w:ascii="Arial" w:cs="Arial" w:eastAsia="Arial" w:hAnsi="Arial"/>
                <w:sz w:val="16"/>
                <w:szCs w:val="16"/>
                <w:b w:val="1"/>
                <w:bCs w:val="1"/>
                <w:color w:val="0000EE"/>
              </w:rPr>
            </w:pPr>
            <w:hyperlink w:anchor="page89">
              <w:r>
                <w:rPr>
                  <w:rFonts w:ascii="Arial" w:cs="Arial" w:eastAsia="Arial" w:hAnsi="Arial"/>
                  <w:sz w:val="16"/>
                  <w:szCs w:val="16"/>
                  <w:b w:val="1"/>
                  <w:bCs w:val="1"/>
                  <w:color w:val="0000EE"/>
                </w:rPr>
                <w:t>APPENDIX A-1</w:t>
              </w:r>
            </w:hyperlink>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960" w:type="dxa"/>
            <w:vAlign w:val="bottom"/>
            <w:tcBorders>
              <w:top w:val="single" w:sz="8" w:color="0000EE"/>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0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5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MANPOWERGROUP INC.</w:t>
      </w:r>
    </w:p>
    <w:p>
      <w:pPr>
        <w:jc w:val="center"/>
        <w:ind w:right="-199"/>
        <w:spacing w:after="0"/>
        <w:rPr>
          <w:sz w:val="20"/>
          <w:szCs w:val="20"/>
          <w:color w:val="auto"/>
        </w:rPr>
      </w:pPr>
      <w:r>
        <w:rPr>
          <w:rFonts w:ascii="Arial" w:cs="Arial" w:eastAsia="Arial" w:hAnsi="Arial"/>
          <w:sz w:val="20"/>
          <w:szCs w:val="20"/>
          <w:b w:val="1"/>
          <w:bCs w:val="1"/>
          <w:color w:val="auto"/>
        </w:rPr>
        <w:t>100 Manpower Place</w:t>
      </w:r>
    </w:p>
    <w:p>
      <w:pPr>
        <w:jc w:val="center"/>
        <w:ind w:right="-199"/>
        <w:spacing w:after="0"/>
        <w:rPr>
          <w:sz w:val="20"/>
          <w:szCs w:val="20"/>
          <w:color w:val="auto"/>
        </w:rPr>
      </w:pPr>
      <w:r>
        <w:rPr>
          <w:rFonts w:ascii="Arial" w:cs="Arial" w:eastAsia="Arial" w:hAnsi="Arial"/>
          <w:sz w:val="20"/>
          <w:szCs w:val="20"/>
          <w:b w:val="1"/>
          <w:bCs w:val="1"/>
          <w:color w:val="auto"/>
        </w:rPr>
        <w:t>Milwaukee, Wisconsin 53212</w:t>
      </w:r>
    </w:p>
    <w:p>
      <w:pPr>
        <w:spacing w:after="0" w:line="1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March 9, 2018</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41"/>
          <w:szCs w:val="41"/>
          <w:color w:val="5D89B4"/>
        </w:rPr>
        <w:t>Proxy Statement</w:t>
      </w:r>
    </w:p>
    <w:p>
      <w:pPr>
        <w:spacing w:after="0" w:line="245"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color w:val="auto"/>
        </w:rPr>
        <w:t>This proxy statement relates to the solicitation of proxies by the board of directors of ManpowerGroup Inc. for use at the annual meeting of shareholders to be held at 9:00 a.m., local time, on May 4, 2018 or at any postponement or adjournment of the annual meeting, for the purposes set forth in this proxy statement and in the accompanying notice of annual meeting of shareholders. The annual meeting will be held at ManpowerGroup’s International Headquarters, 100 Manpower Place, Milwaukee, Wisconsin.</w:t>
      </w:r>
    </w:p>
    <w:p>
      <w:pPr>
        <w:spacing w:after="0" w:line="103" w:lineRule="exact"/>
        <w:rPr>
          <w:sz w:val="20"/>
          <w:szCs w:val="20"/>
          <w:color w:val="auto"/>
        </w:rPr>
      </w:pPr>
    </w:p>
    <w:p>
      <w:pPr>
        <w:ind w:left="200" w:right="220"/>
        <w:spacing w:after="0" w:line="245" w:lineRule="auto"/>
        <w:rPr>
          <w:sz w:val="20"/>
          <w:szCs w:val="20"/>
          <w:color w:val="auto"/>
        </w:rPr>
      </w:pPr>
      <w:r>
        <w:rPr>
          <w:rFonts w:ascii="Arial" w:cs="Arial" w:eastAsia="Arial" w:hAnsi="Arial"/>
          <w:sz w:val="18"/>
          <w:szCs w:val="18"/>
          <w:color w:val="auto"/>
        </w:rPr>
        <w:t>Under rules adopted by the Securities and Exchange Commission, ManpowerGroup is making this proxy statement and other annual meeting materials available on the Internet instead of mailing a printed copy of these materials to each shareholder. Shareholders who received a Notice of Internet Availability of Proxy Materials (the “Notice”) by mail will not receive a printed copy of these materials other than as described below. Instead, the Notice contains instructions as to how shareholders may access and review all of the important information contained in the materials on the Internet, including how shareholders may submit proxies by telephone or over the Internet.</w:t>
      </w:r>
    </w:p>
    <w:p>
      <w:pPr>
        <w:spacing w:after="0" w:line="103" w:lineRule="exact"/>
        <w:rPr>
          <w:sz w:val="20"/>
          <w:szCs w:val="20"/>
          <w:color w:val="auto"/>
        </w:rPr>
      </w:pPr>
    </w:p>
    <w:p>
      <w:pPr>
        <w:ind w:left="200" w:right="40"/>
        <w:spacing w:after="0" w:line="288" w:lineRule="auto"/>
        <w:rPr>
          <w:sz w:val="20"/>
          <w:szCs w:val="20"/>
          <w:color w:val="auto"/>
        </w:rPr>
      </w:pPr>
      <w:r>
        <w:rPr>
          <w:rFonts w:ascii="Arial" w:cs="Arial" w:eastAsia="Arial" w:hAnsi="Arial"/>
          <w:sz w:val="18"/>
          <w:szCs w:val="18"/>
          <w:b w:val="1"/>
          <w:bCs w:val="1"/>
          <w:color w:val="auto"/>
        </w:rPr>
        <w:t>If you received the Notice by mail and would prefer to receive a printed copy of ManpowerGroup’s proxy materials, please follow the instructions for requesting printed copies included in the Notice.</w:t>
      </w:r>
    </w:p>
    <w:p>
      <w:pPr>
        <w:spacing w:after="0" w:line="45"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expense of this solicitation will be paid by us. No solicitation other than by mail and via the Internet is contemplated, except that our officers or employees may solicit the return of proxies from certain shareholders by telephone. In addition, we have retained Innisfree M&amp;A Incorporated to assist in the solicitation of proxies for a fee of approximately $15,000 plus expenses.</w:t>
      </w:r>
    </w:p>
    <w:p>
      <w:pPr>
        <w:spacing w:after="0" w:line="97"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Only shareholders of record at the close of business on February 23, 2018 are entitled to notice of and to vote the shares of our common stock, $.01 par value, registered in their name at the annual meeting. As of the record date, we had outstanding 66,153,325 shares of common stock. 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 With respect to the proposals to elect the individuals nominated by our Board of Directors to serve as directors for one year, to ratify the appointment of Deloitte &amp; Touche LLP as our independent auditors for 2018 and the advisory vote on approval of the compensation of our named executive officers, abstentions and broker non-votes will not be counted as voting on the proposals.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Notice is being mailed to shareholders commencing on or about March 22, 2018.</w:t>
      </w:r>
    </w:p>
    <w:p>
      <w:pPr>
        <w:spacing w:after="0" w:line="129"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 xml:space="preserve">If a proxy is properly submitted to us and not revoked, it will be voted in accordance with the instructions contained in the proxy. </w:t>
      </w:r>
      <w:r>
        <w:rPr>
          <w:rFonts w:ascii="Arial" w:cs="Arial" w:eastAsia="Arial" w:hAnsi="Arial"/>
          <w:sz w:val="18"/>
          <w:szCs w:val="18"/>
          <w:b w:val="1"/>
          <w:bCs w:val="1"/>
          <w:color w:val="auto"/>
        </w:rPr>
        <w:t>Each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shareholder may revoke a previously granted proxy at any time before it is exercised by advising the secretary of ManpowerGroup in writing (either by submitting a duly executed proxy bearing a later date or voting by telephone or via the Internet) or by telephone of such revocation. Attendance at the annual meeting will not, in itself, constitute revocation of a proxy. Unless otherwise directed, all proxies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election of each of the individuals nominated by our board of directors to serve as directors for one year,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appointment of Deloitte &amp; Touche LLP as our independent auditors for 2018 and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the compensation of our named executive officers.</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Corporate Governance Documents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Corporate Governance Documents</w:t>
      </w:r>
    </w:p>
    <w:p>
      <w:pPr>
        <w:spacing w:after="0" w:line="245" w:lineRule="exact"/>
        <w:rPr>
          <w:sz w:val="20"/>
          <w:szCs w:val="20"/>
          <w:color w:val="auto"/>
        </w:rPr>
      </w:pPr>
    </w:p>
    <w:p>
      <w:pPr>
        <w:ind w:left="200" w:right="99"/>
        <w:spacing w:after="0" w:line="255" w:lineRule="auto"/>
        <w:rPr>
          <w:sz w:val="20"/>
          <w:szCs w:val="20"/>
          <w:color w:val="auto"/>
        </w:rPr>
      </w:pPr>
      <w:r>
        <w:rPr>
          <w:rFonts w:ascii="Arial" w:cs="Arial" w:eastAsia="Arial" w:hAnsi="Arial"/>
          <w:sz w:val="18"/>
          <w:szCs w:val="18"/>
          <w:color w:val="auto"/>
        </w:rPr>
        <w:t xml:space="preserve">Certain documents relating to corporate governance matters are available in print by writing to Richard Buchband, Secretary, ManpowerGroup Inc., 100 Manpower Place, Milwaukee, Wisconsin 53212 and on ManpowerGroup’s website at </w:t>
      </w:r>
      <w:r>
        <w:rPr>
          <w:rFonts w:ascii="Arial" w:cs="Arial" w:eastAsia="Arial" w:hAnsi="Arial"/>
          <w:sz w:val="18"/>
          <w:szCs w:val="18"/>
          <w:u w:val="single" w:color="auto"/>
          <w:color w:val="auto"/>
        </w:rPr>
        <w:t>http://investor.manpowergroup.com/documents.cfm</w:t>
      </w:r>
      <w:r>
        <w:rPr>
          <w:rFonts w:ascii="Arial" w:cs="Arial" w:eastAsia="Arial" w:hAnsi="Arial"/>
          <w:sz w:val="18"/>
          <w:szCs w:val="18"/>
          <w:color w:val="auto"/>
        </w:rPr>
        <w:t>. These documents include the following:</w:t>
      </w:r>
    </w:p>
    <w:p>
      <w:pPr>
        <w:spacing w:after="0" w:line="70" w:lineRule="exact"/>
        <w:rPr>
          <w:sz w:val="20"/>
          <w:szCs w:val="20"/>
          <w:color w:val="auto"/>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Amended and Restated Articles of Incorporation;</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Amended and Restated Bylaws;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Corporate governance guidelines;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Code of business conduct and ethics;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Charter of the nominating and governance committee, including the guidelines for selecting board candidates;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Categorical standards for relationships deemed not to impair independence of non-employee directors;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Charter of the audit committee;</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Independent Auditor Services Policy;</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Charter of the executive compensation and human resources committee;</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Executive officer stock ownership guidelines;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Outside director stock ownership guidelines; and</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Anti-corruption policy.</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Information contained on ManpowerGroup’s website is not deemed to be a part of this proxy statement.</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w:t>
      </w:r>
    </w:p>
    <w:p>
      <w:pPr>
        <w:sectPr>
          <w:pgSz w:w="11900" w:h="16838" w:orient="portrait"/>
          <w:cols w:equalWidth="0" w:num="1">
            <w:col w:w="10219"/>
          </w:cols>
          <w:pgMar w:left="240" w:top="455" w:right="1440"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240"/>
        <w:spacing w:after="0"/>
        <w:rPr>
          <w:sz w:val="20"/>
          <w:szCs w:val="20"/>
          <w:color w:val="auto"/>
        </w:rPr>
      </w:pPr>
      <w:r>
        <w:rPr>
          <w:rFonts w:ascii="Arial" w:cs="Arial" w:eastAsia="Arial" w:hAnsi="Arial"/>
          <w:sz w:val="18"/>
          <w:szCs w:val="18"/>
          <w:color w:val="FFFFFF"/>
        </w:rPr>
        <w:t>Security Ownership of Certain Beneficial Owners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Security Ownership of Certain Beneficial Owners</w:t>
      </w:r>
    </w:p>
    <w:p>
      <w:pPr>
        <w:spacing w:after="0" w:line="245" w:lineRule="exact"/>
        <w:rPr>
          <w:sz w:val="20"/>
          <w:szCs w:val="20"/>
          <w:color w:val="auto"/>
        </w:rPr>
      </w:pPr>
    </w:p>
    <w:p>
      <w:pPr>
        <w:ind w:left="200" w:right="40"/>
        <w:spacing w:after="0" w:line="276" w:lineRule="auto"/>
        <w:rPr>
          <w:sz w:val="20"/>
          <w:szCs w:val="20"/>
          <w:color w:val="auto"/>
        </w:rPr>
      </w:pPr>
      <w:r>
        <w:rPr>
          <w:rFonts w:ascii="Arial" w:cs="Arial" w:eastAsia="Arial" w:hAnsi="Arial"/>
          <w:sz w:val="18"/>
          <w:szCs w:val="18"/>
          <w:color w:val="auto"/>
        </w:rPr>
        <w:t>The following table lists as of the record date (except as noted below) information as to the persons believed by us to be beneficial owners of more than 5% of our outstanding common stock:</w:t>
      </w:r>
    </w:p>
    <w:p>
      <w:pPr>
        <w:spacing w:after="0" w:line="175"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6680" w:type="dxa"/>
            <w:vAlign w:val="bottom"/>
            <w:tcBorders>
              <w:top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 and Address of</w:t>
            </w:r>
          </w:p>
        </w:tc>
        <w:tc>
          <w:tcPr>
            <w:tcW w:w="2920" w:type="dxa"/>
            <w:vAlign w:val="bottom"/>
            <w:tcBorders>
              <w:top w:val="single" w:sz="8" w:color="auto"/>
            </w:tcBorders>
            <w:shd w:val="clear" w:color="auto" w:fill="9DB8D2"/>
          </w:tcPr>
          <w:p>
            <w:pPr>
              <w:jc w:val="right"/>
              <w:ind w:right="423"/>
              <w:spacing w:after="0"/>
              <w:rPr>
                <w:sz w:val="20"/>
                <w:szCs w:val="20"/>
                <w:color w:val="auto"/>
              </w:rPr>
            </w:pPr>
            <w:r>
              <w:rPr>
                <w:rFonts w:ascii="Arial" w:cs="Arial" w:eastAsia="Arial" w:hAnsi="Arial"/>
                <w:sz w:val="14"/>
                <w:szCs w:val="14"/>
                <w:b w:val="1"/>
                <w:bCs w:val="1"/>
                <w:color w:val="auto"/>
              </w:rPr>
              <w:t>Amount and Nature of</w:t>
            </w:r>
          </w:p>
        </w:tc>
        <w:tc>
          <w:tcPr>
            <w:tcW w:w="1420" w:type="dxa"/>
            <w:vAlign w:val="bottom"/>
            <w:tcBorders>
              <w:top w:val="single" w:sz="8" w:color="auto"/>
            </w:tcBorders>
            <w:shd w:val="clear" w:color="auto" w:fill="9DB8D2"/>
          </w:tcPr>
          <w:p>
            <w:pPr>
              <w:jc w:val="right"/>
              <w:ind w:right="343"/>
              <w:spacing w:after="0"/>
              <w:rPr>
                <w:sz w:val="20"/>
                <w:szCs w:val="20"/>
                <w:color w:val="auto"/>
              </w:rPr>
            </w:pPr>
            <w:r>
              <w:rPr>
                <w:rFonts w:ascii="Arial" w:cs="Arial" w:eastAsia="Arial" w:hAnsi="Arial"/>
                <w:sz w:val="14"/>
                <w:szCs w:val="14"/>
                <w:b w:val="1"/>
                <w:bCs w:val="1"/>
                <w:color w:val="auto"/>
              </w:rPr>
              <w:t>Percent of</w:t>
            </w:r>
          </w:p>
        </w:tc>
      </w:tr>
      <w:tr>
        <w:trPr>
          <w:trHeight w:val="191"/>
        </w:trPr>
        <w:tc>
          <w:tcPr>
            <w:tcW w:w="668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Beneficial Owners</w:t>
            </w:r>
          </w:p>
        </w:tc>
        <w:tc>
          <w:tcPr>
            <w:tcW w:w="2920" w:type="dxa"/>
            <w:vAlign w:val="bottom"/>
            <w:tcBorders>
              <w:bottom w:val="single" w:sz="8" w:color="auto"/>
            </w:tcBorders>
            <w:shd w:val="clear" w:color="auto" w:fill="9DB8D2"/>
          </w:tcPr>
          <w:p>
            <w:pPr>
              <w:jc w:val="right"/>
              <w:ind w:right="443"/>
              <w:spacing w:after="0"/>
              <w:rPr>
                <w:sz w:val="20"/>
                <w:szCs w:val="20"/>
                <w:color w:val="auto"/>
              </w:rPr>
            </w:pPr>
            <w:r>
              <w:rPr>
                <w:rFonts w:ascii="Arial" w:cs="Arial" w:eastAsia="Arial" w:hAnsi="Arial"/>
                <w:sz w:val="14"/>
                <w:szCs w:val="14"/>
                <w:b w:val="1"/>
                <w:bCs w:val="1"/>
                <w:color w:val="auto"/>
              </w:rPr>
              <w:t>Beneficial Ownership</w:t>
            </w:r>
          </w:p>
        </w:tc>
        <w:tc>
          <w:tcPr>
            <w:tcW w:w="1420" w:type="dxa"/>
            <w:vAlign w:val="bottom"/>
            <w:tcBorders>
              <w:bottom w:val="single" w:sz="8" w:color="auto"/>
            </w:tcBorders>
            <w:shd w:val="clear" w:color="auto" w:fill="9DB8D2"/>
          </w:tcPr>
          <w:p>
            <w:pPr>
              <w:jc w:val="right"/>
              <w:ind w:right="403"/>
              <w:spacing w:after="0"/>
              <w:rPr>
                <w:sz w:val="20"/>
                <w:szCs w:val="20"/>
                <w:color w:val="auto"/>
              </w:rPr>
            </w:pPr>
            <w:r>
              <w:rPr>
                <w:rFonts w:ascii="Arial" w:cs="Arial" w:eastAsia="Arial" w:hAnsi="Arial"/>
                <w:sz w:val="14"/>
                <w:szCs w:val="14"/>
                <w:b w:val="1"/>
                <w:bCs w:val="1"/>
                <w:color w:val="auto"/>
              </w:rPr>
              <w:t>Class(1)</w:t>
            </w:r>
          </w:p>
        </w:tc>
      </w:tr>
      <w:tr>
        <w:trPr>
          <w:trHeight w:val="164"/>
        </w:trPr>
        <w:tc>
          <w:tcPr>
            <w:tcW w:w="6680" w:type="dxa"/>
            <w:vAlign w:val="bottom"/>
          </w:tcPr>
          <w:p>
            <w:pPr>
              <w:ind w:left="60"/>
              <w:spacing w:after="0" w:line="165" w:lineRule="exact"/>
              <w:rPr>
                <w:sz w:val="20"/>
                <w:szCs w:val="20"/>
                <w:color w:val="auto"/>
              </w:rPr>
            </w:pPr>
            <w:r>
              <w:rPr>
                <w:rFonts w:ascii="Arial" w:cs="Arial" w:eastAsia="Arial" w:hAnsi="Arial"/>
                <w:sz w:val="16"/>
                <w:szCs w:val="16"/>
                <w:color w:val="auto"/>
              </w:rPr>
              <w:t>BlackRock, Inc.</w:t>
            </w:r>
          </w:p>
        </w:tc>
        <w:tc>
          <w:tcPr>
            <w:tcW w:w="29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9"/>
        </w:trPr>
        <w:tc>
          <w:tcPr>
            <w:tcW w:w="6680" w:type="dxa"/>
            <w:vAlign w:val="bottom"/>
          </w:tcPr>
          <w:p>
            <w:pPr>
              <w:ind w:left="60"/>
              <w:spacing w:after="0"/>
              <w:rPr>
                <w:sz w:val="20"/>
                <w:szCs w:val="20"/>
                <w:color w:val="auto"/>
              </w:rPr>
            </w:pPr>
            <w:r>
              <w:rPr>
                <w:rFonts w:ascii="Arial" w:cs="Arial" w:eastAsia="Arial" w:hAnsi="Arial"/>
                <w:sz w:val="16"/>
                <w:szCs w:val="16"/>
                <w:color w:val="auto"/>
              </w:rPr>
              <w:t>55 East 52nd Street</w:t>
            </w:r>
          </w:p>
        </w:tc>
        <w:tc>
          <w:tcPr>
            <w:tcW w:w="29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21"/>
        </w:trPr>
        <w:tc>
          <w:tcPr>
            <w:tcW w:w="6680" w:type="dxa"/>
            <w:vAlign w:val="bottom"/>
          </w:tcPr>
          <w:p>
            <w:pPr>
              <w:ind w:left="60"/>
              <w:spacing w:after="0"/>
              <w:rPr>
                <w:sz w:val="20"/>
                <w:szCs w:val="20"/>
                <w:color w:val="auto"/>
              </w:rPr>
            </w:pPr>
            <w:r>
              <w:rPr>
                <w:rFonts w:ascii="Arial" w:cs="Arial" w:eastAsia="Arial" w:hAnsi="Arial"/>
                <w:sz w:val="16"/>
                <w:szCs w:val="16"/>
                <w:color w:val="auto"/>
              </w:rPr>
              <w:t>New York, New York 10055</w:t>
            </w:r>
          </w:p>
        </w:tc>
        <w:tc>
          <w:tcPr>
            <w:tcW w:w="2920" w:type="dxa"/>
            <w:vAlign w:val="bottom"/>
          </w:tcPr>
          <w:p>
            <w:pPr>
              <w:jc w:val="right"/>
              <w:ind w:right="223"/>
              <w:spacing w:after="0"/>
              <w:rPr>
                <w:sz w:val="20"/>
                <w:szCs w:val="20"/>
                <w:color w:val="auto"/>
              </w:rPr>
            </w:pPr>
            <w:r>
              <w:rPr>
                <w:rFonts w:ascii="Arial" w:cs="Arial" w:eastAsia="Arial" w:hAnsi="Arial"/>
                <w:sz w:val="16"/>
                <w:szCs w:val="16"/>
                <w:color w:val="auto"/>
              </w:rPr>
              <w:t>7,633,483(2)</w:t>
            </w:r>
          </w:p>
        </w:tc>
        <w:tc>
          <w:tcPr>
            <w:tcW w:w="1420" w:type="dxa"/>
            <w:vAlign w:val="bottom"/>
          </w:tcPr>
          <w:p>
            <w:pPr>
              <w:jc w:val="right"/>
              <w:ind w:right="183"/>
              <w:spacing w:after="0"/>
              <w:rPr>
                <w:sz w:val="20"/>
                <w:szCs w:val="20"/>
                <w:color w:val="auto"/>
              </w:rPr>
            </w:pPr>
            <w:r>
              <w:rPr>
                <w:rFonts w:ascii="Arial" w:cs="Arial" w:eastAsia="Arial" w:hAnsi="Arial"/>
                <w:sz w:val="16"/>
                <w:szCs w:val="16"/>
                <w:color w:val="auto"/>
              </w:rPr>
              <w:t>11.5%</w:t>
            </w:r>
          </w:p>
        </w:tc>
      </w:tr>
      <w:tr>
        <w:trPr>
          <w:trHeight w:val="171"/>
        </w:trPr>
        <w:tc>
          <w:tcPr>
            <w:tcW w:w="6680" w:type="dxa"/>
            <w:vAlign w:val="bottom"/>
            <w:shd w:val="clear" w:color="auto" w:fill="E6EDF3"/>
          </w:tcPr>
          <w:p>
            <w:pPr>
              <w:ind w:left="60"/>
              <w:spacing w:after="0" w:line="171" w:lineRule="exact"/>
              <w:rPr>
                <w:sz w:val="20"/>
                <w:szCs w:val="20"/>
                <w:color w:val="auto"/>
              </w:rPr>
            </w:pPr>
            <w:r>
              <w:rPr>
                <w:rFonts w:ascii="Arial" w:cs="Arial" w:eastAsia="Arial" w:hAnsi="Arial"/>
                <w:sz w:val="16"/>
                <w:szCs w:val="16"/>
                <w:color w:val="auto"/>
              </w:rPr>
              <w:t>Vanguard Group, Inc.</w:t>
            </w:r>
          </w:p>
        </w:tc>
        <w:tc>
          <w:tcPr>
            <w:tcW w:w="2920" w:type="dxa"/>
            <w:vAlign w:val="bottom"/>
            <w:shd w:val="clear" w:color="auto" w:fill="E6EDF3"/>
          </w:tcPr>
          <w:p>
            <w:pPr>
              <w:spacing w:after="0"/>
              <w:rPr>
                <w:sz w:val="14"/>
                <w:szCs w:val="14"/>
                <w:color w:val="auto"/>
              </w:rPr>
            </w:pPr>
          </w:p>
        </w:tc>
        <w:tc>
          <w:tcPr>
            <w:tcW w:w="1420" w:type="dxa"/>
            <w:vAlign w:val="bottom"/>
            <w:shd w:val="clear" w:color="auto" w:fill="E6EDF3"/>
          </w:tcPr>
          <w:p>
            <w:pPr>
              <w:spacing w:after="0"/>
              <w:rPr>
                <w:sz w:val="14"/>
                <w:szCs w:val="14"/>
                <w:color w:val="auto"/>
              </w:rPr>
            </w:pPr>
          </w:p>
        </w:tc>
      </w:tr>
      <w:tr>
        <w:trPr>
          <w:trHeight w:val="189"/>
        </w:trPr>
        <w:tc>
          <w:tcPr>
            <w:tcW w:w="6680" w:type="dxa"/>
            <w:vAlign w:val="bottom"/>
            <w:shd w:val="clear" w:color="auto" w:fill="E6EDF3"/>
          </w:tcPr>
          <w:p>
            <w:pPr>
              <w:ind w:left="60"/>
              <w:spacing w:after="0"/>
              <w:rPr>
                <w:sz w:val="20"/>
                <w:szCs w:val="20"/>
                <w:color w:val="auto"/>
              </w:rPr>
            </w:pPr>
            <w:r>
              <w:rPr>
                <w:rFonts w:ascii="Arial" w:cs="Arial" w:eastAsia="Arial" w:hAnsi="Arial"/>
                <w:sz w:val="16"/>
                <w:szCs w:val="16"/>
                <w:color w:val="auto"/>
              </w:rPr>
              <w:t>100 Vanguard Boulevard</w:t>
            </w:r>
          </w:p>
        </w:tc>
        <w:tc>
          <w:tcPr>
            <w:tcW w:w="2920" w:type="dxa"/>
            <w:vAlign w:val="bottom"/>
            <w:shd w:val="clear" w:color="auto" w:fill="E6EDF3"/>
          </w:tcPr>
          <w:p>
            <w:pPr>
              <w:spacing w:after="0"/>
              <w:rPr>
                <w:sz w:val="16"/>
                <w:szCs w:val="16"/>
                <w:color w:val="auto"/>
              </w:rPr>
            </w:pPr>
          </w:p>
        </w:tc>
        <w:tc>
          <w:tcPr>
            <w:tcW w:w="1420" w:type="dxa"/>
            <w:vAlign w:val="bottom"/>
            <w:shd w:val="clear" w:color="auto" w:fill="E6EDF3"/>
          </w:tcPr>
          <w:p>
            <w:pPr>
              <w:spacing w:after="0"/>
              <w:rPr>
                <w:sz w:val="16"/>
                <w:szCs w:val="16"/>
                <w:color w:val="auto"/>
              </w:rPr>
            </w:pPr>
          </w:p>
        </w:tc>
      </w:tr>
      <w:tr>
        <w:trPr>
          <w:trHeight w:val="221"/>
        </w:trPr>
        <w:tc>
          <w:tcPr>
            <w:tcW w:w="6680" w:type="dxa"/>
            <w:vAlign w:val="bottom"/>
            <w:shd w:val="clear" w:color="auto" w:fill="E6EDF3"/>
          </w:tcPr>
          <w:p>
            <w:pPr>
              <w:ind w:left="60"/>
              <w:spacing w:after="0"/>
              <w:rPr>
                <w:sz w:val="20"/>
                <w:szCs w:val="20"/>
                <w:color w:val="auto"/>
              </w:rPr>
            </w:pPr>
            <w:r>
              <w:rPr>
                <w:rFonts w:ascii="Arial" w:cs="Arial" w:eastAsia="Arial" w:hAnsi="Arial"/>
                <w:sz w:val="16"/>
                <w:szCs w:val="16"/>
                <w:color w:val="auto"/>
              </w:rPr>
              <w:t>Malvern, PA 19355</w:t>
            </w:r>
          </w:p>
        </w:tc>
        <w:tc>
          <w:tcPr>
            <w:tcW w:w="2920" w:type="dxa"/>
            <w:vAlign w:val="bottom"/>
            <w:shd w:val="clear" w:color="auto" w:fill="E6EDF3"/>
          </w:tcPr>
          <w:p>
            <w:pPr>
              <w:jc w:val="right"/>
              <w:ind w:right="223"/>
              <w:spacing w:after="0"/>
              <w:rPr>
                <w:sz w:val="20"/>
                <w:szCs w:val="20"/>
                <w:color w:val="auto"/>
              </w:rPr>
            </w:pPr>
            <w:r>
              <w:rPr>
                <w:rFonts w:ascii="Arial" w:cs="Arial" w:eastAsia="Arial" w:hAnsi="Arial"/>
                <w:sz w:val="16"/>
                <w:szCs w:val="16"/>
                <w:color w:val="auto"/>
              </w:rPr>
              <w:t>6,269,064(3)</w:t>
            </w:r>
          </w:p>
        </w:tc>
        <w:tc>
          <w:tcPr>
            <w:tcW w:w="1420" w:type="dxa"/>
            <w:vAlign w:val="bottom"/>
            <w:shd w:val="clear" w:color="auto" w:fill="E6EDF3"/>
          </w:tcPr>
          <w:p>
            <w:pPr>
              <w:jc w:val="right"/>
              <w:ind w:right="183"/>
              <w:spacing w:after="0"/>
              <w:rPr>
                <w:sz w:val="20"/>
                <w:szCs w:val="20"/>
                <w:color w:val="auto"/>
              </w:rPr>
            </w:pPr>
            <w:r>
              <w:rPr>
                <w:rFonts w:ascii="Arial" w:cs="Arial" w:eastAsia="Arial" w:hAnsi="Arial"/>
                <w:sz w:val="16"/>
                <w:szCs w:val="16"/>
                <w:color w:val="auto"/>
              </w:rPr>
              <w:t>9.5%</w:t>
            </w:r>
          </w:p>
        </w:tc>
      </w:tr>
      <w:tr>
        <w:trPr>
          <w:trHeight w:val="171"/>
        </w:trPr>
        <w:tc>
          <w:tcPr>
            <w:tcW w:w="6680" w:type="dxa"/>
            <w:vAlign w:val="bottom"/>
          </w:tcPr>
          <w:p>
            <w:pPr>
              <w:ind w:left="60"/>
              <w:spacing w:after="0" w:line="171" w:lineRule="exact"/>
              <w:rPr>
                <w:sz w:val="20"/>
                <w:szCs w:val="20"/>
                <w:color w:val="auto"/>
              </w:rPr>
            </w:pPr>
            <w:r>
              <w:rPr>
                <w:rFonts w:ascii="Arial" w:cs="Arial" w:eastAsia="Arial" w:hAnsi="Arial"/>
                <w:sz w:val="16"/>
                <w:szCs w:val="16"/>
                <w:color w:val="auto"/>
              </w:rPr>
              <w:t>Boston Partners</w:t>
            </w:r>
          </w:p>
        </w:tc>
        <w:tc>
          <w:tcPr>
            <w:tcW w:w="29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9"/>
        </w:trPr>
        <w:tc>
          <w:tcPr>
            <w:tcW w:w="6680" w:type="dxa"/>
            <w:vAlign w:val="bottom"/>
          </w:tcPr>
          <w:p>
            <w:pPr>
              <w:ind w:left="60"/>
              <w:spacing w:after="0"/>
              <w:rPr>
                <w:sz w:val="20"/>
                <w:szCs w:val="20"/>
                <w:color w:val="auto"/>
              </w:rPr>
            </w:pPr>
            <w:r>
              <w:rPr>
                <w:rFonts w:ascii="Arial" w:cs="Arial" w:eastAsia="Arial" w:hAnsi="Arial"/>
                <w:sz w:val="16"/>
                <w:szCs w:val="16"/>
                <w:color w:val="auto"/>
              </w:rPr>
              <w:t>One Beacon Street, 30th Floor</w:t>
            </w:r>
          </w:p>
        </w:tc>
        <w:tc>
          <w:tcPr>
            <w:tcW w:w="29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21"/>
        </w:trPr>
        <w:tc>
          <w:tcPr>
            <w:tcW w:w="66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Boston, MA 02108</w:t>
            </w:r>
          </w:p>
        </w:tc>
        <w:tc>
          <w:tcPr>
            <w:tcW w:w="292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3,416,980(4)</w:t>
            </w:r>
          </w:p>
        </w:tc>
        <w:tc>
          <w:tcPr>
            <w:tcW w:w="14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5.2%</w:t>
            </w:r>
          </w:p>
        </w:tc>
      </w:tr>
    </w:tbl>
    <w:p>
      <w:pPr>
        <w:spacing w:after="0" w:line="54" w:lineRule="exact"/>
        <w:rPr>
          <w:sz w:val="20"/>
          <w:szCs w:val="20"/>
          <w:color w:val="auto"/>
        </w:rPr>
      </w:pPr>
    </w:p>
    <w:p>
      <w:pPr>
        <w:ind w:left="520" w:hanging="316"/>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66,153,325 shares of common stock outstanding as of the record date.</w:t>
      </w:r>
    </w:p>
    <w:p>
      <w:pPr>
        <w:spacing w:after="0" w:line="68" w:lineRule="exact"/>
        <w:rPr>
          <w:rFonts w:ascii="Arial" w:cs="Arial" w:eastAsia="Arial" w:hAnsi="Arial"/>
          <w:sz w:val="14"/>
          <w:szCs w:val="14"/>
          <w:color w:val="auto"/>
        </w:rPr>
      </w:pPr>
    </w:p>
    <w:p>
      <w:pPr>
        <w:ind w:left="520" w:right="100" w:hanging="316"/>
        <w:spacing w:after="0" w:line="249"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January 19, 2018, by BlackRock, Inc. on its behalf and on behalf of its following affiliates: BlackRock Advisors, LLC, BlackRock Advisors (UK) Limited, BlackRock Asset Management Canada Limited, BlackRock Asset Management Ireland Limited, BlackRock Japan Co., Ltd., BlackRock Capital Management, Inc., BlackRock Financial Management, Inc., BlackRock Fund Advisors, BlackRock Life Limited, BlackRock Institutional Trust Company, National Association, BlackRock Investment Management, LLC, BlackRock Investment Management (Australia) Limited, BlackRock (Luxembourg) S.A., BlackRock (Netherlands) B.V., BlackRock International Limited, BlackRock Investment Management (UK) Ltd, BlackRock Fund Managers Ltd, BlackRock Asset Management North Asia Limited and BlackRock Asset Management Schweiz AG. According to this Schedule 13G, these securities are owned of record by BlackRock, Inc. BlackRock, Inc. has sole voting power with respect to 6,776,347 shares held and sole dispositive power with respect to 7,633,483 shares held.</w:t>
      </w:r>
    </w:p>
    <w:p>
      <w:pPr>
        <w:spacing w:after="0" w:line="32" w:lineRule="exact"/>
        <w:rPr>
          <w:rFonts w:ascii="Arial" w:cs="Arial" w:eastAsia="Arial" w:hAnsi="Arial"/>
          <w:sz w:val="14"/>
          <w:szCs w:val="14"/>
          <w:color w:val="auto"/>
        </w:rPr>
      </w:pPr>
    </w:p>
    <w:p>
      <w:pPr>
        <w:ind w:left="520" w:right="220" w:hanging="316"/>
        <w:spacing w:after="0" w:line="260"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9, 2018. According to this Schedule 13G, these securities are owned by various individual and institutional investors for which Vanguard Group, Inc. (“Vanguard”) serves as investment advisor. Vanguard has sole voting power with respect to 52,676 shares held, shared voting power with respect to 16,815 shares held, sole dispositive power with respect to 6,205,082 shares held and shared dispositive power with respect to 63,982 shares held.</w:t>
      </w:r>
    </w:p>
    <w:p>
      <w:pPr>
        <w:spacing w:after="0" w:line="192" w:lineRule="exact"/>
        <w:rPr>
          <w:rFonts w:ascii="Arial" w:cs="Arial" w:eastAsia="Arial" w:hAnsi="Arial"/>
          <w:sz w:val="14"/>
          <w:szCs w:val="14"/>
          <w:color w:val="auto"/>
        </w:rPr>
      </w:pPr>
    </w:p>
    <w:p>
      <w:pPr>
        <w:ind w:left="520" w:right="220" w:hanging="316"/>
        <w:spacing w:after="0" w:line="266"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13, 2018. According to this Schedule 13G, these securities are held by Boston Partners as an investment advisor for discretionary accounts of clients. Boston Partners has sole voting power with respect to 2,636,244 shares held and sole dispositive power with respect to 3,416,980 shares held.</w:t>
      </w:r>
    </w:p>
    <w:p>
      <w:pPr>
        <w:spacing w:after="0" w:line="78"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5D89B4"/>
        </w:rPr>
        <w:t xml:space="preserve">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1. Election of Directors</w:t>
      </w:r>
    </w:p>
    <w:p>
      <w:pPr>
        <w:spacing w:after="0" w:line="218" w:lineRule="exact"/>
        <w:rPr>
          <w:sz w:val="20"/>
          <w:szCs w:val="20"/>
          <w:color w:val="auto"/>
        </w:rPr>
      </w:pPr>
    </w:p>
    <w:p>
      <w:pPr>
        <w:ind w:left="200" w:right="340"/>
        <w:spacing w:after="0" w:line="255" w:lineRule="auto"/>
        <w:rPr>
          <w:sz w:val="20"/>
          <w:szCs w:val="20"/>
          <w:color w:val="auto"/>
        </w:rPr>
      </w:pPr>
      <w:r>
        <w:rPr>
          <w:rFonts w:ascii="Arial" w:cs="Arial" w:eastAsia="Arial" w:hAnsi="Arial"/>
          <w:sz w:val="18"/>
          <w:szCs w:val="18"/>
          <w:color w:val="auto"/>
        </w:rPr>
        <w:t>Our articles of incorporation provide that our board of directors will consist of three to fifteen members. Our board of directors currently consists of fourteen members. All directors are elected annually to serve until the next annual meeting of shareholders and until the directors’ successors are duly elected and shall qualify.</w:t>
      </w:r>
    </w:p>
    <w:p>
      <w:pPr>
        <w:spacing w:after="0" w:line="83" w:lineRule="exact"/>
        <w:rPr>
          <w:sz w:val="20"/>
          <w:szCs w:val="20"/>
          <w:color w:val="auto"/>
        </w:rPr>
      </w:pPr>
    </w:p>
    <w:p>
      <w:pPr>
        <w:ind w:left="200" w:right="100"/>
        <w:spacing w:after="0" w:line="276" w:lineRule="auto"/>
        <w:rPr>
          <w:sz w:val="20"/>
          <w:szCs w:val="20"/>
          <w:color w:val="auto"/>
        </w:rPr>
      </w:pPr>
      <w:r>
        <w:rPr>
          <w:rFonts w:ascii="Arial" w:cs="Arial" w:eastAsia="Arial" w:hAnsi="Arial"/>
          <w:sz w:val="18"/>
          <w:szCs w:val="18"/>
          <w:color w:val="auto"/>
        </w:rPr>
        <w:t>The board of directors may appoint additional directors, in accordance with our articles of incorporation, based upon the recommendation of the nominating and governance committee and subject to re-election by our shareholders at the next annual meeting of shareholders.</w:t>
      </w:r>
    </w:p>
    <w:p>
      <w:pPr>
        <w:spacing w:after="0" w:line="78" w:lineRule="exact"/>
        <w:rPr>
          <w:sz w:val="20"/>
          <w:szCs w:val="20"/>
          <w:color w:val="auto"/>
        </w:rPr>
      </w:pPr>
    </w:p>
    <w:p>
      <w:pPr>
        <w:ind w:left="200" w:right="60"/>
        <w:spacing w:after="0" w:line="276" w:lineRule="auto"/>
        <w:rPr>
          <w:sz w:val="20"/>
          <w:szCs w:val="20"/>
          <w:color w:val="auto"/>
        </w:rPr>
      </w:pPr>
      <w:r>
        <w:rPr>
          <w:rFonts w:ascii="Arial" w:cs="Arial" w:eastAsia="Arial" w:hAnsi="Arial"/>
          <w:sz w:val="18"/>
          <w:szCs w:val="18"/>
          <w:color w:val="auto"/>
        </w:rPr>
        <w:t>Michael J. Van Handel was appointed to the board of directors effective December 11, 2017, after being recommended for appointment to the board of directors by the nominating and governance committee.</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individuals are being nominated as directors, each for a one-year term expiring at the 2019 annual meeting of shareholders:</w:t>
      </w:r>
    </w:p>
    <w:p>
      <w:pPr>
        <w:sectPr>
          <w:pgSz w:w="11900" w:h="16838" w:orient="portrait"/>
          <w:cols w:equalWidth="0" w:num="1">
            <w:col w:w="11200"/>
          </w:cols>
          <w:pgMar w:left="240" w:top="455" w:right="459" w:bottom="1440" w:gutter="0" w:footer="0" w:header="0"/>
        </w:sectPr>
      </w:pPr>
    </w:p>
    <w:p>
      <w:pPr>
        <w:spacing w:after="0" w:line="14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Gina R. Boswell</w:t>
      </w:r>
    </w:p>
    <w:p>
      <w:pPr>
        <w:spacing w:after="0" w:line="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Cari M. Dominguez</w:t>
      </w:r>
    </w:p>
    <w:p>
      <w:pPr>
        <w:ind w:left="2420"/>
        <w:spacing w:after="0" w:line="234" w:lineRule="auto"/>
        <w:rPr>
          <w:sz w:val="20"/>
          <w:szCs w:val="20"/>
          <w:color w:val="auto"/>
        </w:rPr>
      </w:pPr>
      <w:r>
        <w:rPr>
          <w:rFonts w:ascii="Arial" w:cs="Arial" w:eastAsia="Arial" w:hAnsi="Arial"/>
          <w:sz w:val="18"/>
          <w:szCs w:val="18"/>
          <w:color w:val="auto"/>
        </w:rPr>
        <w:t>William Downe</w:t>
      </w:r>
    </w:p>
    <w:p>
      <w:pPr>
        <w:ind w:left="2420"/>
        <w:spacing w:after="0" w:line="235" w:lineRule="auto"/>
        <w:rPr>
          <w:sz w:val="20"/>
          <w:szCs w:val="20"/>
          <w:color w:val="auto"/>
        </w:rPr>
      </w:pPr>
      <w:r>
        <w:rPr>
          <w:rFonts w:ascii="Arial" w:cs="Arial" w:eastAsia="Arial" w:hAnsi="Arial"/>
          <w:sz w:val="18"/>
          <w:szCs w:val="18"/>
          <w:color w:val="auto"/>
        </w:rPr>
        <w:t>John F. Ferraro</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Patricia Hemingway Hall</w:t>
      </w:r>
    </w:p>
    <w:p>
      <w:pPr>
        <w:spacing w:after="0" w:line="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Julie M. Howard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Ulice Payne, Jr.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34" w:lineRule="auto"/>
        <w:rPr>
          <w:sz w:val="20"/>
          <w:szCs w:val="20"/>
          <w:color w:val="auto"/>
        </w:rPr>
      </w:pPr>
      <w:r>
        <w:rPr>
          <w:rFonts w:ascii="Arial" w:cs="Arial" w:eastAsia="Arial" w:hAnsi="Arial"/>
          <w:sz w:val="18"/>
          <w:szCs w:val="18"/>
          <w:color w:val="auto"/>
        </w:rPr>
        <w:t>Paul Read</w:t>
      </w:r>
    </w:p>
    <w:p>
      <w:pPr>
        <w:spacing w:after="0" w:line="235" w:lineRule="auto"/>
        <w:rPr>
          <w:sz w:val="20"/>
          <w:szCs w:val="20"/>
          <w:color w:val="auto"/>
        </w:rPr>
      </w:pPr>
      <w:r>
        <w:rPr>
          <w:rFonts w:ascii="Arial" w:cs="Arial" w:eastAsia="Arial" w:hAnsi="Arial"/>
          <w:sz w:val="18"/>
          <w:szCs w:val="18"/>
          <w:color w:val="auto"/>
        </w:rPr>
        <w:t>Elizabeth P. Sartain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Michael J. Van Handel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John R. Walter</w:t>
      </w:r>
    </w:p>
    <w:p>
      <w:pPr>
        <w:spacing w:after="0" w:line="149" w:lineRule="exact"/>
        <w:rPr>
          <w:sz w:val="20"/>
          <w:szCs w:val="20"/>
          <w:color w:val="auto"/>
        </w:rPr>
      </w:pPr>
    </w:p>
    <w:p>
      <w:pPr>
        <w:sectPr>
          <w:pgSz w:w="11900" w:h="16838" w:orient="portrait"/>
          <w:cols w:equalWidth="0" w:num="2">
            <w:col w:w="5280" w:space="720"/>
            <w:col w:w="5200"/>
          </w:cols>
          <w:pgMar w:left="240" w:top="455" w:right="459" w:bottom="1440" w:gutter="0" w:footer="0" w:header="0"/>
          <w:type w:val="continuous"/>
        </w:sectPr>
      </w:pPr>
    </w:p>
    <w:p>
      <w:pPr>
        <w:ind w:left="200" w:right="60"/>
        <w:spacing w:after="0" w:line="276" w:lineRule="auto"/>
        <w:rPr>
          <w:sz w:val="20"/>
          <w:szCs w:val="20"/>
          <w:color w:val="auto"/>
        </w:rPr>
      </w:pPr>
      <w:r>
        <w:rPr>
          <w:rFonts w:ascii="Arial" w:cs="Arial" w:eastAsia="Arial" w:hAnsi="Arial"/>
          <w:sz w:val="18"/>
          <w:szCs w:val="18"/>
          <w:color w:val="auto"/>
        </w:rPr>
        <w:t>In accordance with the Company’s corporate governance guidelines regarding retirement, Roberto Mendoza and Edward J. Zore are both retiring from the board of directors effective May 4, 2018, and will therefore not be seeking re-election.</w:t>
      </w:r>
    </w:p>
    <w:p>
      <w:pPr>
        <w:spacing w:after="0" w:line="7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nominating and governance committee reviewed the qualifications of the directors listed above who are seeking election or re-election and recommended to the board of directors that each be elected or re-elected to serve for an additional one-year term. The board of directors has confirmed the nominations.</w:t>
      </w:r>
    </w:p>
    <w:p>
      <w:pPr>
        <w:spacing w:after="0" w:line="83"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 director is less than the number of votes cast against the election of the director, the director is required to tender his or her resignation from the board of directors to the nominating and governance committee. The nominating and governance committee will recommend to the board of directors whether to accept or reject the tendered resignation or whether other action should be taken. Any such resignation will be effective only upon its acceptance by the board of directors. The board of directors will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126365</wp:posOffset>
            </wp:positionV>
            <wp:extent cx="300355"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27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The board of directors recommends you vote </w:t>
      </w:r>
      <w:r>
        <w:rPr>
          <w:rFonts w:ascii="Arial" w:cs="Arial" w:eastAsia="Arial" w:hAnsi="Arial"/>
          <w:sz w:val="18"/>
          <w:szCs w:val="18"/>
          <w:b w:val="1"/>
          <w:bCs w:val="1"/>
          <w:color w:val="5D89B4"/>
        </w:rPr>
        <w:t>FOR</w:t>
      </w:r>
      <w:r>
        <w:rPr>
          <w:rFonts w:ascii="Arial" w:cs="Arial" w:eastAsia="Arial" w:hAnsi="Arial"/>
          <w:sz w:val="18"/>
          <w:szCs w:val="18"/>
          <w:color w:val="auto"/>
        </w:rPr>
        <w:t xml:space="preserve"> the election of each of the nominees listed above.</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w:t>
      </w:r>
    </w:p>
    <w:p>
      <w:pPr>
        <w:sectPr>
          <w:pgSz w:w="11900" w:h="16838" w:orient="portrait"/>
          <w:cols w:equalWidth="0" w:num="1">
            <w:col w:w="11200"/>
          </w:cols>
          <w:pgMar w:left="240" w:top="455" w:right="45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Director Nominee Biographies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(Chair), 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President, US Customer Development at Unilever, a global food, personal care and household products company, since May 2017. General Manager, U.K. and Ireland, at Unilever from September 2015 to May 2017. Executive Vice President, Personal Care, at Unilever from 2011 to September 2015. President, Global Brands, of Alberto-Culver Company, a consumer goods company, from 2008 to July 2011. Prior thereto, Ms. Boswell held several leadership positions, including Senior Vice President and Chief Operating Officer-North America of Avon Products, Inc. from 2005 to 2007 and as an executive with Ford Motor Company from 1999 to 2003. A director of Wolverine World Wide, Inc. since 2013.</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right="80"/>
        <w:spacing w:after="0" w:line="251" w:lineRule="auto"/>
        <w:rPr>
          <w:sz w:val="20"/>
          <w:szCs w:val="20"/>
          <w:color w:val="auto"/>
        </w:rPr>
      </w:pPr>
      <w:r>
        <w:rPr>
          <w:rFonts w:ascii="Arial" w:cs="Arial" w:eastAsia="Arial" w:hAnsi="Arial"/>
          <w:sz w:val="18"/>
          <w:szCs w:val="18"/>
          <w:color w:val="auto"/>
        </w:rPr>
        <w:t>Ms. Boswell has significant managerial, strategic, operational, global and financial management expertise as a result of the various senior positions she has held at several companies with global operations.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President, Dominguez &amp; Associates, a management consulting firm, since January 2007. Prior thereto, Ms. Dominguez held several leadership positions within the United States government as well as in the public and private sectors, including Chair of the U.S. Equal Employment Opportunity Commission (“EEOC”) from 2001 to 2006, Partner, Heidrick &amp; Struggles, a consulting firm, from 1995 to 1998, Director, Spencer Stuart, a consulting firm, from 1993 to 1995, Assistant Secretary for Employment Standards Administration, and Director of the Office of Federal Contract Compliance Programs, U.S. Department of Labor, from 1989 to 1993. A trustee of The Calvert Funds since 2008, director of Triple-S Management Corporation since 2012 and a director with the National Association of Corporate Directors since 2013.</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right="180"/>
        <w:spacing w:after="0" w:line="242" w:lineRule="auto"/>
        <w:rPr>
          <w:sz w:val="20"/>
          <w:szCs w:val="20"/>
          <w:color w:val="auto"/>
        </w:rPr>
      </w:pPr>
      <w:r>
        <w:rPr>
          <w:rFonts w:ascii="Arial" w:cs="Arial" w:eastAsia="Arial" w:hAnsi="Arial"/>
          <w:sz w:val="18"/>
          <w:szCs w:val="18"/>
          <w:color w:val="auto"/>
        </w:rPr>
        <w:t>Ms. Dominguez has expertise in government relations and labor markets from her position as Chair of the EEOC and other various governmental positions she held. Ms. Dominguez also has managerial, international and operational experience in the human resources industry as a result of the various senior positions she held at various human resource consulting groups.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2011</w:t>
      </w:r>
    </w:p>
    <w:p>
      <w:pPr>
        <w:ind w:left="1980"/>
        <w:spacing w:after="0" w:line="234" w:lineRule="auto"/>
        <w:rPr>
          <w:sz w:val="20"/>
          <w:szCs w:val="20"/>
          <w:color w:val="auto"/>
        </w:rPr>
      </w:pPr>
      <w:r>
        <w:rPr>
          <w:rFonts w:ascii="Arial" w:cs="Arial" w:eastAsia="Arial" w:hAnsi="Arial"/>
          <w:sz w:val="18"/>
          <w:szCs w:val="18"/>
          <w:b w:val="1"/>
          <w:bCs w:val="1"/>
          <w:color w:val="auto"/>
        </w:rPr>
        <w:t xml:space="preserve">Lead Director since: </w:t>
      </w:r>
      <w:r>
        <w:rPr>
          <w:rFonts w:ascii="Arial" w:cs="Arial" w:eastAsia="Arial" w:hAnsi="Arial"/>
          <w:sz w:val="18"/>
          <w:szCs w:val="18"/>
          <w:color w:val="auto"/>
        </w:rPr>
        <w:t>2017</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Chief Executive Officer of BMO Financial Group, a highly diversified financial services provider based in North America from March 2007 to October 2017. Prior thereto, Mr. Downe held several leadership positions with BMO Financial Group and its subsidiaries, including Chief Operating Officer of BMO Financial Group from 2006 to 2007, and Deputy Chair of BMO Financial Group and Chief Executive Officer, BMO Nesbitt Burns and Head of Investment Banking Group from 2001 to 2006. A director of BMO Financial Group from 2007 to October 2017.</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right="240"/>
        <w:spacing w:after="0" w:line="251" w:lineRule="auto"/>
        <w:rPr>
          <w:sz w:val="20"/>
          <w:szCs w:val="20"/>
          <w:color w:val="auto"/>
        </w:rPr>
      </w:pPr>
      <w:r>
        <w:rPr>
          <w:rFonts w:ascii="Arial" w:cs="Arial" w:eastAsia="Arial" w:hAnsi="Arial"/>
          <w:sz w:val="18"/>
          <w:szCs w:val="18"/>
          <w:color w:val="auto"/>
        </w:rPr>
        <w:t>Mr. Downe brings to the board significant managerial, operational and global experience he gained during his tenure as Chief Executive Officer of BMO Financial Group.</w:t>
      </w:r>
    </w:p>
    <w:p>
      <w:pPr>
        <w:spacing w:after="0" w:line="3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Global Chief Operating Officer of Ernst &amp; Young (“EY”), a global professional services organization, from 2007 to January 2015. Prior thereto, Mr. Ferraro held several senior leadership positions at EY, including Global Vice Chair Audit. In addition, Mr. Ferraro served as a member of EY’s Global Executive board for more than 10 years. A director of Advance Auto Parts since 2015 and International Flavor and Fragrances, Inc. since 2015.</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right="180"/>
        <w:spacing w:after="0" w:line="251" w:lineRule="auto"/>
        <w:rPr>
          <w:sz w:val="20"/>
          <w:szCs w:val="20"/>
          <w:color w:val="auto"/>
        </w:rPr>
      </w:pPr>
      <w:r>
        <w:rPr>
          <w:rFonts w:ascii="Arial" w:cs="Arial" w:eastAsia="Arial" w:hAnsi="Arial"/>
          <w:sz w:val="18"/>
          <w:szCs w:val="18"/>
          <w:color w:val="auto"/>
        </w:rPr>
        <w:t>Mr. Ferraro brings to the board significant managerial, operational, financial and global experience he gained during his tenure as Global Chief Operating Officer of EY and the other various positions he held at EY.</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w:t>
      </w:r>
    </w:p>
    <w:p>
      <w:pPr>
        <w:sectPr>
          <w:pgSz w:w="11900" w:h="16838" w:orient="portrait"/>
          <w:cols w:equalWidth="0" w:num="1">
            <w:col w:w="11220"/>
          </w:cols>
          <w:pgMar w:left="24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Patricia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2011</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100"/>
        <w:spacing w:after="0" w:line="242" w:lineRule="auto"/>
        <w:rPr>
          <w:sz w:val="20"/>
          <w:szCs w:val="20"/>
          <w:color w:val="auto"/>
        </w:rPr>
      </w:pPr>
      <w:r>
        <w:rPr>
          <w:rFonts w:ascii="Arial" w:cs="Arial" w:eastAsia="Arial" w:hAnsi="Arial"/>
          <w:sz w:val="18"/>
          <w:szCs w:val="18"/>
          <w:color w:val="auto"/>
        </w:rPr>
        <w:t>President and Chief Executive Officer of Health Care Service Corporation (“HCSC”), a mutual health insurer, from 2008 to December 2015. Prior thereto, Ms. Hemingway Hall held several leadership positions at HCSC, including President and Chief Operating Officer from 2007 to 2008 and Executive Vice President of Internal Operations from 2006 to 2007. A director of Cardinal Health since 2013.</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right="220"/>
        <w:spacing w:after="0" w:line="251" w:lineRule="auto"/>
        <w:rPr>
          <w:sz w:val="20"/>
          <w:szCs w:val="20"/>
          <w:color w:val="auto"/>
        </w:rPr>
      </w:pPr>
      <w:r>
        <w:rPr>
          <w:rFonts w:ascii="Arial" w:cs="Arial" w:eastAsia="Arial" w:hAnsi="Arial"/>
          <w:sz w:val="18"/>
          <w:szCs w:val="18"/>
          <w:color w:val="auto"/>
        </w:rPr>
        <w:t>Ms. Hemingway Hall brings to the board significant managerial, operational, sales, marketing and government relations experience from her tenure as President and Chief Executive Officer of HCSC and the other various positions she held at HCSC.</w:t>
      </w:r>
    </w:p>
    <w:p>
      <w:pPr>
        <w:spacing w:after="0" w:line="3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140"/>
        <w:spacing w:after="0" w:line="242" w:lineRule="auto"/>
        <w:rPr>
          <w:sz w:val="20"/>
          <w:szCs w:val="20"/>
          <w:color w:val="auto"/>
        </w:rPr>
      </w:pPr>
      <w:r>
        <w:rPr>
          <w:rFonts w:ascii="Arial" w:cs="Arial" w:eastAsia="Arial" w:hAnsi="Arial"/>
          <w:sz w:val="18"/>
          <w:szCs w:val="18"/>
          <w:color w:val="auto"/>
        </w:rPr>
        <w:t>Chief Executive Officer of Navigant Consulting, Inc. (“Navigant”), a specialized global professional services firm, since 2012. Chairman of the Board of Navigant since 2014. Prior thereto, Ms. Howard held several leadership positions at Navigant including Chief Operating Officer. A director of InnerWorkings, Inc. since 2012 and a former director of Kemper Corporation from 2010 to 2015.</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right="140"/>
        <w:spacing w:after="0" w:line="242" w:lineRule="auto"/>
        <w:rPr>
          <w:sz w:val="20"/>
          <w:szCs w:val="20"/>
          <w:color w:val="auto"/>
        </w:rPr>
      </w:pPr>
      <w:r>
        <w:rPr>
          <w:rFonts w:ascii="Arial" w:cs="Arial" w:eastAsia="Arial" w:hAnsi="Arial"/>
          <w:sz w:val="18"/>
          <w:szCs w:val="18"/>
          <w:color w:val="auto"/>
        </w:rPr>
        <w:t>Ms. Howard brings to the board significant managerial and operational experience from her tenure as Chief Executive Officer of Navigant and the other various positions she held at Navigant. Ms. Howard also brings an important perspective from her service as a director on other public company boards.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Nominating and Governance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President and Managing Member of Addison-Clifton, LLC, a provider of global trade compliance advisory services, since May 2004. Prior thereto, Mr. Payne held several leadership positions, including President and Chief Executive Officer of the Milwaukee Brewers Baseball Club from 2002 to 2003 and Partner with the law firm Foley &amp; Lardner LLP from 1998 to 2002. A trustee of The Northwestern Mutual Life Insurance Company since 2005, a director of WEC Energy Group, Inc. (formerly Wisconsin Energy Corporation) since 2003 and Foot Locker, Inc. since 2016.</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jc w:val="both"/>
        <w:ind w:left="200" w:right="120"/>
        <w:spacing w:after="0" w:line="242" w:lineRule="auto"/>
        <w:rPr>
          <w:sz w:val="20"/>
          <w:szCs w:val="20"/>
          <w:color w:val="auto"/>
        </w:rPr>
      </w:pPr>
      <w:r>
        <w:rPr>
          <w:rFonts w:ascii="Arial" w:cs="Arial" w:eastAsia="Arial" w:hAnsi="Arial"/>
          <w:sz w:val="18"/>
          <w:szCs w:val="18"/>
          <w:color w:val="auto"/>
        </w:rPr>
        <w:t>Mr. Payne brings to the board significant managerial, operational, financial and global experience as a result of many senior positions he has held including as President of Addison-Clifton, LLC. The board of directors also benefits from his broad experience in and knowledge of international business.</w:t>
      </w:r>
    </w:p>
    <w:p>
      <w:pPr>
        <w:spacing w:after="0" w:line="39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Chief Executive Officer of ManpowerGroup since May 2014. Chairman of ManpowerGroup since December 2015. ManpowerGroup President from 2012 to April 2014. Executive Vice President, President of ManpowerGroup - The Americas from 2009 to October 2012. Prior thereto, Mr. Prising was the Executive Vice President, President of ManpowerGroup - United States and Canadian Operations from 2006 to 2008 and held other positions at ManpowerGroup since 1999. A director of Kohl’s Corporation since 2015.</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 Prising brings to the board a deep knowledge of ManpowerGroup and its operations from his many years of experience with the Company, including as President with responsibility for the Americas and Southern Europe and currently as Chairman and Chief Executive Officer. He also brings a deep understanding of the industry, a global perspective, having lived and worked in multiple countries around the world, and a strong knowledge of the relevant marketplaces in Europe and Asia.</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w:t>
      </w:r>
    </w:p>
    <w:p>
      <w:pPr>
        <w:sectPr>
          <w:pgSz w:w="11900" w:h="16838" w:orient="portrait"/>
          <w:cols w:equalWidth="0" w:num="1">
            <w:col w:w="11220"/>
          </w:cols>
          <w:pgMar w:left="24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60"/>
        <w:spacing w:after="0" w:line="242" w:lineRule="auto"/>
        <w:rPr>
          <w:sz w:val="20"/>
          <w:szCs w:val="20"/>
          <w:color w:val="auto"/>
        </w:rPr>
      </w:pPr>
      <w:r>
        <w:rPr>
          <w:rFonts w:ascii="Arial" w:cs="Arial" w:eastAsia="Arial" w:hAnsi="Arial"/>
          <w:sz w:val="18"/>
          <w:szCs w:val="18"/>
          <w:color w:val="auto"/>
        </w:rPr>
        <w:t>President and Chief Operating Officer of Ingram Micro, Inc., a technology distributor and supply-chain services provider, from 2013 to February 2016. Chief Financial Officer of Flextronics International, Ltd., an electronics manufacturing services provider, from 2008 to June 2013. Formerly, a director of Ingram Micro, Inc. from 2012 to 2013.</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right="260"/>
        <w:spacing w:after="0" w:line="242" w:lineRule="auto"/>
        <w:rPr>
          <w:sz w:val="20"/>
          <w:szCs w:val="20"/>
          <w:color w:val="auto"/>
        </w:rPr>
      </w:pPr>
      <w:r>
        <w:rPr>
          <w:rFonts w:ascii="Arial" w:cs="Arial" w:eastAsia="Arial" w:hAnsi="Arial"/>
          <w:sz w:val="18"/>
          <w:szCs w:val="18"/>
          <w:color w:val="auto"/>
        </w:rPr>
        <w:t>Mr. Read brings to the board significant managerial, operational, financial and global experience as a result of many senior positions he has held, including his tenure as President and Chief Operating Officer of Ingram Micro, Inc. and Chief Financial Officer of Flextronics International, Ltd.</w:t>
      </w:r>
    </w:p>
    <w:p>
      <w:pPr>
        <w:spacing w:after="0" w:line="39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2010</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280"/>
        <w:spacing w:after="0" w:line="242" w:lineRule="auto"/>
        <w:rPr>
          <w:sz w:val="20"/>
          <w:szCs w:val="20"/>
          <w:color w:val="auto"/>
        </w:rPr>
      </w:pPr>
      <w:r>
        <w:rPr>
          <w:rFonts w:ascii="Arial" w:cs="Arial" w:eastAsia="Arial" w:hAnsi="Arial"/>
          <w:sz w:val="18"/>
          <w:szCs w:val="18"/>
          <w:color w:val="auto"/>
        </w:rPr>
        <w:t>Independent Human Resource Advisor and Consultant since April 2008. Prior thereto, Ms. Sartain held several leadership positions, including Executive Vice President and Chief People Officer at Yahoo! Inc. from 2001 to 2008 and an executive with Southwest Airlines serving in various positions from 1988 to 2001. A director of Shutterfly Inc. since 2016.</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jc w:val="both"/>
        <w:ind w:left="200" w:right="180"/>
        <w:spacing w:after="0" w:line="242" w:lineRule="auto"/>
        <w:rPr>
          <w:sz w:val="20"/>
          <w:szCs w:val="20"/>
          <w:color w:val="auto"/>
        </w:rPr>
      </w:pPr>
      <w:r>
        <w:rPr>
          <w:rFonts w:ascii="Arial" w:cs="Arial" w:eastAsia="Arial" w:hAnsi="Arial"/>
          <w:sz w:val="18"/>
          <w:szCs w:val="18"/>
          <w:color w:val="auto"/>
        </w:rPr>
        <w:t>Ms. Sartain brings to the board significant human resources experience as a result of the various senior management positions she held at various multi-national companies as well as being an independent human resource advisor for many years. Ms. Sartain also brings an important perspective gained from her service as a director on other public company boards.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2017</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Senior Executive Vice President of ManpowerGroup from February 2016 to February 2017. Chief Financial Officer of ManpowerGroup from July 1998 to February 2016. Prior thereto, Mr. Van Handel held several other senior finance and accounting positions within ManpowerGroup since 1989. A director of BMO Financial Corporation, a subsidiary of BMO Financial Group, since 2006 and a Director of ICF International since June 2017. Formerly, a director of Cellular Dynamics International, Inc. from 2010 to 2015.</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Mr. Van Handel brings to the board significant managerial, operational, financial and global experience including his time as Chief Financial Officer and the other senior financial positions he held while employed at ManpowerGroup. He also brings a deep knowledge of ManpowerGroup and its operations as well as a deep understanding of the industry with his over 20 years of experience at ManpowerGroup.</w:t>
      </w:r>
    </w:p>
    <w:p>
      <w:pPr>
        <w:spacing w:after="0" w:line="39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5D89B4"/>
        </w:rPr>
        <w:t>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823595" cy="1029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1998</w:t>
      </w:r>
    </w:p>
    <w:p>
      <w:pPr>
        <w:ind w:left="198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 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Biographical Information:</w:t>
      </w:r>
    </w:p>
    <w:p>
      <w:pPr>
        <w:spacing w:after="0" w:line="20" w:lineRule="exact"/>
        <w:rPr>
          <w:sz w:val="20"/>
          <w:szCs w:val="20"/>
          <w:color w:val="auto"/>
        </w:rPr>
      </w:pPr>
    </w:p>
    <w:p>
      <w:pPr>
        <w:ind w:left="200" w:right="340"/>
        <w:spacing w:after="0"/>
        <w:rPr>
          <w:sz w:val="20"/>
          <w:szCs w:val="20"/>
          <w:color w:val="auto"/>
        </w:rPr>
      </w:pPr>
      <w:r>
        <w:rPr>
          <w:rFonts w:ascii="Arial" w:cs="Arial" w:eastAsia="Arial" w:hAnsi="Arial"/>
          <w:sz w:val="18"/>
          <w:szCs w:val="18"/>
          <w:color w:val="auto"/>
        </w:rPr>
        <w:t>Non-Executive Chairman of the Board of InnerWorkings, Inc., a global marketing execution firm, from May 2004 to June 2010. Prior thereto, he held several leadership positions, including President and Chief Operating Officer of AT&amp;T Corp. from 1996 to 1997 and Chairman, President and Chief Executive Officer of R.R. Donnelley &amp; Sons Company from 1989 through 1996. Formerly, a director of Vasco Data Securities, Inc. from 2003 to 2013 and Echo Global Logistics from 2006 to 2014.</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5D89B4"/>
        </w:rPr>
        <w:t>Qualifications:</w:t>
      </w:r>
    </w:p>
    <w:p>
      <w:pPr>
        <w:spacing w:after="0" w:line="20" w:lineRule="exact"/>
        <w:rPr>
          <w:sz w:val="20"/>
          <w:szCs w:val="20"/>
          <w:color w:val="auto"/>
        </w:rPr>
      </w:pPr>
    </w:p>
    <w:p>
      <w:pPr>
        <w:jc w:val="both"/>
        <w:ind w:left="200" w:right="20"/>
        <w:spacing w:after="0" w:line="242" w:lineRule="auto"/>
        <w:rPr>
          <w:sz w:val="20"/>
          <w:szCs w:val="20"/>
          <w:color w:val="auto"/>
        </w:rPr>
      </w:pPr>
      <w:r>
        <w:rPr>
          <w:rFonts w:ascii="Arial" w:cs="Arial" w:eastAsia="Arial" w:hAnsi="Arial"/>
          <w:sz w:val="18"/>
          <w:szCs w:val="18"/>
          <w:color w:val="auto"/>
        </w:rPr>
        <w:t>Mr. Walter brings to the board significant managerial, operational and global experience from his tenure as President and Chief Operating Officer of AT&amp;T and President and Chief Executive Officer of R.R. Donnelley &amp; Sons Company and from other senior executive positions he has held at several other companies as well as his service as a director on other public company boards.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10</w:t>
      </w:r>
    </w:p>
    <w:p>
      <w:pPr>
        <w:sectPr>
          <w:pgSz w:w="11900" w:h="16838" w:orient="portrait"/>
          <w:cols w:equalWidth="0" w:num="1">
            <w:col w:w="11140"/>
          </w:cols>
          <w:pgMar w:left="240" w:top="455" w:right="5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239"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Each director who was a director for all of 2017 attended at least 75% of the board meetings and meetings of committees on which he or she served in 2017. The board of directors held five regular meetings during 2017. The board of directors did not take action by written consent during 2017.</w:t>
      </w:r>
    </w:p>
    <w:p>
      <w:pPr>
        <w:spacing w:after="0" w:line="9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Under the Company’s corporate governance guidelines, an individual cannot be nominated for election to the board of directors after his or her 72nd birthday. Any director who turns 72 during his or her normal term will continue in office until the expiration of that term. As previously stated, Mr. Mendoza and Mr. Zore will retire from the board of directors at the end of their current term, May 4, 2018.</w:t>
      </w:r>
    </w:p>
    <w:p>
      <w:pPr>
        <w:spacing w:after="0" w:line="97"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Under ManpowerGroup’s bylaws, nominations, other than those made by the board of directors or the nominating and governance committee, must be made pursuant to timely notice in proper written form to the Secretary of ManpowerGroup. To be timely, a shareholder’s request to nominate a person for election to the board of directors at an annual meeting of shareholders, together with the written consent of such person to serve as a director, must be received by the Secretary of ManpowerGroup not less than 90 days nor more than 150 days prior to the anniversary of the annual meeting of shareholders held in the prior year.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Board Independence and Related Party Transactions</w:t>
      </w:r>
    </w:p>
    <w:p>
      <w:pPr>
        <w:spacing w:after="0" w:line="170"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color w:val="auto"/>
        </w:rPr>
        <w:t xml:space="preserve">The board of directors has adopted categorical standards for relationships deemed not to impair independence of non-employee directors to assist it in making determinations of independence. The categorical standards are included in our Corporate Governance Guidelines and are available on ManpowerGroup’s website at </w:t>
      </w:r>
      <w:r>
        <w:rPr>
          <w:rFonts w:ascii="Arial" w:cs="Arial" w:eastAsia="Arial" w:hAnsi="Arial"/>
          <w:sz w:val="18"/>
          <w:szCs w:val="18"/>
          <w:u w:val="single" w:color="auto"/>
          <w:color w:val="auto"/>
        </w:rPr>
        <w:t>http://investor.manpowergroup.com/documents.cfm</w:t>
      </w:r>
      <w:r>
        <w:rPr>
          <w:rFonts w:ascii="Arial" w:cs="Arial" w:eastAsia="Arial" w:hAnsi="Arial"/>
          <w:sz w:val="18"/>
          <w:szCs w:val="18"/>
          <w:color w:val="auto"/>
        </w:rPr>
        <w:t>. As required under the Corporate Governance Guidelines, our board of directors reviews and determines the independence of all directors on an annual basis.</w:t>
      </w:r>
    </w:p>
    <w:p>
      <w:pPr>
        <w:spacing w:after="0" w:line="103" w:lineRule="exact"/>
        <w:rPr>
          <w:sz w:val="20"/>
          <w:szCs w:val="20"/>
          <w:color w:val="auto"/>
        </w:rPr>
      </w:pPr>
    </w:p>
    <w:p>
      <w:pPr>
        <w:ind w:left="200"/>
        <w:spacing w:after="0" w:line="245" w:lineRule="auto"/>
        <w:rPr>
          <w:sz w:val="20"/>
          <w:szCs w:val="20"/>
          <w:color w:val="auto"/>
        </w:rPr>
      </w:pPr>
      <w:r>
        <w:rPr>
          <w:rFonts w:ascii="Arial" w:cs="Arial" w:eastAsia="Arial" w:hAnsi="Arial"/>
          <w:sz w:val="18"/>
          <w:szCs w:val="18"/>
          <w:color w:val="auto"/>
        </w:rPr>
        <w:t>In making its independence determinations, the nominating and governance committee evaluates the various commercial and employment transactions and relationships known to the committee that exist between ManpowerGroup and the entities with which certain of our directors or members of their immediate families are, or have been, affiliated. The nominating and governance committee also reviews any other relevant facts and circumstances regarding the nature of these relationships to determine whether other factors, regardless of the categorical standards, might compromise a director’s independence.</w:t>
      </w:r>
    </w:p>
    <w:p>
      <w:pPr>
        <w:spacing w:after="0" w:line="91" w:lineRule="exact"/>
        <w:rPr>
          <w:sz w:val="20"/>
          <w:szCs w:val="20"/>
          <w:color w:val="auto"/>
        </w:rPr>
      </w:pPr>
    </w:p>
    <w:p>
      <w:pPr>
        <w:ind w:left="200"/>
        <w:spacing w:after="0" w:line="276" w:lineRule="auto"/>
        <w:rPr>
          <w:sz w:val="20"/>
          <w:szCs w:val="20"/>
          <w:color w:val="auto"/>
        </w:rPr>
      </w:pPr>
      <w:r>
        <w:rPr>
          <w:rFonts w:ascii="Arial" w:cs="Arial" w:eastAsia="Arial" w:hAnsi="Arial"/>
          <w:sz w:val="18"/>
          <w:szCs w:val="18"/>
          <w:color w:val="auto"/>
        </w:rPr>
        <w:t>The board of directors has determined that twelve of fourteen of the current directors of ManpowerGroup are independent under the listing standards of the New York Stock Exchange after taking into account the categorical standards and the following:</w:t>
      </w:r>
    </w:p>
    <w:p>
      <w:pPr>
        <w:spacing w:after="0" w:line="78" w:lineRule="exact"/>
        <w:rPr>
          <w:sz w:val="20"/>
          <w:szCs w:val="20"/>
          <w:color w:val="auto"/>
        </w:rPr>
      </w:pPr>
    </w:p>
    <w:p>
      <w:pPr>
        <w:ind w:left="640" w:right="320" w:hanging="328"/>
        <w:spacing w:after="0" w:line="276" w:lineRule="auto"/>
        <w:tabs>
          <w:tab w:leader="none" w:pos="640" w:val="left"/>
        </w:tabs>
        <w:numPr>
          <w:ilvl w:val="0"/>
          <w:numId w:val="11"/>
        </w:numPr>
        <w:rPr>
          <w:rFonts w:ascii="Arial" w:cs="Arial" w:eastAsia="Arial" w:hAnsi="Arial"/>
          <w:sz w:val="18"/>
          <w:szCs w:val="18"/>
          <w:color w:val="5D89B4"/>
        </w:rPr>
      </w:pPr>
      <w:r>
        <w:rPr>
          <w:rFonts w:ascii="Arial" w:cs="Arial" w:eastAsia="Arial" w:hAnsi="Arial"/>
          <w:sz w:val="18"/>
          <w:szCs w:val="18"/>
          <w:color w:val="auto"/>
        </w:rPr>
        <w:t>Ms. Boswell is President, US Customer Development at Unilever, which has engaged ManpowerGroup to provide services to the company.</w:t>
      </w:r>
    </w:p>
    <w:p>
      <w:pPr>
        <w:spacing w:after="0" w:line="10" w:lineRule="exact"/>
        <w:rPr>
          <w:rFonts w:ascii="Arial" w:cs="Arial" w:eastAsia="Arial" w:hAnsi="Arial"/>
          <w:sz w:val="18"/>
          <w:szCs w:val="18"/>
          <w:color w:val="5D89B4"/>
        </w:rPr>
      </w:pPr>
    </w:p>
    <w:p>
      <w:pPr>
        <w:ind w:left="640" w:right="260" w:hanging="328"/>
        <w:spacing w:after="0" w:line="277" w:lineRule="auto"/>
        <w:tabs>
          <w:tab w:leader="none" w:pos="640" w:val="left"/>
        </w:tabs>
        <w:numPr>
          <w:ilvl w:val="0"/>
          <w:numId w:val="11"/>
        </w:numPr>
        <w:rPr>
          <w:rFonts w:ascii="Arial" w:cs="Arial" w:eastAsia="Arial" w:hAnsi="Arial"/>
          <w:sz w:val="17"/>
          <w:szCs w:val="17"/>
          <w:color w:val="5D89B4"/>
        </w:rPr>
      </w:pPr>
      <w:r>
        <w:rPr>
          <w:rFonts w:ascii="Arial" w:cs="Arial" w:eastAsia="Arial" w:hAnsi="Arial"/>
          <w:sz w:val="17"/>
          <w:szCs w:val="17"/>
          <w:color w:val="auto"/>
        </w:rPr>
        <w:t>Mr. Downe is the former President and Chief Executive Officer of BMO Financial Group, and one of its subsidiaries, BMO Harris Bank, is a party to the syndicate of banks in ManpowerGroup’s $600 million revolving credit facility, which was entered into in the ordinary course of business. In addition, BMO Financial Group has engaged ManpowerGroup to provide services to the company.</w:t>
      </w:r>
    </w:p>
    <w:p>
      <w:pPr>
        <w:spacing w:after="0" w:line="11" w:lineRule="exact"/>
        <w:rPr>
          <w:rFonts w:ascii="Arial" w:cs="Arial" w:eastAsia="Arial" w:hAnsi="Arial"/>
          <w:sz w:val="17"/>
          <w:szCs w:val="17"/>
          <w:color w:val="5D89B4"/>
        </w:rPr>
      </w:pPr>
    </w:p>
    <w:p>
      <w:pPr>
        <w:ind w:left="640" w:right="340" w:hanging="328"/>
        <w:spacing w:after="0" w:line="276" w:lineRule="auto"/>
        <w:tabs>
          <w:tab w:leader="none" w:pos="640" w:val="left"/>
        </w:tabs>
        <w:numPr>
          <w:ilvl w:val="0"/>
          <w:numId w:val="11"/>
        </w:numPr>
        <w:rPr>
          <w:rFonts w:ascii="Arial" w:cs="Arial" w:eastAsia="Arial" w:hAnsi="Arial"/>
          <w:sz w:val="18"/>
          <w:szCs w:val="18"/>
          <w:color w:val="5D89B4"/>
        </w:rPr>
      </w:pPr>
      <w:r>
        <w:rPr>
          <w:rFonts w:ascii="Arial" w:cs="Arial" w:eastAsia="Arial" w:hAnsi="Arial"/>
          <w:sz w:val="18"/>
          <w:szCs w:val="18"/>
          <w:color w:val="auto"/>
        </w:rPr>
        <w:t>Ms. Hemingway Hall is the former President and Chief Executive Officer of Health Care Service Corporation, which has engaged ManpowerGroup to provide services to the Company.</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1"/>
        </w:numPr>
        <w:rPr>
          <w:rFonts w:ascii="Arial" w:cs="Arial" w:eastAsia="Arial" w:hAnsi="Arial"/>
          <w:sz w:val="18"/>
          <w:szCs w:val="18"/>
          <w:color w:val="5D89B4"/>
        </w:rPr>
      </w:pPr>
      <w:r>
        <w:rPr>
          <w:rFonts w:ascii="Arial" w:cs="Arial" w:eastAsia="Arial" w:hAnsi="Arial"/>
          <w:sz w:val="18"/>
          <w:szCs w:val="18"/>
          <w:color w:val="auto"/>
        </w:rPr>
        <w:t>Mr. Mendoza is a director of the Western Union Company which has engaged ManpowerGroup to provide services to the company.</w:t>
      </w:r>
    </w:p>
    <w:p>
      <w:pPr>
        <w:spacing w:after="0" w:line="76" w:lineRule="exact"/>
        <w:rPr>
          <w:rFonts w:ascii="Arial" w:cs="Arial" w:eastAsia="Arial" w:hAnsi="Arial"/>
          <w:sz w:val="18"/>
          <w:szCs w:val="18"/>
          <w:color w:val="5D89B4"/>
        </w:rPr>
      </w:pPr>
    </w:p>
    <w:p>
      <w:pPr>
        <w:ind w:left="640" w:right="300" w:hanging="328"/>
        <w:spacing w:after="0" w:line="276" w:lineRule="auto"/>
        <w:tabs>
          <w:tab w:leader="none" w:pos="640" w:val="left"/>
        </w:tabs>
        <w:numPr>
          <w:ilvl w:val="0"/>
          <w:numId w:val="11"/>
        </w:numPr>
        <w:rPr>
          <w:rFonts w:ascii="Arial" w:cs="Arial" w:eastAsia="Arial" w:hAnsi="Arial"/>
          <w:sz w:val="18"/>
          <w:szCs w:val="18"/>
          <w:color w:val="5D89B4"/>
        </w:rPr>
      </w:pPr>
      <w:r>
        <w:rPr>
          <w:rFonts w:ascii="Arial" w:cs="Arial" w:eastAsia="Arial" w:hAnsi="Arial"/>
          <w:sz w:val="18"/>
          <w:szCs w:val="18"/>
          <w:color w:val="auto"/>
        </w:rPr>
        <w:t>Mr. Payne is a trustee of Northwestern Mutual. Northwestern Mutual and certain of its affiliates have engaged ManpowerGroup to provide services to the company.</w:t>
      </w:r>
    </w:p>
    <w:p>
      <w:pPr>
        <w:spacing w:after="0" w:line="10" w:lineRule="exact"/>
        <w:rPr>
          <w:rFonts w:ascii="Arial" w:cs="Arial" w:eastAsia="Arial" w:hAnsi="Arial"/>
          <w:sz w:val="18"/>
          <w:szCs w:val="18"/>
          <w:color w:val="5D89B4"/>
        </w:rPr>
      </w:pPr>
    </w:p>
    <w:p>
      <w:pPr>
        <w:ind w:left="640" w:right="220" w:hanging="328"/>
        <w:spacing w:after="0" w:line="276" w:lineRule="auto"/>
        <w:tabs>
          <w:tab w:leader="none" w:pos="640" w:val="left"/>
        </w:tabs>
        <w:numPr>
          <w:ilvl w:val="0"/>
          <w:numId w:val="11"/>
        </w:numPr>
        <w:rPr>
          <w:rFonts w:ascii="Arial" w:cs="Arial" w:eastAsia="Arial" w:hAnsi="Arial"/>
          <w:sz w:val="18"/>
          <w:szCs w:val="18"/>
          <w:color w:val="5D89B4"/>
        </w:rPr>
      </w:pPr>
      <w:r>
        <w:rPr>
          <w:rFonts w:ascii="Arial" w:cs="Arial" w:eastAsia="Arial" w:hAnsi="Arial"/>
          <w:sz w:val="18"/>
          <w:szCs w:val="18"/>
          <w:color w:val="auto"/>
        </w:rPr>
        <w:t>Mr. Read is the former President and Chief Operating Officer of Ingram Micro, Inc. which has engaged ManpowerGroup to provide services to the company.</w:t>
      </w:r>
    </w:p>
    <w:p>
      <w:pPr>
        <w:spacing w:after="0" w:line="78" w:lineRule="exact"/>
        <w:rPr>
          <w:sz w:val="20"/>
          <w:szCs w:val="20"/>
          <w:color w:val="auto"/>
        </w:rPr>
      </w:pPr>
    </w:p>
    <w:p>
      <w:pPr>
        <w:ind w:left="200" w:right="300"/>
        <w:spacing w:after="0" w:line="276" w:lineRule="auto"/>
        <w:rPr>
          <w:sz w:val="20"/>
          <w:szCs w:val="20"/>
          <w:color w:val="auto"/>
        </w:rPr>
      </w:pPr>
      <w:r>
        <w:rPr>
          <w:rFonts w:ascii="Arial" w:cs="Arial" w:eastAsia="Arial" w:hAnsi="Arial"/>
          <w:sz w:val="18"/>
          <w:szCs w:val="18"/>
          <w:color w:val="auto"/>
        </w:rPr>
        <w:t>The independent directors are Ms. Boswell, Ms. Dominguez, Mr. Downe, Mr. Ferraro, Ms. Howard, Ms. Hemingway Hall, Mr. Mendoza, Mr. Payne, Mr. Read, Ms. Sartain, Mr. Walter and Mr. Zore.</w:t>
      </w:r>
    </w:p>
    <w:p>
      <w:pPr>
        <w:spacing w:after="0" w:line="78"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Mr. Van Handel previously served as an executive officer of the company and, as such, does not currently qualify as independent under the listing rules of the New York Stock Exchange. See page 74 for further information regarding compensation Mr. Van Handel received in connection with his part-year employment by the Company in 2017.</w:t>
      </w:r>
    </w:p>
    <w:p>
      <w:pPr>
        <w:spacing w:after="0" w:line="83"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color w:val="auto"/>
        </w:rPr>
        <w:t>The nominating and governance committee will evaluate eligible shareholder-nominated candidates for election to the board of directors in accordance with the procedures described in ManpowerGroup’s bylaws and in accordance with the guidelines and considerations relating to the selection of candidates for membership on the board of directors described under the heading “Board Composition and Qualifications of Board Members.”</w:t>
      </w:r>
    </w:p>
    <w:p>
      <w:pPr>
        <w:spacing w:after="0" w:line="103" w:lineRule="exact"/>
        <w:rPr>
          <w:sz w:val="20"/>
          <w:szCs w:val="20"/>
          <w:color w:val="auto"/>
        </w:rPr>
      </w:pPr>
    </w:p>
    <w:p>
      <w:pPr>
        <w:ind w:left="200" w:right="100"/>
        <w:spacing w:after="0" w:line="276" w:lineRule="auto"/>
        <w:rPr>
          <w:sz w:val="20"/>
          <w:szCs w:val="20"/>
          <w:color w:val="auto"/>
        </w:rPr>
      </w:pPr>
      <w:r>
        <w:rPr>
          <w:rFonts w:ascii="Arial" w:cs="Arial" w:eastAsia="Arial" w:hAnsi="Arial"/>
          <w:sz w:val="18"/>
          <w:szCs w:val="18"/>
          <w:color w:val="auto"/>
        </w:rPr>
        <w:t>ManpowerGroup does not have a policy regarding board members’ attendance at the annual meeting of shareholders. All of the directors attended the 2017 annual meeting of shareholders, except Mr. Van Handel who was not a director at the time.</w:t>
      </w:r>
    </w:p>
    <w:p>
      <w:pPr>
        <w:spacing w:after="0" w:line="78"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Any interested party who wishes to communicate directly with the lead director or with the non-management directors as a group may do so by calling 1-800-210-3458. The third-party service provider that monitors this telephone number will forward a summary of all communications directed to the non-management directors to the lead director.</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12</w:t>
      </w:r>
    </w:p>
    <w:p>
      <w:pPr>
        <w:sectPr>
          <w:pgSz w:w="11900" w:h="16838" w:orient="portrait"/>
          <w:cols w:equalWidth="0" w:num="1">
            <w:col w:w="11200"/>
          </w:cols>
          <w:pgMar w:left="24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Meetings and Committees of the Board</w:t>
      </w:r>
    </w:p>
    <w:p>
      <w:pPr>
        <w:spacing w:after="0" w:line="170"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 xml:space="preserve">The board of directors has standing audit, executive compensation and human resources, and nominating and governance committees. The board of directors has adopted written charters for these committees, which are available on ManpowerGroup’s web site at </w:t>
      </w:r>
      <w:r>
        <w:rPr>
          <w:rFonts w:ascii="Arial" w:cs="Arial" w:eastAsia="Arial" w:hAnsi="Arial"/>
          <w:sz w:val="18"/>
          <w:szCs w:val="18"/>
          <w:u w:val="single" w:color="auto"/>
          <w:color w:val="auto"/>
        </w:rPr>
        <w:t>http://investor.manpowergroup.com/documents.cfm</w:t>
      </w:r>
      <w:r>
        <w:rPr>
          <w:rFonts w:ascii="Arial" w:cs="Arial" w:eastAsia="Arial" w:hAnsi="Arial"/>
          <w:sz w:val="18"/>
          <w:szCs w:val="18"/>
          <w:color w:val="auto"/>
        </w:rPr>
        <w:t>.</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the current members of each of the Committees and the number of meetings held during 2017:</w:t>
      </w:r>
    </w:p>
    <w:p>
      <w:pPr>
        <w:spacing w:after="0" w:line="242" w:lineRule="exact"/>
        <w:rPr>
          <w:sz w:val="20"/>
          <w:szCs w:val="20"/>
          <w:color w:val="auto"/>
        </w:rPr>
      </w:pPr>
    </w:p>
    <w:tbl>
      <w:tblPr>
        <w:tblLayout w:type="fixed"/>
        <w:tblInd w:w="20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5280" w:type="dxa"/>
            <w:vAlign w:val="bottom"/>
            <w:tcBorders>
              <w:top w:val="single" w:sz="8" w:color="auto"/>
            </w:tcBorders>
            <w:shd w:val="clear" w:color="auto" w:fill="9DB8D2"/>
          </w:tcPr>
          <w:p>
            <w:pPr>
              <w:spacing w:after="0"/>
              <w:rPr>
                <w:sz w:val="22"/>
                <w:szCs w:val="22"/>
                <w:color w:val="auto"/>
              </w:rPr>
            </w:pPr>
          </w:p>
        </w:tc>
        <w:tc>
          <w:tcPr>
            <w:tcW w:w="1720" w:type="dxa"/>
            <w:vAlign w:val="bottom"/>
            <w:tcBorders>
              <w:top w:val="single" w:sz="8" w:color="auto"/>
            </w:tcBorders>
            <w:shd w:val="clear" w:color="auto" w:fill="9DB8D2"/>
          </w:tcPr>
          <w:p>
            <w:pPr>
              <w:spacing w:after="0"/>
              <w:rPr>
                <w:sz w:val="22"/>
                <w:szCs w:val="22"/>
                <w:color w:val="auto"/>
              </w:rPr>
            </w:pPr>
          </w:p>
        </w:tc>
        <w:tc>
          <w:tcPr>
            <w:tcW w:w="2300" w:type="dxa"/>
            <w:vAlign w:val="bottom"/>
            <w:tcBorders>
              <w:top w:val="single" w:sz="8" w:color="auto"/>
            </w:tcBorders>
            <w:shd w:val="clear" w:color="auto" w:fill="9DB8D2"/>
          </w:tcPr>
          <w:p>
            <w:pPr>
              <w:jc w:val="center"/>
              <w:ind w:left="2"/>
              <w:spacing w:after="0"/>
              <w:rPr>
                <w:sz w:val="20"/>
                <w:szCs w:val="20"/>
                <w:color w:val="auto"/>
              </w:rPr>
            </w:pPr>
            <w:r>
              <w:rPr>
                <w:rFonts w:ascii="Arial" w:cs="Arial" w:eastAsia="Arial" w:hAnsi="Arial"/>
                <w:sz w:val="14"/>
                <w:szCs w:val="14"/>
                <w:b w:val="1"/>
                <w:bCs w:val="1"/>
                <w:color w:val="auto"/>
              </w:rPr>
              <w:t>Executive</w:t>
            </w:r>
          </w:p>
        </w:tc>
        <w:tc>
          <w:tcPr>
            <w:tcW w:w="1720" w:type="dxa"/>
            <w:vAlign w:val="bottom"/>
            <w:tcBorders>
              <w:top w:val="single" w:sz="8" w:color="auto"/>
            </w:tcBorders>
            <w:shd w:val="clear" w:color="auto" w:fill="9DB8D2"/>
          </w:tcPr>
          <w:p>
            <w:pPr>
              <w:spacing w:after="0"/>
              <w:rPr>
                <w:sz w:val="22"/>
                <w:szCs w:val="22"/>
                <w:color w:val="auto"/>
              </w:rPr>
            </w:pPr>
          </w:p>
        </w:tc>
      </w:tr>
      <w:tr>
        <w:trPr>
          <w:trHeight w:val="162"/>
        </w:trPr>
        <w:tc>
          <w:tcPr>
            <w:tcW w:w="20" w:type="dxa"/>
            <w:vAlign w:val="bottom"/>
          </w:tcPr>
          <w:p>
            <w:pPr>
              <w:spacing w:after="0"/>
              <w:rPr>
                <w:sz w:val="14"/>
                <w:szCs w:val="14"/>
                <w:color w:val="auto"/>
              </w:rPr>
            </w:pPr>
          </w:p>
        </w:tc>
        <w:tc>
          <w:tcPr>
            <w:tcW w:w="5280" w:type="dxa"/>
            <w:vAlign w:val="bottom"/>
            <w:shd w:val="clear" w:color="auto" w:fill="9DB8D2"/>
          </w:tcPr>
          <w:p>
            <w:pPr>
              <w:spacing w:after="0"/>
              <w:rPr>
                <w:sz w:val="14"/>
                <w:szCs w:val="14"/>
                <w:color w:val="auto"/>
              </w:rPr>
            </w:pPr>
          </w:p>
        </w:tc>
        <w:tc>
          <w:tcPr>
            <w:tcW w:w="1720" w:type="dxa"/>
            <w:vAlign w:val="bottom"/>
            <w:shd w:val="clear" w:color="auto" w:fill="9DB8D2"/>
          </w:tcPr>
          <w:p>
            <w:pPr>
              <w:spacing w:after="0"/>
              <w:rPr>
                <w:sz w:val="14"/>
                <w:szCs w:val="14"/>
                <w:color w:val="auto"/>
              </w:rPr>
            </w:pPr>
          </w:p>
        </w:tc>
        <w:tc>
          <w:tcPr>
            <w:tcW w:w="2300" w:type="dxa"/>
            <w:vAlign w:val="bottom"/>
            <w:shd w:val="clear" w:color="auto" w:fill="9DB8D2"/>
          </w:tcPr>
          <w:p>
            <w:pPr>
              <w:jc w:val="center"/>
              <w:ind w:left="2"/>
              <w:spacing w:after="0"/>
              <w:rPr>
                <w:sz w:val="20"/>
                <w:szCs w:val="20"/>
                <w:color w:val="auto"/>
              </w:rPr>
            </w:pPr>
            <w:r>
              <w:rPr>
                <w:rFonts w:ascii="Arial" w:cs="Arial" w:eastAsia="Arial" w:hAnsi="Arial"/>
                <w:sz w:val="14"/>
                <w:szCs w:val="14"/>
                <w:b w:val="1"/>
                <w:bCs w:val="1"/>
                <w:color w:val="auto"/>
              </w:rPr>
              <w:t>Compensation and</w:t>
            </w:r>
          </w:p>
        </w:tc>
        <w:tc>
          <w:tcPr>
            <w:tcW w:w="1720" w:type="dxa"/>
            <w:vAlign w:val="bottom"/>
            <w:shd w:val="clear" w:color="auto" w:fill="9DB8D2"/>
          </w:tcPr>
          <w:p>
            <w:pPr>
              <w:jc w:val="center"/>
              <w:ind w:left="241"/>
              <w:spacing w:after="0"/>
              <w:rPr>
                <w:sz w:val="20"/>
                <w:szCs w:val="20"/>
                <w:color w:val="auto"/>
              </w:rPr>
            </w:pPr>
            <w:r>
              <w:rPr>
                <w:rFonts w:ascii="Arial" w:cs="Arial" w:eastAsia="Arial" w:hAnsi="Arial"/>
                <w:sz w:val="14"/>
                <w:szCs w:val="14"/>
                <w:b w:val="1"/>
                <w:bCs w:val="1"/>
                <w:color w:val="auto"/>
              </w:rPr>
              <w:t>Nominating and</w:t>
            </w:r>
          </w:p>
        </w:tc>
      </w:tr>
      <w:tr>
        <w:trPr>
          <w:trHeight w:val="177"/>
        </w:trPr>
        <w:tc>
          <w:tcPr>
            <w:tcW w:w="20" w:type="dxa"/>
            <w:vAlign w:val="bottom"/>
          </w:tcPr>
          <w:p>
            <w:pPr>
              <w:spacing w:after="0"/>
              <w:rPr>
                <w:sz w:val="15"/>
                <w:szCs w:val="15"/>
                <w:color w:val="auto"/>
              </w:rPr>
            </w:pPr>
          </w:p>
        </w:tc>
        <w:tc>
          <w:tcPr>
            <w:tcW w:w="5280" w:type="dxa"/>
            <w:vAlign w:val="bottom"/>
            <w:tcBorders>
              <w:bottom w:val="single" w:sz="8" w:color="auto"/>
            </w:tcBorders>
            <w:shd w:val="clear" w:color="auto" w:fill="9DB8D2"/>
          </w:tcPr>
          <w:p>
            <w:pPr>
              <w:spacing w:after="0"/>
              <w:rPr>
                <w:sz w:val="15"/>
                <w:szCs w:val="15"/>
                <w:color w:val="auto"/>
              </w:rPr>
            </w:pPr>
          </w:p>
        </w:tc>
        <w:tc>
          <w:tcPr>
            <w:tcW w:w="1720" w:type="dxa"/>
            <w:vAlign w:val="bottom"/>
            <w:tcBorders>
              <w:bottom w:val="single" w:sz="8" w:color="auto"/>
            </w:tcBorders>
            <w:shd w:val="clear" w:color="auto" w:fill="9DB8D2"/>
          </w:tcPr>
          <w:p>
            <w:pPr>
              <w:ind w:left="800"/>
              <w:spacing w:after="0"/>
              <w:rPr>
                <w:sz w:val="20"/>
                <w:szCs w:val="20"/>
                <w:color w:val="auto"/>
              </w:rPr>
            </w:pPr>
            <w:r>
              <w:rPr>
                <w:rFonts w:ascii="Arial" w:cs="Arial" w:eastAsia="Arial" w:hAnsi="Arial"/>
                <w:sz w:val="14"/>
                <w:szCs w:val="14"/>
                <w:b w:val="1"/>
                <w:bCs w:val="1"/>
                <w:color w:val="auto"/>
              </w:rPr>
              <w:t>Audit</w:t>
            </w:r>
          </w:p>
        </w:tc>
        <w:tc>
          <w:tcPr>
            <w:tcW w:w="2300" w:type="dxa"/>
            <w:vAlign w:val="bottom"/>
            <w:tcBorders>
              <w:bottom w:val="single" w:sz="8" w:color="auto"/>
            </w:tcBorders>
            <w:shd w:val="clear" w:color="auto" w:fill="9DB8D2"/>
          </w:tcPr>
          <w:p>
            <w:pPr>
              <w:jc w:val="center"/>
              <w:ind w:left="2"/>
              <w:spacing w:after="0"/>
              <w:rPr>
                <w:sz w:val="20"/>
                <w:szCs w:val="20"/>
                <w:color w:val="auto"/>
              </w:rPr>
            </w:pPr>
            <w:r>
              <w:rPr>
                <w:rFonts w:ascii="Arial" w:cs="Arial" w:eastAsia="Arial" w:hAnsi="Arial"/>
                <w:sz w:val="14"/>
                <w:szCs w:val="14"/>
                <w:b w:val="1"/>
                <w:bCs w:val="1"/>
                <w:color w:val="auto"/>
              </w:rPr>
              <w:t>Human Resources</w:t>
            </w:r>
          </w:p>
        </w:tc>
        <w:tc>
          <w:tcPr>
            <w:tcW w:w="1720" w:type="dxa"/>
            <w:vAlign w:val="bottom"/>
            <w:tcBorders>
              <w:bottom w:val="single" w:sz="8" w:color="auto"/>
            </w:tcBorders>
            <w:shd w:val="clear" w:color="auto" w:fill="9DB8D2"/>
          </w:tcPr>
          <w:p>
            <w:pPr>
              <w:jc w:val="center"/>
              <w:ind w:left="241"/>
              <w:spacing w:after="0"/>
              <w:rPr>
                <w:sz w:val="20"/>
                <w:szCs w:val="20"/>
                <w:color w:val="auto"/>
              </w:rPr>
            </w:pPr>
            <w:r>
              <w:rPr>
                <w:rFonts w:ascii="Arial" w:cs="Arial" w:eastAsia="Arial" w:hAnsi="Arial"/>
                <w:sz w:val="14"/>
                <w:szCs w:val="14"/>
                <w:b w:val="1"/>
                <w:bCs w:val="1"/>
                <w:color w:val="auto"/>
              </w:rPr>
              <w:t>Governance</w:t>
            </w:r>
          </w:p>
        </w:tc>
      </w:tr>
      <w:tr>
        <w:trPr>
          <w:trHeight w:val="196"/>
        </w:trPr>
        <w:tc>
          <w:tcPr>
            <w:tcW w:w="20" w:type="dxa"/>
            <w:vAlign w:val="bottom"/>
          </w:tcPr>
          <w:p>
            <w:pPr>
              <w:spacing w:after="0"/>
              <w:rPr>
                <w:sz w:val="17"/>
                <w:szCs w:val="17"/>
                <w:color w:val="auto"/>
              </w:rPr>
            </w:pPr>
          </w:p>
        </w:tc>
        <w:tc>
          <w:tcPr>
            <w:tcW w:w="5280" w:type="dxa"/>
            <w:vAlign w:val="bottom"/>
            <w:shd w:val="clear" w:color="auto" w:fill="E6EDF3"/>
          </w:tcPr>
          <w:p>
            <w:pPr>
              <w:ind w:left="60"/>
              <w:spacing w:after="0"/>
              <w:rPr>
                <w:sz w:val="20"/>
                <w:szCs w:val="20"/>
                <w:color w:val="auto"/>
              </w:rPr>
            </w:pPr>
            <w:r>
              <w:rPr>
                <w:rFonts w:ascii="Arial" w:cs="Arial" w:eastAsia="Arial" w:hAnsi="Arial"/>
                <w:sz w:val="16"/>
                <w:szCs w:val="16"/>
                <w:color w:val="auto"/>
              </w:rPr>
              <w:t>Gina R. Boswell(1)</w:t>
            </w:r>
          </w:p>
        </w:tc>
        <w:tc>
          <w:tcPr>
            <w:tcW w:w="1720" w:type="dxa"/>
            <w:vAlign w:val="bottom"/>
            <w:shd w:val="clear" w:color="auto" w:fill="E6EDF3"/>
          </w:tcPr>
          <w:p>
            <w:pPr>
              <w:ind w:left="800"/>
              <w:spacing w:after="0"/>
              <w:rPr>
                <w:sz w:val="20"/>
                <w:szCs w:val="20"/>
                <w:color w:val="auto"/>
              </w:rPr>
            </w:pPr>
            <w:r>
              <w:rPr>
                <w:rFonts w:ascii="Arial" w:cs="Arial" w:eastAsia="Arial" w:hAnsi="Arial"/>
                <w:sz w:val="16"/>
                <w:szCs w:val="16"/>
                <w:color w:val="auto"/>
              </w:rPr>
              <w:t>Chair</w:t>
            </w:r>
          </w:p>
        </w:tc>
        <w:tc>
          <w:tcPr>
            <w:tcW w:w="2300" w:type="dxa"/>
            <w:vAlign w:val="bottom"/>
            <w:shd w:val="clear" w:color="auto" w:fill="E6EDF3"/>
          </w:tcPr>
          <w:p>
            <w:pPr>
              <w:spacing w:after="0"/>
              <w:rPr>
                <w:sz w:val="17"/>
                <w:szCs w:val="17"/>
                <w:color w:val="auto"/>
              </w:rPr>
            </w:pPr>
          </w:p>
        </w:tc>
        <w:tc>
          <w:tcPr>
            <w:tcW w:w="1720" w:type="dxa"/>
            <w:vAlign w:val="bottom"/>
            <w:shd w:val="clear" w:color="auto" w:fill="E6EDF3"/>
          </w:tcPr>
          <w:p>
            <w:pPr>
              <w:jc w:val="center"/>
              <w:ind w:left="261"/>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 w:type="dxa"/>
            <w:vAlign w:val="bottom"/>
          </w:tcPr>
          <w:p>
            <w:pPr>
              <w:spacing w:after="0"/>
              <w:rPr>
                <w:sz w:val="17"/>
                <w:szCs w:val="17"/>
                <w:color w:val="auto"/>
              </w:rPr>
            </w:pPr>
          </w:p>
        </w:tc>
        <w:tc>
          <w:tcPr>
            <w:tcW w:w="5280" w:type="dxa"/>
            <w:vAlign w:val="bottom"/>
          </w:tcPr>
          <w:p>
            <w:pPr>
              <w:ind w:left="60"/>
              <w:spacing w:after="0"/>
              <w:rPr>
                <w:sz w:val="20"/>
                <w:szCs w:val="20"/>
                <w:color w:val="auto"/>
              </w:rPr>
            </w:pPr>
            <w:r>
              <w:rPr>
                <w:rFonts w:ascii="Arial" w:cs="Arial" w:eastAsia="Arial" w:hAnsi="Arial"/>
                <w:sz w:val="16"/>
                <w:szCs w:val="16"/>
                <w:color w:val="auto"/>
              </w:rPr>
              <w:t>Cari M. Dominguez</w:t>
            </w:r>
          </w:p>
        </w:tc>
        <w:tc>
          <w:tcPr>
            <w:tcW w:w="1720" w:type="dxa"/>
            <w:vAlign w:val="bottom"/>
          </w:tcPr>
          <w:p>
            <w:pPr>
              <w:spacing w:after="0"/>
              <w:rPr>
                <w:sz w:val="17"/>
                <w:szCs w:val="17"/>
                <w:color w:val="auto"/>
              </w:rPr>
            </w:pPr>
          </w:p>
        </w:tc>
        <w:tc>
          <w:tcPr>
            <w:tcW w:w="2300" w:type="dxa"/>
            <w:vAlign w:val="bottom"/>
          </w:tcPr>
          <w:p>
            <w:pPr>
              <w:jc w:val="center"/>
              <w:ind w:left="2"/>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E6EDF3"/>
          </w:tcPr>
          <w:p>
            <w:pPr>
              <w:ind w:left="60"/>
              <w:spacing w:after="0"/>
              <w:rPr>
                <w:sz w:val="20"/>
                <w:szCs w:val="20"/>
                <w:color w:val="auto"/>
              </w:rPr>
            </w:pPr>
            <w:r>
              <w:rPr>
                <w:rFonts w:ascii="Arial" w:cs="Arial" w:eastAsia="Arial" w:hAnsi="Arial"/>
                <w:sz w:val="16"/>
                <w:szCs w:val="16"/>
                <w:color w:val="auto"/>
              </w:rPr>
              <w:t>William Downe(2)</w:t>
            </w:r>
          </w:p>
        </w:tc>
        <w:tc>
          <w:tcPr>
            <w:tcW w:w="1720" w:type="dxa"/>
            <w:vAlign w:val="bottom"/>
            <w:shd w:val="clear" w:color="auto" w:fill="E6EDF3"/>
          </w:tcPr>
          <w:p>
            <w:pPr>
              <w:spacing w:after="0"/>
              <w:rPr>
                <w:sz w:val="17"/>
                <w:szCs w:val="17"/>
                <w:color w:val="auto"/>
              </w:rPr>
            </w:pPr>
          </w:p>
        </w:tc>
        <w:tc>
          <w:tcPr>
            <w:tcW w:w="2300" w:type="dxa"/>
            <w:vAlign w:val="bottom"/>
            <w:shd w:val="clear" w:color="auto" w:fill="E6EDF3"/>
          </w:tcPr>
          <w:p>
            <w:pPr>
              <w:jc w:val="center"/>
              <w:ind w:left="2"/>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shd w:val="clear" w:color="auto" w:fill="E6EDF3"/>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60"/>
              <w:spacing w:after="0"/>
              <w:rPr>
                <w:sz w:val="20"/>
                <w:szCs w:val="20"/>
                <w:color w:val="auto"/>
              </w:rPr>
            </w:pPr>
            <w:r>
              <w:rPr>
                <w:rFonts w:ascii="Arial" w:cs="Arial" w:eastAsia="Arial" w:hAnsi="Arial"/>
                <w:sz w:val="16"/>
                <w:szCs w:val="16"/>
                <w:color w:val="auto"/>
              </w:rPr>
              <w:t>John F. Ferraro</w:t>
            </w:r>
          </w:p>
        </w:tc>
        <w:tc>
          <w:tcPr>
            <w:tcW w:w="1720" w:type="dxa"/>
            <w:vAlign w:val="bottom"/>
          </w:tcPr>
          <w:p>
            <w:pPr>
              <w:jc w:val="center"/>
              <w:ind w:left="180"/>
              <w:spacing w:after="0" w:line="161" w:lineRule="exact"/>
              <w:rPr>
                <w:sz w:val="20"/>
                <w:szCs w:val="20"/>
                <w:color w:val="auto"/>
              </w:rPr>
            </w:pPr>
            <w:r>
              <w:rPr>
                <w:rFonts w:ascii="MS PGothic" w:cs="MS PGothic" w:eastAsia="MS PGothic" w:hAnsi="MS PGothic"/>
                <w:sz w:val="16"/>
                <w:szCs w:val="16"/>
                <w:color w:val="auto"/>
                <w:w w:val="87"/>
              </w:rPr>
              <w:t>✓</w:t>
            </w:r>
          </w:p>
        </w:tc>
        <w:tc>
          <w:tcPr>
            <w:tcW w:w="2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E6EDF3"/>
          </w:tcPr>
          <w:p>
            <w:pPr>
              <w:ind w:left="60"/>
              <w:spacing w:after="0"/>
              <w:rPr>
                <w:sz w:val="20"/>
                <w:szCs w:val="20"/>
                <w:color w:val="auto"/>
              </w:rPr>
            </w:pPr>
            <w:r>
              <w:rPr>
                <w:rFonts w:ascii="Arial" w:cs="Arial" w:eastAsia="Arial" w:hAnsi="Arial"/>
                <w:sz w:val="16"/>
                <w:szCs w:val="16"/>
                <w:color w:val="auto"/>
              </w:rPr>
              <w:t>Patricia Hemingway Hall(3)</w:t>
            </w:r>
          </w:p>
        </w:tc>
        <w:tc>
          <w:tcPr>
            <w:tcW w:w="1720" w:type="dxa"/>
            <w:vAlign w:val="bottom"/>
            <w:shd w:val="clear" w:color="auto" w:fill="E6EDF3"/>
          </w:tcPr>
          <w:p>
            <w:pPr>
              <w:jc w:val="center"/>
              <w:ind w:left="180"/>
              <w:spacing w:after="0" w:line="161" w:lineRule="exact"/>
              <w:rPr>
                <w:sz w:val="20"/>
                <w:szCs w:val="20"/>
                <w:color w:val="auto"/>
              </w:rPr>
            </w:pPr>
            <w:r>
              <w:rPr>
                <w:rFonts w:ascii="MS PGothic" w:cs="MS PGothic" w:eastAsia="MS PGothic" w:hAnsi="MS PGothic"/>
                <w:sz w:val="16"/>
                <w:szCs w:val="16"/>
                <w:color w:val="auto"/>
                <w:w w:val="87"/>
              </w:rPr>
              <w:t>✓</w:t>
            </w:r>
          </w:p>
        </w:tc>
        <w:tc>
          <w:tcPr>
            <w:tcW w:w="2300" w:type="dxa"/>
            <w:vAlign w:val="bottom"/>
            <w:shd w:val="clear" w:color="auto" w:fill="E6EDF3"/>
          </w:tcPr>
          <w:p>
            <w:pPr>
              <w:spacing w:after="0"/>
              <w:rPr>
                <w:sz w:val="17"/>
                <w:szCs w:val="17"/>
                <w:color w:val="auto"/>
              </w:rPr>
            </w:pPr>
          </w:p>
        </w:tc>
        <w:tc>
          <w:tcPr>
            <w:tcW w:w="1720" w:type="dxa"/>
            <w:vAlign w:val="bottom"/>
            <w:shd w:val="clear" w:color="auto" w:fill="E6EDF3"/>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60"/>
              <w:spacing w:after="0"/>
              <w:rPr>
                <w:sz w:val="20"/>
                <w:szCs w:val="20"/>
                <w:color w:val="auto"/>
              </w:rPr>
            </w:pPr>
            <w:r>
              <w:rPr>
                <w:rFonts w:ascii="Arial" w:cs="Arial" w:eastAsia="Arial" w:hAnsi="Arial"/>
                <w:sz w:val="16"/>
                <w:szCs w:val="16"/>
                <w:color w:val="auto"/>
              </w:rPr>
              <w:t>Julie M. Howard(4)</w:t>
            </w:r>
          </w:p>
        </w:tc>
        <w:tc>
          <w:tcPr>
            <w:tcW w:w="1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720" w:type="dxa"/>
            <w:vAlign w:val="bottom"/>
          </w:tcPr>
          <w:p>
            <w:pPr>
              <w:jc w:val="center"/>
              <w:ind w:left="261"/>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 w:type="dxa"/>
            <w:vAlign w:val="bottom"/>
          </w:tcPr>
          <w:p>
            <w:pPr>
              <w:spacing w:after="0"/>
              <w:rPr>
                <w:sz w:val="17"/>
                <w:szCs w:val="17"/>
                <w:color w:val="auto"/>
              </w:rPr>
            </w:pPr>
          </w:p>
        </w:tc>
        <w:tc>
          <w:tcPr>
            <w:tcW w:w="5280" w:type="dxa"/>
            <w:vAlign w:val="bottom"/>
            <w:shd w:val="clear" w:color="auto" w:fill="E6EDF3"/>
          </w:tcPr>
          <w:p>
            <w:pPr>
              <w:ind w:left="60"/>
              <w:spacing w:after="0"/>
              <w:rPr>
                <w:sz w:val="20"/>
                <w:szCs w:val="20"/>
                <w:color w:val="auto"/>
              </w:rPr>
            </w:pPr>
            <w:r>
              <w:rPr>
                <w:rFonts w:ascii="Arial" w:cs="Arial" w:eastAsia="Arial" w:hAnsi="Arial"/>
                <w:sz w:val="16"/>
                <w:szCs w:val="16"/>
                <w:color w:val="auto"/>
              </w:rPr>
              <w:t>Roberto Mendoza(5)</w:t>
            </w:r>
          </w:p>
        </w:tc>
        <w:tc>
          <w:tcPr>
            <w:tcW w:w="1720" w:type="dxa"/>
            <w:vAlign w:val="bottom"/>
            <w:shd w:val="clear" w:color="auto" w:fill="E6EDF3"/>
          </w:tcPr>
          <w:p>
            <w:pPr>
              <w:jc w:val="center"/>
              <w:ind w:left="180"/>
              <w:spacing w:after="0" w:line="161" w:lineRule="exact"/>
              <w:rPr>
                <w:sz w:val="20"/>
                <w:szCs w:val="20"/>
                <w:color w:val="auto"/>
              </w:rPr>
            </w:pPr>
            <w:r>
              <w:rPr>
                <w:rFonts w:ascii="MS PGothic" w:cs="MS PGothic" w:eastAsia="MS PGothic" w:hAnsi="MS PGothic"/>
                <w:sz w:val="16"/>
                <w:szCs w:val="16"/>
                <w:color w:val="auto"/>
                <w:w w:val="87"/>
              </w:rPr>
              <w:t>✓</w:t>
            </w:r>
          </w:p>
        </w:tc>
        <w:tc>
          <w:tcPr>
            <w:tcW w:w="2300" w:type="dxa"/>
            <w:vAlign w:val="bottom"/>
            <w:shd w:val="clear" w:color="auto" w:fill="E6EDF3"/>
          </w:tcPr>
          <w:p>
            <w:pPr>
              <w:spacing w:after="0"/>
              <w:rPr>
                <w:sz w:val="17"/>
                <w:szCs w:val="17"/>
                <w:color w:val="auto"/>
              </w:rPr>
            </w:pPr>
          </w:p>
        </w:tc>
        <w:tc>
          <w:tcPr>
            <w:tcW w:w="1720" w:type="dxa"/>
            <w:vAlign w:val="bottom"/>
            <w:shd w:val="clear" w:color="auto" w:fill="E6EDF3"/>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60"/>
              <w:spacing w:after="0"/>
              <w:rPr>
                <w:sz w:val="20"/>
                <w:szCs w:val="20"/>
                <w:color w:val="auto"/>
              </w:rPr>
            </w:pPr>
            <w:r>
              <w:rPr>
                <w:rFonts w:ascii="Arial" w:cs="Arial" w:eastAsia="Arial" w:hAnsi="Arial"/>
                <w:sz w:val="16"/>
                <w:szCs w:val="16"/>
                <w:color w:val="auto"/>
              </w:rPr>
              <w:t>Ulice Payne, Jr.(3)</w:t>
            </w:r>
          </w:p>
        </w:tc>
        <w:tc>
          <w:tcPr>
            <w:tcW w:w="1720" w:type="dxa"/>
            <w:vAlign w:val="bottom"/>
          </w:tcPr>
          <w:p>
            <w:pPr>
              <w:jc w:val="center"/>
              <w:ind w:left="180"/>
              <w:spacing w:after="0" w:line="161" w:lineRule="exact"/>
              <w:rPr>
                <w:sz w:val="20"/>
                <w:szCs w:val="20"/>
                <w:color w:val="auto"/>
              </w:rPr>
            </w:pPr>
            <w:r>
              <w:rPr>
                <w:rFonts w:ascii="MS PGothic" w:cs="MS PGothic" w:eastAsia="MS PGothic" w:hAnsi="MS PGothic"/>
                <w:sz w:val="16"/>
                <w:szCs w:val="16"/>
                <w:color w:val="auto"/>
                <w:w w:val="87"/>
              </w:rPr>
              <w:t>✓</w:t>
            </w:r>
          </w:p>
        </w:tc>
        <w:tc>
          <w:tcPr>
            <w:tcW w:w="2300" w:type="dxa"/>
            <w:vAlign w:val="bottom"/>
          </w:tcPr>
          <w:p>
            <w:pPr>
              <w:spacing w:after="0"/>
              <w:rPr>
                <w:sz w:val="17"/>
                <w:szCs w:val="17"/>
                <w:color w:val="auto"/>
              </w:rPr>
            </w:pPr>
          </w:p>
        </w:tc>
        <w:tc>
          <w:tcPr>
            <w:tcW w:w="1720" w:type="dxa"/>
            <w:vAlign w:val="bottom"/>
          </w:tcPr>
          <w:p>
            <w:pPr>
              <w:jc w:val="center"/>
              <w:ind w:left="241"/>
              <w:spacing w:after="0"/>
              <w:rPr>
                <w:sz w:val="20"/>
                <w:szCs w:val="20"/>
                <w:color w:val="auto"/>
              </w:rPr>
            </w:pPr>
            <w:r>
              <w:rPr>
                <w:rFonts w:ascii="Arial" w:cs="Arial" w:eastAsia="Arial" w:hAnsi="Arial"/>
                <w:sz w:val="16"/>
                <w:szCs w:val="16"/>
                <w:color w:val="auto"/>
              </w:rPr>
              <w:t>Chair</w:t>
            </w:r>
          </w:p>
        </w:tc>
      </w:tr>
      <w:tr>
        <w:trPr>
          <w:trHeight w:val="203"/>
        </w:trPr>
        <w:tc>
          <w:tcPr>
            <w:tcW w:w="20" w:type="dxa"/>
            <w:vAlign w:val="bottom"/>
          </w:tcPr>
          <w:p>
            <w:pPr>
              <w:spacing w:after="0"/>
              <w:rPr>
                <w:sz w:val="17"/>
                <w:szCs w:val="17"/>
                <w:color w:val="auto"/>
              </w:rPr>
            </w:pPr>
          </w:p>
        </w:tc>
        <w:tc>
          <w:tcPr>
            <w:tcW w:w="5280" w:type="dxa"/>
            <w:vAlign w:val="bottom"/>
            <w:shd w:val="clear" w:color="auto" w:fill="E6EDF3"/>
          </w:tcPr>
          <w:p>
            <w:pPr>
              <w:ind w:left="60"/>
              <w:spacing w:after="0"/>
              <w:rPr>
                <w:sz w:val="20"/>
                <w:szCs w:val="20"/>
                <w:color w:val="auto"/>
              </w:rPr>
            </w:pPr>
            <w:r>
              <w:rPr>
                <w:rFonts w:ascii="Arial" w:cs="Arial" w:eastAsia="Arial" w:hAnsi="Arial"/>
                <w:sz w:val="16"/>
                <w:szCs w:val="16"/>
                <w:color w:val="auto"/>
              </w:rPr>
              <w:t>Paul Read(1)</w:t>
            </w:r>
          </w:p>
        </w:tc>
        <w:tc>
          <w:tcPr>
            <w:tcW w:w="1720" w:type="dxa"/>
            <w:vAlign w:val="bottom"/>
            <w:shd w:val="clear" w:color="auto" w:fill="E6EDF3"/>
          </w:tcPr>
          <w:p>
            <w:pPr>
              <w:jc w:val="center"/>
              <w:ind w:left="180"/>
              <w:spacing w:after="0" w:line="161" w:lineRule="exact"/>
              <w:rPr>
                <w:sz w:val="20"/>
                <w:szCs w:val="20"/>
                <w:color w:val="auto"/>
              </w:rPr>
            </w:pPr>
            <w:r>
              <w:rPr>
                <w:rFonts w:ascii="MS PGothic" w:cs="MS PGothic" w:eastAsia="MS PGothic" w:hAnsi="MS PGothic"/>
                <w:sz w:val="16"/>
                <w:szCs w:val="16"/>
                <w:color w:val="auto"/>
                <w:w w:val="87"/>
              </w:rPr>
              <w:t>✓</w:t>
            </w:r>
          </w:p>
        </w:tc>
        <w:tc>
          <w:tcPr>
            <w:tcW w:w="2300" w:type="dxa"/>
            <w:vAlign w:val="bottom"/>
            <w:shd w:val="clear" w:color="auto" w:fill="E6EDF3"/>
          </w:tcPr>
          <w:p>
            <w:pPr>
              <w:spacing w:after="0"/>
              <w:rPr>
                <w:sz w:val="17"/>
                <w:szCs w:val="17"/>
                <w:color w:val="auto"/>
              </w:rPr>
            </w:pPr>
          </w:p>
        </w:tc>
        <w:tc>
          <w:tcPr>
            <w:tcW w:w="1720" w:type="dxa"/>
            <w:vAlign w:val="bottom"/>
            <w:shd w:val="clear" w:color="auto" w:fill="E6EDF3"/>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60"/>
              <w:spacing w:after="0"/>
              <w:rPr>
                <w:sz w:val="20"/>
                <w:szCs w:val="20"/>
                <w:color w:val="auto"/>
              </w:rPr>
            </w:pPr>
            <w:r>
              <w:rPr>
                <w:rFonts w:ascii="Arial" w:cs="Arial" w:eastAsia="Arial" w:hAnsi="Arial"/>
                <w:sz w:val="16"/>
                <w:szCs w:val="16"/>
                <w:color w:val="auto"/>
              </w:rPr>
              <w:t>Elizabeth P. Sartain</w:t>
            </w:r>
          </w:p>
        </w:tc>
        <w:tc>
          <w:tcPr>
            <w:tcW w:w="1720" w:type="dxa"/>
            <w:vAlign w:val="bottom"/>
          </w:tcPr>
          <w:p>
            <w:pPr>
              <w:spacing w:after="0"/>
              <w:rPr>
                <w:sz w:val="17"/>
                <w:szCs w:val="17"/>
                <w:color w:val="auto"/>
              </w:rPr>
            </w:pPr>
          </w:p>
        </w:tc>
        <w:tc>
          <w:tcPr>
            <w:tcW w:w="2300" w:type="dxa"/>
            <w:vAlign w:val="bottom"/>
          </w:tcPr>
          <w:p>
            <w:pPr>
              <w:jc w:val="center"/>
              <w:ind w:left="2"/>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E6EDF3"/>
          </w:tcPr>
          <w:p>
            <w:pPr>
              <w:ind w:left="60"/>
              <w:spacing w:after="0"/>
              <w:rPr>
                <w:sz w:val="20"/>
                <w:szCs w:val="20"/>
                <w:color w:val="auto"/>
              </w:rPr>
            </w:pPr>
            <w:r>
              <w:rPr>
                <w:rFonts w:ascii="Arial" w:cs="Arial" w:eastAsia="Arial" w:hAnsi="Arial"/>
                <w:sz w:val="16"/>
                <w:szCs w:val="16"/>
                <w:color w:val="auto"/>
              </w:rPr>
              <w:t>John R. Walter</w:t>
            </w:r>
          </w:p>
        </w:tc>
        <w:tc>
          <w:tcPr>
            <w:tcW w:w="1720" w:type="dxa"/>
            <w:vAlign w:val="bottom"/>
            <w:shd w:val="clear" w:color="auto" w:fill="E6EDF3"/>
          </w:tcPr>
          <w:p>
            <w:pPr>
              <w:spacing w:after="0"/>
              <w:rPr>
                <w:sz w:val="17"/>
                <w:szCs w:val="17"/>
                <w:color w:val="auto"/>
              </w:rPr>
            </w:pPr>
          </w:p>
        </w:tc>
        <w:tc>
          <w:tcPr>
            <w:tcW w:w="2300" w:type="dxa"/>
            <w:vAlign w:val="bottom"/>
            <w:shd w:val="clear" w:color="auto" w:fill="E6EDF3"/>
          </w:tcPr>
          <w:p>
            <w:pPr>
              <w:jc w:val="center"/>
              <w:ind w:left="2"/>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shd w:val="clear" w:color="auto" w:fill="E6EDF3"/>
          </w:tcPr>
          <w:p>
            <w:pPr>
              <w:jc w:val="center"/>
              <w:ind w:left="261"/>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 w:type="dxa"/>
            <w:vAlign w:val="bottom"/>
          </w:tcPr>
          <w:p>
            <w:pPr>
              <w:spacing w:after="0"/>
              <w:rPr>
                <w:sz w:val="17"/>
                <w:szCs w:val="17"/>
                <w:color w:val="auto"/>
              </w:rPr>
            </w:pPr>
          </w:p>
        </w:tc>
        <w:tc>
          <w:tcPr>
            <w:tcW w:w="52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Edward J. Zore(2)</w:t>
            </w:r>
          </w:p>
        </w:tc>
        <w:tc>
          <w:tcPr>
            <w:tcW w:w="17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color w:val="auto"/>
                <w:w w:val="99"/>
              </w:rPr>
              <w:t>Chair</w:t>
            </w:r>
          </w:p>
        </w:tc>
        <w:tc>
          <w:tcPr>
            <w:tcW w:w="1720" w:type="dxa"/>
            <w:vAlign w:val="bottom"/>
            <w:tcBorders>
              <w:bottom w:val="single" w:sz="8" w:color="auto"/>
            </w:tcBorders>
          </w:tcPr>
          <w:p>
            <w:pPr>
              <w:jc w:val="center"/>
              <w:ind w:left="261"/>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83"/>
        </w:trPr>
        <w:tc>
          <w:tcPr>
            <w:tcW w:w="20" w:type="dxa"/>
            <w:vAlign w:val="bottom"/>
          </w:tcPr>
          <w:p>
            <w:pPr>
              <w:spacing w:after="0"/>
              <w:rPr>
                <w:sz w:val="15"/>
                <w:szCs w:val="15"/>
                <w:color w:val="auto"/>
              </w:rPr>
            </w:pPr>
          </w:p>
        </w:tc>
        <w:tc>
          <w:tcPr>
            <w:tcW w:w="5280" w:type="dxa"/>
            <w:vAlign w:val="bottom"/>
            <w:tcBorders>
              <w:bottom w:val="single" w:sz="8" w:color="auto"/>
            </w:tcBorders>
            <w:shd w:val="clear" w:color="auto" w:fill="E6EDF3"/>
          </w:tcPr>
          <w:p>
            <w:pPr>
              <w:spacing w:after="0" w:line="183" w:lineRule="exact"/>
              <w:rPr>
                <w:sz w:val="20"/>
                <w:szCs w:val="20"/>
                <w:color w:val="auto"/>
              </w:rPr>
            </w:pPr>
            <w:r>
              <w:rPr>
                <w:rFonts w:ascii="Arial" w:cs="Arial" w:eastAsia="Arial" w:hAnsi="Arial"/>
                <w:sz w:val="16"/>
                <w:szCs w:val="16"/>
                <w:b w:val="1"/>
                <w:bCs w:val="1"/>
                <w:color w:val="auto"/>
              </w:rPr>
              <w:t>Number of Meetings in 2017</w:t>
            </w:r>
          </w:p>
        </w:tc>
        <w:tc>
          <w:tcPr>
            <w:tcW w:w="1720" w:type="dxa"/>
            <w:vAlign w:val="bottom"/>
            <w:tcBorders>
              <w:bottom w:val="single" w:sz="8" w:color="auto"/>
            </w:tcBorders>
            <w:shd w:val="clear" w:color="auto" w:fill="E6EDF3"/>
          </w:tcPr>
          <w:p>
            <w:pPr>
              <w:jc w:val="center"/>
              <w:ind w:left="180"/>
              <w:spacing w:after="0" w:line="183" w:lineRule="exact"/>
              <w:rPr>
                <w:sz w:val="20"/>
                <w:szCs w:val="20"/>
                <w:color w:val="auto"/>
              </w:rPr>
            </w:pPr>
            <w:r>
              <w:rPr>
                <w:rFonts w:ascii="Arial" w:cs="Arial" w:eastAsia="Arial" w:hAnsi="Arial"/>
                <w:sz w:val="16"/>
                <w:szCs w:val="16"/>
                <w:b w:val="1"/>
                <w:bCs w:val="1"/>
                <w:color w:val="auto"/>
              </w:rPr>
              <w:t>5</w:t>
            </w:r>
          </w:p>
        </w:tc>
        <w:tc>
          <w:tcPr>
            <w:tcW w:w="2300" w:type="dxa"/>
            <w:vAlign w:val="bottom"/>
            <w:tcBorders>
              <w:bottom w:val="single" w:sz="8" w:color="auto"/>
            </w:tcBorders>
            <w:shd w:val="clear" w:color="auto" w:fill="E6EDF3"/>
          </w:tcPr>
          <w:p>
            <w:pPr>
              <w:jc w:val="center"/>
              <w:ind w:left="2"/>
              <w:spacing w:after="0" w:line="183" w:lineRule="exact"/>
              <w:rPr>
                <w:sz w:val="20"/>
                <w:szCs w:val="20"/>
                <w:color w:val="auto"/>
              </w:rPr>
            </w:pPr>
            <w:r>
              <w:rPr>
                <w:rFonts w:ascii="Arial" w:cs="Arial" w:eastAsia="Arial" w:hAnsi="Arial"/>
                <w:sz w:val="16"/>
                <w:szCs w:val="16"/>
                <w:b w:val="1"/>
                <w:bCs w:val="1"/>
                <w:color w:val="auto"/>
              </w:rPr>
              <w:t>6</w:t>
            </w:r>
          </w:p>
        </w:tc>
        <w:tc>
          <w:tcPr>
            <w:tcW w:w="1720" w:type="dxa"/>
            <w:vAlign w:val="bottom"/>
            <w:tcBorders>
              <w:bottom w:val="single" w:sz="8" w:color="auto"/>
            </w:tcBorders>
            <w:shd w:val="clear" w:color="auto" w:fill="E6EDF3"/>
          </w:tcPr>
          <w:p>
            <w:pPr>
              <w:jc w:val="center"/>
              <w:ind w:left="241"/>
              <w:spacing w:after="0" w:line="183" w:lineRule="exact"/>
              <w:rPr>
                <w:sz w:val="20"/>
                <w:szCs w:val="20"/>
                <w:color w:val="auto"/>
              </w:rPr>
            </w:pPr>
            <w:r>
              <w:rPr>
                <w:rFonts w:ascii="Arial" w:cs="Arial" w:eastAsia="Arial" w:hAnsi="Arial"/>
                <w:sz w:val="16"/>
                <w:szCs w:val="16"/>
                <w:b w:val="1"/>
                <w:bCs w:val="1"/>
                <w:color w:val="auto"/>
                <w:w w:val="89"/>
              </w:rPr>
              <w:t>4</w:t>
            </w:r>
          </w:p>
        </w:tc>
      </w:tr>
    </w:tbl>
    <w:p>
      <w:pPr>
        <w:spacing w:after="0" w:line="54" w:lineRule="exact"/>
        <w:rPr>
          <w:sz w:val="20"/>
          <w:szCs w:val="20"/>
          <w:color w:val="auto"/>
        </w:rPr>
      </w:pPr>
    </w:p>
    <w:p>
      <w:pPr>
        <w:ind w:left="520" w:hanging="316"/>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Read will become chair of the audit committee in May 2018, succeeding Ms. Boswell. Ms. Boswell will remain a member of the committee.</w:t>
      </w:r>
    </w:p>
    <w:p>
      <w:pPr>
        <w:spacing w:after="0" w:line="19" w:lineRule="exact"/>
        <w:rPr>
          <w:rFonts w:ascii="Arial" w:cs="Arial" w:eastAsia="Arial" w:hAnsi="Arial"/>
          <w:sz w:val="14"/>
          <w:szCs w:val="14"/>
          <w:color w:val="auto"/>
        </w:rPr>
      </w:pPr>
    </w:p>
    <w:p>
      <w:pPr>
        <w:ind w:left="520" w:right="220" w:hanging="316"/>
        <w:spacing w:after="0" w:line="241"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Downe will become chair of the executive compensation and human resources committee in May 2018 succeeding Mr. Zore. Mr. Zore is retiring from the board of directors effective May 4, 2018.</w:t>
      </w:r>
    </w:p>
    <w:p>
      <w:pPr>
        <w:ind w:left="520" w:right="520" w:hanging="316"/>
        <w:spacing w:after="0" w:line="241"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Ms. Hemingway Hall will become a member and chair of the nominating and governance committee in May 2018 succeeding Mr. Payne. Mr. Payne will remain a member of the committee.</w:t>
      </w:r>
    </w:p>
    <w:p>
      <w:pPr>
        <w:ind w:left="520" w:hanging="316"/>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Ms. Howard will become a member of the executive compensation and human resources committee in May 2018.</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Mendoza is retiring from the board of directors effective May 4, 2018.</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Audit Committee</w:t>
      </w:r>
    </w:p>
    <w:p>
      <w:pPr>
        <w:spacing w:after="0" w:line="144" w:lineRule="exact"/>
        <w:rPr>
          <w:sz w:val="20"/>
          <w:szCs w:val="20"/>
          <w:color w:val="auto"/>
        </w:rPr>
      </w:pPr>
    </w:p>
    <w:p>
      <w:pPr>
        <w:ind w:left="200" w:right="60"/>
        <w:spacing w:after="0" w:line="243" w:lineRule="auto"/>
        <w:rPr>
          <w:sz w:val="20"/>
          <w:szCs w:val="20"/>
          <w:color w:val="auto"/>
        </w:rPr>
      </w:pPr>
      <w:r>
        <w:rPr>
          <w:rFonts w:ascii="Arial" w:cs="Arial" w:eastAsia="Arial" w:hAnsi="Arial"/>
          <w:sz w:val="18"/>
          <w:szCs w:val="18"/>
          <w:color w:val="auto"/>
        </w:rPr>
        <w:t>The board of directors has determined that each member of the audit committee meets the financial literacy and independence requirements of the SEC and New York Stock Exchange, as applicable, and that Ms. Boswell, Mr. Ferraro, Mr. Mendoza and Mr. Read are each an “audit committee financial expert” as defined under the applicable rules of the SEC. Under the Company’s corporate governance guidelines, no member of the audit committee may serve on the audit committee of more than three public companies, including ManpowerGroup. No member of the audit committee currently serves on the audit committee of more than three public companies, including ManpowerGroup.</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functions of this committee are to:</w:t>
      </w:r>
    </w:p>
    <w:p>
      <w:pPr>
        <w:spacing w:after="0" w:line="117" w:lineRule="exact"/>
        <w:rPr>
          <w:sz w:val="20"/>
          <w:szCs w:val="20"/>
          <w:color w:val="auto"/>
        </w:rPr>
      </w:pPr>
    </w:p>
    <w:p>
      <w:pPr>
        <w:ind w:left="640" w:hanging="328"/>
        <w:spacing w:after="0"/>
        <w:tabs>
          <w:tab w:leader="none" w:pos="6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appoint the independent auditors for the annual audit and approve the fee arrangements with the independent auditors;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monitor the independence, qualifications and performance of the independent auditors;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the planned scope of the annual audit;</w:t>
      </w:r>
    </w:p>
    <w:p>
      <w:pPr>
        <w:spacing w:after="0" w:line="76" w:lineRule="exact"/>
        <w:rPr>
          <w:rFonts w:ascii="Arial" w:cs="Arial" w:eastAsia="Arial" w:hAnsi="Arial"/>
          <w:sz w:val="18"/>
          <w:szCs w:val="18"/>
          <w:color w:val="5D89B4"/>
        </w:rPr>
      </w:pPr>
    </w:p>
    <w:p>
      <w:pPr>
        <w:ind w:left="640" w:right="300" w:hanging="328"/>
        <w:spacing w:after="0" w:line="255" w:lineRule="auto"/>
        <w:tabs>
          <w:tab w:leader="none" w:pos="6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the financial statements to be included in our quarterly reports on Form 10-Q and our annual report on Form 10-K, and our disclosures under “Management’s Discussion and Analysis of Financial Condition and Results of Operations” section of those reports;</w:t>
      </w:r>
    </w:p>
    <w:p>
      <w:pPr>
        <w:spacing w:after="0" w:line="29" w:lineRule="exact"/>
        <w:rPr>
          <w:rFonts w:ascii="Arial" w:cs="Arial" w:eastAsia="Arial" w:hAnsi="Arial"/>
          <w:sz w:val="18"/>
          <w:szCs w:val="18"/>
          <w:color w:val="5D89B4"/>
        </w:rPr>
      </w:pPr>
    </w:p>
    <w:p>
      <w:pPr>
        <w:ind w:left="640" w:hanging="328"/>
        <w:spacing w:after="0"/>
        <w:tabs>
          <w:tab w:leader="none" w:pos="6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compliance with and reporting under Section 404 of the Sarbanes-Oxley Act of 2002;</w:t>
      </w:r>
    </w:p>
    <w:p>
      <w:pPr>
        <w:spacing w:after="0" w:line="133"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13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320" w:lineRule="exact"/>
        <w:rPr>
          <w:sz w:val="20"/>
          <w:szCs w:val="20"/>
          <w:color w:val="auto"/>
        </w:rPr>
      </w:pPr>
    </w:p>
    <w:p>
      <w:pPr>
        <w:ind w:left="640" w:right="360" w:hanging="328"/>
        <w:spacing w:after="0" w:line="276" w:lineRule="auto"/>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review our financial reporting processes and internal controls and any significant audit adjustments proposed by the independent auditors;</w:t>
      </w:r>
    </w:p>
    <w:p>
      <w:pPr>
        <w:spacing w:after="0" w:line="10" w:lineRule="exact"/>
        <w:rPr>
          <w:rFonts w:ascii="Arial" w:cs="Arial" w:eastAsia="Arial" w:hAnsi="Arial"/>
          <w:sz w:val="18"/>
          <w:szCs w:val="18"/>
          <w:color w:val="5D89B4"/>
        </w:rPr>
      </w:pPr>
    </w:p>
    <w:p>
      <w:pPr>
        <w:ind w:left="640" w:right="440" w:hanging="328"/>
        <w:spacing w:after="0" w:line="276" w:lineRule="auto"/>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make a recommendation to the board of directors regarding inclusion of the audited financial statements in our annual report on Form 10-K;</w:t>
      </w:r>
    </w:p>
    <w:p>
      <w:pPr>
        <w:spacing w:after="0" w:line="10" w:lineRule="exact"/>
        <w:rPr>
          <w:rFonts w:ascii="Arial" w:cs="Arial" w:eastAsia="Arial" w:hAnsi="Arial"/>
          <w:sz w:val="18"/>
          <w:szCs w:val="18"/>
          <w:color w:val="5D89B4"/>
        </w:rPr>
      </w:pPr>
    </w:p>
    <w:p>
      <w:pPr>
        <w:ind w:left="640" w:right="100" w:hanging="328"/>
        <w:spacing w:after="0" w:line="276" w:lineRule="auto"/>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review recommendations, if any, by the independent auditors resulting from the audit to ensure that appropriate actions are taken by management;</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review matters of disagreement, if any, between management and the independent auditors;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periodically review our Policy Regarding the Retention of Former Employees of Independent Auditors;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oversee compliance with our Independent Auditor Services Policy;</w:t>
      </w:r>
    </w:p>
    <w:p>
      <w:pPr>
        <w:spacing w:after="0" w:line="76" w:lineRule="exact"/>
        <w:rPr>
          <w:rFonts w:ascii="Arial" w:cs="Arial" w:eastAsia="Arial" w:hAnsi="Arial"/>
          <w:sz w:val="18"/>
          <w:szCs w:val="18"/>
          <w:color w:val="5D89B4"/>
        </w:rPr>
      </w:pPr>
    </w:p>
    <w:p>
      <w:pPr>
        <w:ind w:left="640" w:right="140" w:hanging="328"/>
        <w:spacing w:after="0" w:line="276" w:lineRule="auto"/>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meet privately on a periodic basis with the independent auditors, internal audit staff and management to review the adequacy of our internal controls and other finance related matters;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meet privately with management to review the competence, performance and independence of the independent auditors;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monitor our internal audit department, including our internal audit plan;</w:t>
      </w:r>
    </w:p>
    <w:p>
      <w:pPr>
        <w:spacing w:after="0" w:line="76" w:lineRule="exact"/>
        <w:rPr>
          <w:rFonts w:ascii="Arial" w:cs="Arial" w:eastAsia="Arial" w:hAnsi="Arial"/>
          <w:sz w:val="18"/>
          <w:szCs w:val="18"/>
          <w:color w:val="5D89B4"/>
        </w:rPr>
      </w:pPr>
    </w:p>
    <w:p>
      <w:pPr>
        <w:ind w:left="640" w:right="220" w:hanging="328"/>
        <w:spacing w:after="0" w:line="276" w:lineRule="auto"/>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review guidelines and policies regarding compliance by our employees with our code of business conduct and ethics, including the anti-corruption policy;</w:t>
      </w:r>
    </w:p>
    <w:p>
      <w:pPr>
        <w:spacing w:after="0" w:line="10" w:lineRule="exact"/>
        <w:rPr>
          <w:rFonts w:ascii="Arial" w:cs="Arial" w:eastAsia="Arial" w:hAnsi="Arial"/>
          <w:sz w:val="18"/>
          <w:szCs w:val="18"/>
          <w:color w:val="5D89B4"/>
        </w:rPr>
      </w:pPr>
    </w:p>
    <w:p>
      <w:pPr>
        <w:ind w:left="640" w:right="360" w:hanging="328"/>
        <w:spacing w:after="0" w:line="276" w:lineRule="auto"/>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review procedures for receipt, retention and treatment of, and the confidential and anonymous submission of concerns regarding questionable accounting or auditing matters.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assist the board of directors with its oversight of the performance of the Company’s risk management function;</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review current tax matters affecting us;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periodically discuss with management our risk management framework;</w:t>
      </w:r>
    </w:p>
    <w:p>
      <w:pPr>
        <w:spacing w:after="0" w:line="76" w:lineRule="exact"/>
        <w:rPr>
          <w:rFonts w:ascii="Arial" w:cs="Arial" w:eastAsia="Arial" w:hAnsi="Arial"/>
          <w:sz w:val="18"/>
          <w:szCs w:val="18"/>
          <w:color w:val="5D89B4"/>
        </w:rPr>
      </w:pPr>
    </w:p>
    <w:p>
      <w:pPr>
        <w:ind w:left="640" w:right="480" w:hanging="328"/>
        <w:spacing w:after="0" w:line="276" w:lineRule="auto"/>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monitor any litigation involving ManpowerGroup that may have a material financial impact on ManpowerGroup or that relates to matters entrusted to the audit committee; and</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approve the retention, compensation and termination of outside legal, accounting and other such advisors to the committee.</w:t>
      </w:r>
    </w:p>
    <w:p>
      <w:pPr>
        <w:spacing w:after="0" w:line="144" w:lineRule="exact"/>
        <w:rPr>
          <w:sz w:val="20"/>
          <w:szCs w:val="20"/>
          <w:color w:val="auto"/>
        </w:rPr>
      </w:pPr>
    </w:p>
    <w:p>
      <w:pPr>
        <w:ind w:left="200"/>
        <w:spacing w:after="0" w:line="245" w:lineRule="auto"/>
        <w:rPr>
          <w:sz w:val="20"/>
          <w:szCs w:val="20"/>
          <w:color w:val="auto"/>
        </w:rPr>
      </w:pPr>
      <w:r>
        <w:rPr>
          <w:rFonts w:ascii="Arial" w:cs="Arial" w:eastAsia="Arial" w:hAnsi="Arial"/>
          <w:sz w:val="18"/>
          <w:szCs w:val="18"/>
          <w:color w:val="auto"/>
        </w:rPr>
        <w:t>In addition, the charter of the audit committee provides that the 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did not take action by written consent during 2017.</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Executive Compensation and Human Resources Committee</w:t>
      </w:r>
    </w:p>
    <w:p>
      <w:pPr>
        <w:spacing w:after="0" w:line="131" w:lineRule="exact"/>
        <w:rPr>
          <w:sz w:val="20"/>
          <w:szCs w:val="20"/>
          <w:color w:val="auto"/>
        </w:rPr>
      </w:pPr>
    </w:p>
    <w:p>
      <w:pPr>
        <w:jc w:val="both"/>
        <w:ind w:left="200" w:right="400"/>
        <w:spacing w:after="0" w:line="255" w:lineRule="auto"/>
        <w:rPr>
          <w:sz w:val="20"/>
          <w:szCs w:val="20"/>
          <w:color w:val="auto"/>
        </w:rPr>
      </w:pPr>
      <w:r>
        <w:rPr>
          <w:rFonts w:ascii="Arial" w:cs="Arial" w:eastAsia="Arial" w:hAnsi="Arial"/>
          <w:sz w:val="18"/>
          <w:szCs w:val="18"/>
          <w:color w:val="auto"/>
        </w:rPr>
        <w:t>Each member of the executive compensation and human resources committee is “independent” within the meaning of the applicable listing standards of the New York Stock Exchange and qualifies as an “outside director” under Section 162(m) of the Internal Revenue Code.</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functions of this committee are to:</w:t>
      </w:r>
    </w:p>
    <w:p>
      <w:pPr>
        <w:spacing w:after="0" w:line="144" w:lineRule="exact"/>
        <w:rPr>
          <w:sz w:val="20"/>
          <w:szCs w:val="20"/>
          <w:color w:val="auto"/>
        </w:rPr>
      </w:pPr>
    </w:p>
    <w:p>
      <w:pPr>
        <w:ind w:left="640" w:right="220" w:hanging="328"/>
        <w:spacing w:after="0" w:line="276" w:lineRule="auto"/>
        <w:tabs>
          <w:tab w:leader="none" w:pos="6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establish the compensation of the chief executive officer of ManpowerGroup, subject to ratification by the independent members of the board of directors;</w:t>
      </w:r>
    </w:p>
    <w:p>
      <w:pPr>
        <w:spacing w:after="0" w:line="10" w:lineRule="exact"/>
        <w:rPr>
          <w:rFonts w:ascii="Arial" w:cs="Arial" w:eastAsia="Arial" w:hAnsi="Arial"/>
          <w:sz w:val="18"/>
          <w:szCs w:val="18"/>
          <w:color w:val="5D89B4"/>
        </w:rPr>
      </w:pPr>
    </w:p>
    <w:p>
      <w:pPr>
        <w:ind w:left="640" w:right="240" w:hanging="328"/>
        <w:spacing w:after="0" w:line="276" w:lineRule="auto"/>
        <w:tabs>
          <w:tab w:leader="none" w:pos="6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approve the compensation, based on the recommendations of the chief executive officer of ManpowerGroup, of any president and the chief financial officer, and certain other senior executives of ManpowerGroup;</w:t>
      </w:r>
    </w:p>
    <w:p>
      <w:pPr>
        <w:spacing w:after="0" w:line="10" w:lineRule="exact"/>
        <w:rPr>
          <w:rFonts w:ascii="Arial" w:cs="Arial" w:eastAsia="Arial" w:hAnsi="Arial"/>
          <w:sz w:val="18"/>
          <w:szCs w:val="18"/>
          <w:color w:val="5D89B4"/>
        </w:rPr>
      </w:pPr>
    </w:p>
    <w:p>
      <w:pPr>
        <w:ind w:left="640" w:right="240" w:hanging="328"/>
        <w:spacing w:after="0" w:line="276" w:lineRule="auto"/>
        <w:tabs>
          <w:tab w:leader="none" w:pos="6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determine the terms of any agreements concerning employment, compensation or employment termination, as well as monitor the application of ManpowerGroup’s retirement and other fringe benefit plans, with respect to the individuals listed above;</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monitor the development of ManpowerGroup’s key executive officers;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14</w:t>
      </w:r>
    </w:p>
    <w:p>
      <w:pPr>
        <w:sectPr>
          <w:pgSz w:w="11900" w:h="16838" w:orient="portrait"/>
          <w:cols w:equalWidth="0" w:num="1">
            <w:col w:w="11220"/>
          </w:cols>
          <w:pgMar w:left="240" w:top="455"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320" w:lineRule="exact"/>
        <w:rPr>
          <w:sz w:val="20"/>
          <w:szCs w:val="20"/>
          <w:color w:val="auto"/>
        </w:rPr>
      </w:pPr>
    </w:p>
    <w:p>
      <w:pPr>
        <w:ind w:left="640" w:right="160" w:hanging="328"/>
        <w:spacing w:after="0" w:line="276" w:lineRule="auto"/>
        <w:tabs>
          <w:tab w:leader="none" w:pos="6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administer ManpowerGroup’s equity incentive plans and employee stock purchase plans and oversee ManpowerGroup’s employee retirement and welfare plans;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administer ManpowerGroup’s corporate senior management annual incentive pool plan;</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review and recommend the “Compensation Discussion and Analysis” to be included in our annual proxy statement;</w:t>
      </w:r>
    </w:p>
    <w:p>
      <w:pPr>
        <w:spacing w:after="0" w:line="76" w:lineRule="exact"/>
        <w:rPr>
          <w:rFonts w:ascii="Arial" w:cs="Arial" w:eastAsia="Arial" w:hAnsi="Arial"/>
          <w:sz w:val="18"/>
          <w:szCs w:val="18"/>
          <w:color w:val="5D89B4"/>
        </w:rPr>
      </w:pPr>
    </w:p>
    <w:p>
      <w:pPr>
        <w:ind w:left="640" w:right="340" w:hanging="328"/>
        <w:spacing w:after="0" w:line="276" w:lineRule="auto"/>
        <w:tabs>
          <w:tab w:leader="none" w:pos="6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develop and implement policies regarding the recoupment or “clawback” of excess compensation paid to executive officers of the Company;</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act as the compensation committee of outside directors under Section 162(m) of the Internal Revenue Code;</w:t>
      </w:r>
    </w:p>
    <w:p>
      <w:pPr>
        <w:spacing w:after="0" w:line="76" w:lineRule="exact"/>
        <w:rPr>
          <w:rFonts w:ascii="Arial" w:cs="Arial" w:eastAsia="Arial" w:hAnsi="Arial"/>
          <w:sz w:val="18"/>
          <w:szCs w:val="18"/>
          <w:color w:val="5D89B4"/>
        </w:rPr>
      </w:pPr>
    </w:p>
    <w:p>
      <w:pPr>
        <w:ind w:left="640" w:right="500" w:hanging="328"/>
        <w:spacing w:after="0" w:line="276" w:lineRule="auto"/>
        <w:tabs>
          <w:tab w:leader="none" w:pos="6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approve the retention, compensation and termination of outside compensation consultants, independent legal advisors or other advisors and have oversight of their work; and</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consider the independence of any outside compensation consultant, independent legal advisor or other advisor to the committee.</w:t>
      </w:r>
    </w:p>
    <w:p>
      <w:pPr>
        <w:spacing w:after="0" w:line="144" w:lineRule="exact"/>
        <w:rPr>
          <w:sz w:val="20"/>
          <w:szCs w:val="20"/>
          <w:color w:val="auto"/>
        </w:rPr>
      </w:pPr>
    </w:p>
    <w:p>
      <w:pPr>
        <w:jc w:val="both"/>
        <w:ind w:left="200" w:right="120"/>
        <w:spacing w:after="0" w:line="255" w:lineRule="auto"/>
        <w:rPr>
          <w:sz w:val="20"/>
          <w:szCs w:val="20"/>
          <w:color w:val="auto"/>
        </w:rPr>
      </w:pPr>
      <w:r>
        <w:rPr>
          <w:rFonts w:ascii="Arial" w:cs="Arial" w:eastAsia="Arial" w:hAnsi="Arial"/>
          <w:sz w:val="18"/>
          <w:szCs w:val="18"/>
          <w:color w:val="auto"/>
        </w:rPr>
        <w:t>In accordance with the terms of its charter, the executive compensation and human resources committee may from time to time delegate authority and assign responsibility with respect to such of its functions to officers of the Company, or to a subcommittee of the committee. The executive compensation and human resources committee did not take action by written consent during 2017.</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Nominating and Governance Committee</w:t>
      </w:r>
    </w:p>
    <w:p>
      <w:pPr>
        <w:spacing w:after="0" w:line="131" w:lineRule="exact"/>
        <w:rPr>
          <w:sz w:val="20"/>
          <w:szCs w:val="20"/>
          <w:color w:val="auto"/>
        </w:rPr>
      </w:pPr>
    </w:p>
    <w:p>
      <w:pPr>
        <w:jc w:val="both"/>
        <w:ind w:left="200" w:right="140"/>
        <w:spacing w:after="0" w:line="276" w:lineRule="auto"/>
        <w:rPr>
          <w:sz w:val="20"/>
          <w:szCs w:val="20"/>
          <w:color w:val="auto"/>
        </w:rPr>
      </w:pPr>
      <w:r>
        <w:rPr>
          <w:rFonts w:ascii="Arial" w:cs="Arial" w:eastAsia="Arial" w:hAnsi="Arial"/>
          <w:sz w:val="18"/>
          <w:szCs w:val="18"/>
          <w:color w:val="auto"/>
        </w:rPr>
        <w:t>Each member of the nominating and governance committee is “independent” within the meaning of the applicable listing standards of the New York Stock Exchange.</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functions of this committee are to:</w:t>
      </w:r>
    </w:p>
    <w:p>
      <w:pPr>
        <w:spacing w:after="0" w:line="144" w:lineRule="exact"/>
        <w:rPr>
          <w:sz w:val="20"/>
          <w:szCs w:val="20"/>
          <w:color w:val="auto"/>
        </w:rPr>
      </w:pPr>
    </w:p>
    <w:p>
      <w:pPr>
        <w:ind w:left="640" w:right="440" w:hanging="328"/>
        <w:spacing w:after="0" w:line="276" w:lineRule="auto"/>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recommend nominees to stand for election at annual meetings of shareholders, to fill vacancies on the board of directors and to serve on committees of the board of directors;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establish procedures and assist in identifying candidates for board membership;</w:t>
      </w:r>
    </w:p>
    <w:p>
      <w:pPr>
        <w:spacing w:after="0" w:line="76" w:lineRule="exact"/>
        <w:rPr>
          <w:rFonts w:ascii="Arial" w:cs="Arial" w:eastAsia="Arial" w:hAnsi="Arial"/>
          <w:sz w:val="18"/>
          <w:szCs w:val="18"/>
          <w:color w:val="5D89B4"/>
        </w:rPr>
      </w:pPr>
    </w:p>
    <w:p>
      <w:pPr>
        <w:ind w:left="640" w:right="280" w:hanging="328"/>
        <w:spacing w:after="0" w:line="276" w:lineRule="auto"/>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review the qualifications of candidates for board membership, including any candidates nominated by shareholders in accordance with our bylaws;</w:t>
      </w:r>
    </w:p>
    <w:p>
      <w:pPr>
        <w:spacing w:after="0" w:line="10" w:lineRule="exact"/>
        <w:rPr>
          <w:rFonts w:ascii="Arial" w:cs="Arial" w:eastAsia="Arial" w:hAnsi="Arial"/>
          <w:sz w:val="18"/>
          <w:szCs w:val="18"/>
          <w:color w:val="5D89B4"/>
        </w:rPr>
      </w:pPr>
    </w:p>
    <w:p>
      <w:pPr>
        <w:ind w:left="640" w:right="680" w:hanging="328"/>
        <w:spacing w:after="0" w:line="276" w:lineRule="auto"/>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periodically review the compensation arrangements in effect for the non-management members of the board of directors and recommend any changes deemed appropriate;</w:t>
      </w:r>
    </w:p>
    <w:p>
      <w:pPr>
        <w:spacing w:after="0" w:line="10" w:lineRule="exact"/>
        <w:rPr>
          <w:rFonts w:ascii="Arial" w:cs="Arial" w:eastAsia="Arial" w:hAnsi="Arial"/>
          <w:sz w:val="18"/>
          <w:szCs w:val="18"/>
          <w:color w:val="5D89B4"/>
        </w:rPr>
      </w:pPr>
    </w:p>
    <w:p>
      <w:pPr>
        <w:ind w:left="640" w:right="240" w:hanging="328"/>
        <w:spacing w:after="0" w:line="276" w:lineRule="auto"/>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oversee the annual self-evaluation of the performance of the board of directors and each of its committees and oversee, or ensure another committee oversees, the annual evaluation of the performance of management;</w:t>
      </w:r>
    </w:p>
    <w:p>
      <w:pPr>
        <w:spacing w:after="0" w:line="10" w:lineRule="exact"/>
        <w:rPr>
          <w:rFonts w:ascii="Arial" w:cs="Arial" w:eastAsia="Arial" w:hAnsi="Arial"/>
          <w:sz w:val="18"/>
          <w:szCs w:val="18"/>
          <w:color w:val="5D89B4"/>
        </w:rPr>
      </w:pPr>
    </w:p>
    <w:p>
      <w:pPr>
        <w:ind w:left="640" w:right="60" w:hanging="328"/>
        <w:spacing w:after="0" w:line="255" w:lineRule="auto"/>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establish and review, for recommendation to the board of directors, guidelines and policies on the size and composition of the board, the structure, composition and functions of the board committees, and other significant corporate governance principles and procedures;</w:t>
      </w:r>
    </w:p>
    <w:p>
      <w:pPr>
        <w:spacing w:after="0" w:line="29" w:lineRule="exact"/>
        <w:rPr>
          <w:rFonts w:ascii="Arial" w:cs="Arial" w:eastAsia="Arial" w:hAnsi="Arial"/>
          <w:sz w:val="18"/>
          <w:szCs w:val="18"/>
          <w:color w:val="5D89B4"/>
        </w:rPr>
      </w:pPr>
    </w:p>
    <w:p>
      <w:pPr>
        <w:ind w:left="640" w:hanging="328"/>
        <w:spacing w:after="0"/>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oversee the content and format of our code of business conduct and ethics and recommend any changes as deemed appropriate;</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monitor compliance by the non-management directors with our code of business conduct and ethics;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develop and periodically review succession plans for the directors;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periodically review the corporate governance guidelines and recommend any changes as deemed appropriate;</w:t>
      </w:r>
    </w:p>
    <w:p>
      <w:pPr>
        <w:spacing w:after="0" w:line="76" w:lineRule="exact"/>
        <w:rPr>
          <w:rFonts w:ascii="Arial" w:cs="Arial" w:eastAsia="Arial" w:hAnsi="Arial"/>
          <w:sz w:val="18"/>
          <w:szCs w:val="18"/>
          <w:color w:val="5D89B4"/>
        </w:rPr>
      </w:pPr>
    </w:p>
    <w:p>
      <w:pPr>
        <w:ind w:left="640" w:right="240" w:hanging="328"/>
        <w:spacing w:after="0" w:line="276" w:lineRule="auto"/>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review and recommend categorical standards for determining non-management director independence consistent with the rules of the New York Stock Exchange and other requirements; and</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approve the retention, compensation and termination of any outside independent advisors to the committee.</w:t>
      </w:r>
    </w:p>
    <w:p>
      <w:pPr>
        <w:spacing w:after="0" w:line="144" w:lineRule="exact"/>
        <w:rPr>
          <w:sz w:val="20"/>
          <w:szCs w:val="20"/>
          <w:color w:val="auto"/>
        </w:rPr>
      </w:pPr>
    </w:p>
    <w:p>
      <w:pPr>
        <w:ind w:left="200" w:right="280"/>
        <w:spacing w:after="0" w:line="276" w:lineRule="auto"/>
        <w:rPr>
          <w:sz w:val="20"/>
          <w:szCs w:val="20"/>
          <w:color w:val="auto"/>
        </w:rPr>
      </w:pPr>
      <w:r>
        <w:rPr>
          <w:rFonts w:ascii="Arial" w:cs="Arial" w:eastAsia="Arial" w:hAnsi="Arial"/>
          <w:sz w:val="18"/>
          <w:szCs w:val="18"/>
          <w:color w:val="auto"/>
        </w:rPr>
        <w:t>The nominating and governance committee has from time to time engaged director search firms to assist it in identifying and evaluating potential board candidates. The nominating and governance committee took one action by written consent during 2017.</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Board Composition and Qualifications of Board Members</w:t>
      </w:r>
    </w:p>
    <w:p>
      <w:pPr>
        <w:spacing w:after="0" w:line="17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The nominating and governance committee has adopted, and the board of directors has approved, guidelines for selecting board candidates that the committee considers when evaluating candidates for nomination as directors. The guidelines call for the following with respect to the composition of the board:</w:t>
      </w:r>
    </w:p>
    <w:p>
      <w:pPr>
        <w:spacing w:after="0" w:line="97" w:lineRule="exact"/>
        <w:rPr>
          <w:sz w:val="20"/>
          <w:szCs w:val="20"/>
          <w:color w:val="auto"/>
        </w:rPr>
      </w:pPr>
    </w:p>
    <w:p>
      <w:pPr>
        <w:ind w:left="640" w:hanging="328"/>
        <w:spacing w:after="0"/>
        <w:tabs>
          <w:tab w:leader="none" w:pos="64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a variety of experience and backgrounds;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a core of business executives having substantial senior management and financial experience;</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individuals who will represent the best interests of the shareholders as a whole rather than special interest constituencies;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the independence of at least a majority of the directors; and</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individuals who represent a diversity of gender, race and age.</w:t>
      </w:r>
    </w:p>
    <w:p>
      <w:pPr>
        <w:spacing w:after="0" w:line="144" w:lineRule="exact"/>
        <w:rPr>
          <w:sz w:val="20"/>
          <w:szCs w:val="20"/>
          <w:color w:val="auto"/>
        </w:rPr>
      </w:pPr>
    </w:p>
    <w:p>
      <w:pPr>
        <w:ind w:left="200" w:right="260"/>
        <w:spacing w:after="0" w:line="276" w:lineRule="auto"/>
        <w:rPr>
          <w:sz w:val="20"/>
          <w:szCs w:val="20"/>
          <w:color w:val="auto"/>
        </w:rPr>
      </w:pPr>
      <w:r>
        <w:rPr>
          <w:rFonts w:ascii="Arial" w:cs="Arial" w:eastAsia="Arial" w:hAnsi="Arial"/>
          <w:sz w:val="18"/>
          <w:szCs w:val="18"/>
          <w:color w:val="auto"/>
        </w:rPr>
        <w:t>In connection with its consideration of possible candidates for board membership, the committee also has identified areas of experience that members of the board should as a goal collectively possess. These areas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106680</wp:posOffset>
            </wp:positionV>
            <wp:extent cx="373062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30625" cy="163195"/>
                    </a:xfrm>
                    <a:prstGeom prst="rect">
                      <a:avLst/>
                    </a:prstGeom>
                    <a:noFill/>
                  </pic:spPr>
                </pic:pic>
              </a:graphicData>
            </a:graphic>
          </wp:anchor>
        </w:drawing>
      </w:r>
    </w:p>
    <w:p>
      <w:pPr>
        <w:spacing w:after="0" w:line="1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Areas of Experience</w:t>
      </w:r>
    </w:p>
    <w:p>
      <w:pPr>
        <w:spacing w:after="0" w:line="352" w:lineRule="exact"/>
        <w:rPr>
          <w:sz w:val="20"/>
          <w:szCs w:val="20"/>
          <w:color w:val="auto"/>
        </w:rPr>
      </w:pPr>
    </w:p>
    <w:tbl>
      <w:tblPr>
        <w:tblLayout w:type="fixed"/>
        <w:tblInd w:w="210" w:type="dxa"/>
        <w:tblCellMar>
          <w:top w:w="0" w:type="dxa"/>
          <w:left w:w="0" w:type="dxa"/>
          <w:bottom w:w="0" w:type="dxa"/>
          <w:right w:w="0" w:type="dxa"/>
        </w:tblCellMar>
      </w:tblPr>
      <w:tr>
        <w:trPr>
          <w:trHeight w:val="237"/>
        </w:trPr>
        <w:tc>
          <w:tcPr>
            <w:tcW w:w="3540" w:type="dxa"/>
            <w:vAlign w:val="bottom"/>
            <w:tcBorders>
              <w:top w:val="single" w:sz="8" w:color="5D89B4"/>
              <w:left w:val="single" w:sz="8" w:color="5D89B4"/>
              <w:bottom w:val="single" w:sz="8" w:color="5D89B4"/>
              <w:right w:val="single" w:sz="8" w:color="5D89B4"/>
            </w:tcBorders>
          </w:tcPr>
          <w:p>
            <w:pPr>
              <w:jc w:val="center"/>
              <w:ind w:left="59"/>
              <w:spacing w:after="0"/>
              <w:rPr>
                <w:sz w:val="20"/>
                <w:szCs w:val="20"/>
                <w:color w:val="auto"/>
              </w:rPr>
            </w:pPr>
            <w:r>
              <w:rPr>
                <w:rFonts w:ascii="Arial" w:cs="Arial" w:eastAsia="Arial" w:hAnsi="Arial"/>
                <w:sz w:val="16"/>
                <w:szCs w:val="16"/>
                <w:b w:val="1"/>
                <w:bCs w:val="1"/>
                <w:color w:val="auto"/>
              </w:rPr>
              <w:t>PreviousBoard</w:t>
            </w:r>
          </w:p>
        </w:tc>
        <w:tc>
          <w:tcPr>
            <w:tcW w:w="220" w:type="dxa"/>
            <w:vAlign w:val="bottom"/>
            <w:tcBorders>
              <w:right w:val="single" w:sz="8" w:color="5D89B4"/>
            </w:tcBorders>
          </w:tcPr>
          <w:p>
            <w:pPr>
              <w:spacing w:after="0"/>
              <w:rPr>
                <w:sz w:val="20"/>
                <w:szCs w:val="20"/>
                <w:color w:val="auto"/>
              </w:rPr>
            </w:pPr>
          </w:p>
        </w:tc>
        <w:tc>
          <w:tcPr>
            <w:tcW w:w="3520" w:type="dxa"/>
            <w:vAlign w:val="bottom"/>
            <w:tcBorders>
              <w:top w:val="single" w:sz="8" w:color="5D89B4"/>
              <w:bottom w:val="single" w:sz="8" w:color="5D89B4"/>
              <w:right w:val="single" w:sz="8" w:color="5D89B4"/>
            </w:tcBorders>
          </w:tcPr>
          <w:p>
            <w:pPr>
              <w:jc w:val="center"/>
              <w:spacing w:after="0"/>
              <w:rPr>
                <w:sz w:val="20"/>
                <w:szCs w:val="20"/>
                <w:color w:val="auto"/>
              </w:rPr>
            </w:pPr>
            <w:r>
              <w:rPr>
                <w:rFonts w:ascii="Arial" w:cs="Arial" w:eastAsia="Arial" w:hAnsi="Arial"/>
                <w:sz w:val="16"/>
                <w:szCs w:val="16"/>
                <w:b w:val="1"/>
                <w:bCs w:val="1"/>
                <w:color w:val="auto"/>
              </w:rPr>
              <w:t>InternationalBusiness</w:t>
            </w:r>
          </w:p>
        </w:tc>
        <w:tc>
          <w:tcPr>
            <w:tcW w:w="220" w:type="dxa"/>
            <w:vAlign w:val="bottom"/>
            <w:tcBorders>
              <w:right w:val="single" w:sz="8" w:color="5D89B4"/>
            </w:tcBorders>
          </w:tcPr>
          <w:p>
            <w:pPr>
              <w:spacing w:after="0"/>
              <w:rPr>
                <w:sz w:val="20"/>
                <w:szCs w:val="20"/>
                <w:color w:val="auto"/>
              </w:rPr>
            </w:pPr>
          </w:p>
        </w:tc>
        <w:tc>
          <w:tcPr>
            <w:tcW w:w="3540" w:type="dxa"/>
            <w:vAlign w:val="bottom"/>
            <w:tcBorders>
              <w:top w:val="single" w:sz="8" w:color="5D89B4"/>
              <w:bottom w:val="single" w:sz="8" w:color="5D89B4"/>
              <w:right w:val="single" w:sz="8" w:color="5D89B4"/>
            </w:tcBorders>
          </w:tcPr>
          <w:p>
            <w:pPr>
              <w:jc w:val="center"/>
              <w:spacing w:after="0"/>
              <w:rPr>
                <w:sz w:val="20"/>
                <w:szCs w:val="20"/>
                <w:color w:val="auto"/>
              </w:rPr>
            </w:pPr>
            <w:r>
              <w:rPr>
                <w:rFonts w:ascii="Arial" w:cs="Arial" w:eastAsia="Arial" w:hAnsi="Arial"/>
                <w:sz w:val="16"/>
                <w:szCs w:val="16"/>
                <w:b w:val="1"/>
                <w:bCs w:val="1"/>
                <w:color w:val="auto"/>
              </w:rPr>
              <w:t>CorporateGovernance</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5D89B4"/>
            </w:tcBorders>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Borders>
              <w:bottom w:val="single" w:sz="8" w:color="5D89B4"/>
            </w:tcBorders>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540" w:type="dxa"/>
            <w:vAlign w:val="bottom"/>
            <w:tcBorders>
              <w:left w:val="single" w:sz="8" w:color="5D89B4"/>
              <w:right w:val="single" w:sz="8" w:color="5D89B4"/>
            </w:tcBorders>
          </w:tcPr>
          <w:p>
            <w:pPr>
              <w:jc w:val="center"/>
              <w:ind w:left="59"/>
              <w:spacing w:after="0" w:line="169" w:lineRule="exact"/>
              <w:rPr>
                <w:sz w:val="20"/>
                <w:szCs w:val="20"/>
                <w:color w:val="auto"/>
              </w:rPr>
            </w:pPr>
            <w:r>
              <w:rPr>
                <w:rFonts w:ascii="Arial" w:cs="Arial" w:eastAsia="Arial" w:hAnsi="Arial"/>
                <w:sz w:val="16"/>
                <w:szCs w:val="16"/>
                <w:b w:val="1"/>
                <w:bCs w:val="1"/>
                <w:color w:val="auto"/>
              </w:rPr>
              <w:t>Activeor Former CEO/COO/</w:t>
            </w:r>
          </w:p>
        </w:tc>
        <w:tc>
          <w:tcPr>
            <w:tcW w:w="220" w:type="dxa"/>
            <w:vAlign w:val="bottom"/>
            <w:tcBorders>
              <w:right w:val="single" w:sz="8" w:color="5D89B4"/>
            </w:tcBorders>
          </w:tcPr>
          <w:p>
            <w:pPr>
              <w:spacing w:after="0"/>
              <w:rPr>
                <w:sz w:val="14"/>
                <w:szCs w:val="14"/>
                <w:color w:val="auto"/>
              </w:rPr>
            </w:pPr>
          </w:p>
        </w:tc>
        <w:tc>
          <w:tcPr>
            <w:tcW w:w="3520" w:type="dxa"/>
            <w:vAlign w:val="bottom"/>
            <w:tcBorders>
              <w:right w:val="single" w:sz="8" w:color="5D89B4"/>
            </w:tcBorders>
            <w:vMerge w:val="restart"/>
          </w:tcPr>
          <w:p>
            <w:pPr>
              <w:jc w:val="center"/>
              <w:spacing w:after="0"/>
              <w:rPr>
                <w:sz w:val="20"/>
                <w:szCs w:val="20"/>
                <w:color w:val="auto"/>
              </w:rPr>
            </w:pPr>
            <w:r>
              <w:rPr>
                <w:rFonts w:ascii="Arial" w:cs="Arial" w:eastAsia="Arial" w:hAnsi="Arial"/>
                <w:sz w:val="16"/>
                <w:szCs w:val="16"/>
                <w:b w:val="1"/>
                <w:bCs w:val="1"/>
                <w:color w:val="auto"/>
              </w:rPr>
              <w:t>Sales</w:t>
            </w:r>
          </w:p>
        </w:tc>
        <w:tc>
          <w:tcPr>
            <w:tcW w:w="220" w:type="dxa"/>
            <w:vAlign w:val="bottom"/>
            <w:tcBorders>
              <w:right w:val="single" w:sz="8" w:color="5D89B4"/>
            </w:tcBorders>
          </w:tcPr>
          <w:p>
            <w:pPr>
              <w:spacing w:after="0"/>
              <w:rPr>
                <w:sz w:val="14"/>
                <w:szCs w:val="14"/>
                <w:color w:val="auto"/>
              </w:rPr>
            </w:pPr>
          </w:p>
        </w:tc>
        <w:tc>
          <w:tcPr>
            <w:tcW w:w="3540" w:type="dxa"/>
            <w:vAlign w:val="bottom"/>
            <w:tcBorders>
              <w:right w:val="single" w:sz="8" w:color="5D89B4"/>
            </w:tcBorders>
            <w:vMerge w:val="restart"/>
          </w:tcPr>
          <w:p>
            <w:pPr>
              <w:jc w:val="center"/>
              <w:spacing w:after="0"/>
              <w:rPr>
                <w:sz w:val="20"/>
                <w:szCs w:val="20"/>
                <w:color w:val="auto"/>
              </w:rPr>
            </w:pPr>
            <w:r>
              <w:rPr>
                <w:rFonts w:ascii="Arial" w:cs="Arial" w:eastAsia="Arial" w:hAnsi="Arial"/>
                <w:sz w:val="16"/>
                <w:szCs w:val="16"/>
                <w:b w:val="1"/>
                <w:bCs w:val="1"/>
                <w:color w:val="auto"/>
              </w:rPr>
              <w:t>GovernmentRelations</w:t>
            </w:r>
          </w:p>
        </w:tc>
        <w:tc>
          <w:tcPr>
            <w:tcW w:w="0" w:type="dxa"/>
            <w:vAlign w:val="bottom"/>
          </w:tcPr>
          <w:p>
            <w:pPr>
              <w:spacing w:after="0"/>
              <w:rPr>
                <w:sz w:val="1"/>
                <w:szCs w:val="1"/>
                <w:color w:val="auto"/>
              </w:rPr>
            </w:pPr>
          </w:p>
        </w:tc>
      </w:tr>
      <w:tr>
        <w:trPr>
          <w:trHeight w:val="161"/>
        </w:trPr>
        <w:tc>
          <w:tcPr>
            <w:tcW w:w="3540" w:type="dxa"/>
            <w:vAlign w:val="bottom"/>
            <w:tcBorders>
              <w:left w:val="single" w:sz="8" w:color="5D89B4"/>
              <w:right w:val="single" w:sz="8" w:color="5D89B4"/>
            </w:tcBorders>
            <w:vMerge w:val="restart"/>
          </w:tcPr>
          <w:p>
            <w:pPr>
              <w:jc w:val="center"/>
              <w:ind w:left="59"/>
              <w:spacing w:after="0"/>
              <w:rPr>
                <w:sz w:val="20"/>
                <w:szCs w:val="20"/>
                <w:color w:val="auto"/>
              </w:rPr>
            </w:pPr>
            <w:r>
              <w:rPr>
                <w:rFonts w:ascii="Arial" w:cs="Arial" w:eastAsia="Arial" w:hAnsi="Arial"/>
                <w:sz w:val="16"/>
                <w:szCs w:val="16"/>
                <w:b w:val="1"/>
                <w:bCs w:val="1"/>
                <w:color w:val="auto"/>
              </w:rPr>
              <w:t>Chairperson</w:t>
            </w:r>
          </w:p>
        </w:tc>
        <w:tc>
          <w:tcPr>
            <w:tcW w:w="220" w:type="dxa"/>
            <w:vAlign w:val="bottom"/>
            <w:tcBorders>
              <w:right w:val="single" w:sz="8" w:color="5D89B4"/>
            </w:tcBorders>
          </w:tcPr>
          <w:p>
            <w:pPr>
              <w:spacing w:after="0"/>
              <w:rPr>
                <w:sz w:val="14"/>
                <w:szCs w:val="14"/>
                <w:color w:val="auto"/>
              </w:rPr>
            </w:pPr>
          </w:p>
        </w:tc>
        <w:tc>
          <w:tcPr>
            <w:tcW w:w="3520" w:type="dxa"/>
            <w:vAlign w:val="bottom"/>
            <w:tcBorders>
              <w:right w:val="single" w:sz="8" w:color="5D89B4"/>
            </w:tcBorders>
            <w:vMerge w:val="continue"/>
          </w:tcPr>
          <w:p>
            <w:pPr>
              <w:spacing w:after="0"/>
              <w:rPr>
                <w:sz w:val="14"/>
                <w:szCs w:val="14"/>
                <w:color w:val="auto"/>
              </w:rPr>
            </w:pPr>
          </w:p>
        </w:tc>
        <w:tc>
          <w:tcPr>
            <w:tcW w:w="220" w:type="dxa"/>
            <w:vAlign w:val="bottom"/>
            <w:tcBorders>
              <w:right w:val="single" w:sz="8" w:color="5D89B4"/>
            </w:tcBorders>
          </w:tcPr>
          <w:p>
            <w:pPr>
              <w:spacing w:after="0"/>
              <w:rPr>
                <w:sz w:val="14"/>
                <w:szCs w:val="14"/>
                <w:color w:val="auto"/>
              </w:rPr>
            </w:pPr>
          </w:p>
        </w:tc>
        <w:tc>
          <w:tcPr>
            <w:tcW w:w="3540" w:type="dxa"/>
            <w:vAlign w:val="bottom"/>
            <w:tcBorders>
              <w:right w:val="single" w:sz="8" w:color="5D89B4"/>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540" w:type="dxa"/>
            <w:vAlign w:val="bottom"/>
            <w:tcBorders>
              <w:left w:val="single" w:sz="8" w:color="5D89B4"/>
              <w:right w:val="single" w:sz="8" w:color="5D89B4"/>
            </w:tcBorders>
            <w:vMerge w:val="continue"/>
          </w:tcPr>
          <w:p>
            <w:pPr>
              <w:spacing w:after="0"/>
              <w:rPr>
                <w:sz w:val="5"/>
                <w:szCs w:val="5"/>
                <w:color w:val="auto"/>
              </w:rPr>
            </w:pPr>
          </w:p>
        </w:tc>
        <w:tc>
          <w:tcPr>
            <w:tcW w:w="220" w:type="dxa"/>
            <w:vAlign w:val="bottom"/>
            <w:tcBorders>
              <w:right w:val="single" w:sz="8" w:color="5D89B4"/>
            </w:tcBorders>
          </w:tcPr>
          <w:p>
            <w:pPr>
              <w:spacing w:after="0"/>
              <w:rPr>
                <w:sz w:val="5"/>
                <w:szCs w:val="5"/>
                <w:color w:val="auto"/>
              </w:rPr>
            </w:pPr>
          </w:p>
        </w:tc>
        <w:tc>
          <w:tcPr>
            <w:tcW w:w="3520" w:type="dxa"/>
            <w:vAlign w:val="bottom"/>
            <w:tcBorders>
              <w:right w:val="single" w:sz="8" w:color="5D89B4"/>
            </w:tcBorders>
          </w:tcPr>
          <w:p>
            <w:pPr>
              <w:spacing w:after="0"/>
              <w:rPr>
                <w:sz w:val="5"/>
                <w:szCs w:val="5"/>
                <w:color w:val="auto"/>
              </w:rPr>
            </w:pPr>
          </w:p>
        </w:tc>
        <w:tc>
          <w:tcPr>
            <w:tcW w:w="220" w:type="dxa"/>
            <w:vAlign w:val="bottom"/>
            <w:tcBorders>
              <w:right w:val="single" w:sz="8" w:color="5D89B4"/>
            </w:tcBorders>
          </w:tcPr>
          <w:p>
            <w:pPr>
              <w:spacing w:after="0"/>
              <w:rPr>
                <w:sz w:val="5"/>
                <w:szCs w:val="5"/>
                <w:color w:val="auto"/>
              </w:rPr>
            </w:pPr>
          </w:p>
        </w:tc>
        <w:tc>
          <w:tcPr>
            <w:tcW w:w="3540" w:type="dxa"/>
            <w:vAlign w:val="bottom"/>
            <w:tcBorders>
              <w:right w:val="single" w:sz="8" w:color="5D89B4"/>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3540" w:type="dxa"/>
            <w:vAlign w:val="bottom"/>
            <w:tcBorders>
              <w:left w:val="single" w:sz="8" w:color="5D89B4"/>
              <w:bottom w:val="single" w:sz="8" w:color="5D89B4"/>
              <w:right w:val="single" w:sz="8" w:color="5D89B4"/>
            </w:tcBorders>
          </w:tcPr>
          <w:p>
            <w:pPr>
              <w:spacing w:after="0"/>
              <w:rPr>
                <w:sz w:val="4"/>
                <w:szCs w:val="4"/>
                <w:color w:val="auto"/>
              </w:rPr>
            </w:pPr>
          </w:p>
        </w:tc>
        <w:tc>
          <w:tcPr>
            <w:tcW w:w="220" w:type="dxa"/>
            <w:vAlign w:val="bottom"/>
            <w:tcBorders>
              <w:right w:val="single" w:sz="8" w:color="5D89B4"/>
            </w:tcBorders>
          </w:tcPr>
          <w:p>
            <w:pPr>
              <w:spacing w:after="0"/>
              <w:rPr>
                <w:sz w:val="4"/>
                <w:szCs w:val="4"/>
                <w:color w:val="auto"/>
              </w:rPr>
            </w:pPr>
          </w:p>
        </w:tc>
        <w:tc>
          <w:tcPr>
            <w:tcW w:w="3520" w:type="dxa"/>
            <w:vAlign w:val="bottom"/>
            <w:tcBorders>
              <w:bottom w:val="single" w:sz="8" w:color="5D89B4"/>
              <w:right w:val="single" w:sz="8" w:color="5D89B4"/>
            </w:tcBorders>
          </w:tcPr>
          <w:p>
            <w:pPr>
              <w:spacing w:after="0"/>
              <w:rPr>
                <w:sz w:val="4"/>
                <w:szCs w:val="4"/>
                <w:color w:val="auto"/>
              </w:rPr>
            </w:pPr>
          </w:p>
        </w:tc>
        <w:tc>
          <w:tcPr>
            <w:tcW w:w="220" w:type="dxa"/>
            <w:vAlign w:val="bottom"/>
            <w:tcBorders>
              <w:right w:val="single" w:sz="8" w:color="5D89B4"/>
            </w:tcBorders>
          </w:tcPr>
          <w:p>
            <w:pPr>
              <w:spacing w:after="0"/>
              <w:rPr>
                <w:sz w:val="4"/>
                <w:szCs w:val="4"/>
                <w:color w:val="auto"/>
              </w:rPr>
            </w:pPr>
          </w:p>
        </w:tc>
        <w:tc>
          <w:tcPr>
            <w:tcW w:w="3540" w:type="dxa"/>
            <w:vAlign w:val="bottom"/>
            <w:tcBorders>
              <w:bottom w:val="single" w:sz="8" w:color="5D89B4"/>
              <w:right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5D89B4"/>
            </w:tcBorders>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Borders>
              <w:bottom w:val="single" w:sz="8" w:color="5D89B4"/>
            </w:tcBorders>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Borders>
              <w:left w:val="single" w:sz="8" w:color="5D89B4"/>
              <w:bottom w:val="single" w:sz="8" w:color="5D89B4"/>
              <w:right w:val="single" w:sz="8" w:color="5D89B4"/>
            </w:tcBorders>
          </w:tcPr>
          <w:p>
            <w:pPr>
              <w:jc w:val="center"/>
              <w:ind w:left="39"/>
              <w:spacing w:after="0"/>
              <w:rPr>
                <w:sz w:val="20"/>
                <w:szCs w:val="20"/>
                <w:color w:val="auto"/>
              </w:rPr>
            </w:pPr>
            <w:r>
              <w:rPr>
                <w:rFonts w:ascii="Arial" w:cs="Arial" w:eastAsia="Arial" w:hAnsi="Arial"/>
                <w:sz w:val="16"/>
                <w:szCs w:val="16"/>
                <w:b w:val="1"/>
                <w:bCs w:val="1"/>
                <w:color w:val="auto"/>
              </w:rPr>
              <w:t>HumanResources</w:t>
            </w:r>
          </w:p>
        </w:tc>
        <w:tc>
          <w:tcPr>
            <w:tcW w:w="220" w:type="dxa"/>
            <w:vAlign w:val="bottom"/>
            <w:tcBorders>
              <w:right w:val="single" w:sz="8" w:color="5D89B4"/>
            </w:tcBorders>
          </w:tcPr>
          <w:p>
            <w:pPr>
              <w:spacing w:after="0"/>
              <w:rPr>
                <w:sz w:val="18"/>
                <w:szCs w:val="18"/>
                <w:color w:val="auto"/>
              </w:rPr>
            </w:pPr>
          </w:p>
        </w:tc>
        <w:tc>
          <w:tcPr>
            <w:tcW w:w="3520" w:type="dxa"/>
            <w:vAlign w:val="bottom"/>
            <w:tcBorders>
              <w:bottom w:val="single" w:sz="8" w:color="5D89B4"/>
              <w:right w:val="single" w:sz="8" w:color="5D89B4"/>
            </w:tcBorders>
          </w:tcPr>
          <w:p>
            <w:pPr>
              <w:jc w:val="center"/>
              <w:spacing w:after="0"/>
              <w:rPr>
                <w:sz w:val="20"/>
                <w:szCs w:val="20"/>
                <w:color w:val="auto"/>
              </w:rPr>
            </w:pPr>
            <w:r>
              <w:rPr>
                <w:rFonts w:ascii="Arial" w:cs="Arial" w:eastAsia="Arial" w:hAnsi="Arial"/>
                <w:sz w:val="16"/>
                <w:szCs w:val="16"/>
                <w:b w:val="1"/>
                <w:bCs w:val="1"/>
                <w:color w:val="auto"/>
              </w:rPr>
              <w:t>Marketingand Branding</w:t>
            </w:r>
          </w:p>
        </w:tc>
        <w:tc>
          <w:tcPr>
            <w:tcW w:w="220" w:type="dxa"/>
            <w:vAlign w:val="bottom"/>
            <w:tcBorders>
              <w:right w:val="single" w:sz="8" w:color="5D89B4"/>
            </w:tcBorders>
          </w:tcPr>
          <w:p>
            <w:pPr>
              <w:spacing w:after="0"/>
              <w:rPr>
                <w:sz w:val="18"/>
                <w:szCs w:val="18"/>
                <w:color w:val="auto"/>
              </w:rPr>
            </w:pPr>
          </w:p>
        </w:tc>
        <w:tc>
          <w:tcPr>
            <w:tcW w:w="3540" w:type="dxa"/>
            <w:vAlign w:val="bottom"/>
            <w:tcBorders>
              <w:bottom w:val="single" w:sz="8" w:color="5D89B4"/>
              <w:right w:val="single" w:sz="8" w:color="5D89B4"/>
            </w:tcBorders>
          </w:tcPr>
          <w:p>
            <w:pPr>
              <w:jc w:val="center"/>
              <w:spacing w:after="0"/>
              <w:rPr>
                <w:sz w:val="20"/>
                <w:szCs w:val="20"/>
                <w:color w:val="auto"/>
              </w:rPr>
            </w:pPr>
            <w:r>
              <w:rPr>
                <w:rFonts w:ascii="Arial" w:cs="Arial" w:eastAsia="Arial" w:hAnsi="Arial"/>
                <w:sz w:val="16"/>
                <w:szCs w:val="16"/>
                <w:b w:val="1"/>
                <w:bCs w:val="1"/>
                <w:color w:val="auto"/>
              </w:rPr>
              <w:t>Technology</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5D89B4"/>
            </w:tcBorders>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Borders>
              <w:bottom w:val="single" w:sz="8" w:color="5D89B4"/>
            </w:tcBorders>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Borders>
              <w:left w:val="single" w:sz="8" w:color="5D89B4"/>
              <w:bottom w:val="single" w:sz="8" w:color="5D89B4"/>
              <w:right w:val="single" w:sz="8" w:color="5D89B4"/>
            </w:tcBorders>
          </w:tcPr>
          <w:p>
            <w:pPr>
              <w:jc w:val="center"/>
              <w:ind w:left="59"/>
              <w:spacing w:after="0"/>
              <w:rPr>
                <w:sz w:val="20"/>
                <w:szCs w:val="20"/>
                <w:color w:val="auto"/>
              </w:rPr>
            </w:pPr>
            <w:r>
              <w:rPr>
                <w:rFonts w:ascii="Arial" w:cs="Arial" w:eastAsia="Arial" w:hAnsi="Arial"/>
                <w:sz w:val="16"/>
                <w:szCs w:val="16"/>
                <w:b w:val="1"/>
                <w:bCs w:val="1"/>
                <w:color w:val="auto"/>
              </w:rPr>
              <w:t>Accountingor Financial Oversight</w:t>
            </w:r>
          </w:p>
        </w:tc>
        <w:tc>
          <w:tcPr>
            <w:tcW w:w="220" w:type="dxa"/>
            <w:vAlign w:val="bottom"/>
            <w:tcBorders>
              <w:right w:val="single" w:sz="8" w:color="5D89B4"/>
            </w:tcBorders>
          </w:tcPr>
          <w:p>
            <w:pPr>
              <w:spacing w:after="0"/>
              <w:rPr>
                <w:sz w:val="18"/>
                <w:szCs w:val="18"/>
                <w:color w:val="auto"/>
              </w:rPr>
            </w:pPr>
          </w:p>
        </w:tc>
        <w:tc>
          <w:tcPr>
            <w:tcW w:w="3520" w:type="dxa"/>
            <w:vAlign w:val="bottom"/>
            <w:tcBorders>
              <w:bottom w:val="single" w:sz="8" w:color="5D89B4"/>
              <w:right w:val="single" w:sz="8" w:color="5D89B4"/>
            </w:tcBorders>
          </w:tcPr>
          <w:p>
            <w:pPr>
              <w:jc w:val="center"/>
              <w:spacing w:after="0"/>
              <w:rPr>
                <w:sz w:val="20"/>
                <w:szCs w:val="20"/>
                <w:color w:val="auto"/>
              </w:rPr>
            </w:pPr>
            <w:r>
              <w:rPr>
                <w:rFonts w:ascii="Arial" w:cs="Arial" w:eastAsia="Arial" w:hAnsi="Arial"/>
                <w:sz w:val="16"/>
                <w:szCs w:val="16"/>
                <w:b w:val="1"/>
                <w:bCs w:val="1"/>
                <w:color w:val="auto"/>
                <w:w w:val="99"/>
              </w:rPr>
              <w:t>Operations</w:t>
            </w:r>
          </w:p>
        </w:tc>
        <w:tc>
          <w:tcPr>
            <w:tcW w:w="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00" w:right="100"/>
        <w:spacing w:after="0" w:line="248" w:lineRule="auto"/>
        <w:rPr>
          <w:sz w:val="20"/>
          <w:szCs w:val="20"/>
          <w:color w:val="auto"/>
        </w:rPr>
      </w:pPr>
      <w:r>
        <w:rPr>
          <w:rFonts w:ascii="Arial" w:cs="Arial" w:eastAsia="Arial" w:hAnsi="Arial"/>
          <w:sz w:val="18"/>
          <w:szCs w:val="18"/>
          <w:color w:val="auto"/>
        </w:rPr>
        <w:t>The Company believes that the present composition of the board of director nominees satisfies the guidelines for selecting board candidates set out above; specifically, the nominees include individuals who have a variety of experience and backgrounds, the nominees include a core of business executives having substantial experience in management as well as one member having government experience, and ten of twelve of the nominees are independent under the rules of the New York Stock Exchange.</w:t>
      </w:r>
    </w:p>
    <w:p>
      <w:pPr>
        <w:spacing w:after="0" w:line="103" w:lineRule="exact"/>
        <w:rPr>
          <w:sz w:val="20"/>
          <w:szCs w:val="20"/>
          <w:color w:val="auto"/>
        </w:rPr>
      </w:pPr>
    </w:p>
    <w:p>
      <w:pPr>
        <w:ind w:left="200" w:right="100"/>
        <w:spacing w:after="0" w:line="248" w:lineRule="auto"/>
        <w:rPr>
          <w:sz w:val="20"/>
          <w:szCs w:val="20"/>
          <w:color w:val="auto"/>
        </w:rPr>
      </w:pPr>
      <w:r>
        <w:rPr>
          <w:rFonts w:ascii="Arial" w:cs="Arial" w:eastAsia="Arial" w:hAnsi="Arial"/>
          <w:sz w:val="18"/>
          <w:szCs w:val="18"/>
          <w:color w:val="auto"/>
        </w:rPr>
        <w:t>The board of directors and the nominating and governance committee evaluated each of the director nominees’ contributions to the board of directors as well as their role in the operation of the board of directors as a whole. The nominating and governance committee considered both the background and experience of each director nominee as well as the qualifications set forth in the biographies on pages 5 to 10 of this proxy statement.</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16</w:t>
      </w:r>
    </w:p>
    <w:p>
      <w:pPr>
        <w:sectPr>
          <w:pgSz w:w="11900" w:h="16838" w:orient="portrait"/>
          <w:cols w:equalWidth="0" w:num="1">
            <w:col w:w="11240"/>
          </w:cols>
          <w:pgMar w:left="240" w:top="455" w:right="4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Board Diversity and Tenure</w:t>
      </w:r>
    </w:p>
    <w:p>
      <w:pPr>
        <w:spacing w:after="0" w:line="17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The composition of the nominees for the board also reflects diversity of gender, race and age, an objective that the nominating and governance committee continually strives to enhance when searching for and considering new directors. Based on the composition of the nominees for our board of directors, we believe this objective has been achieved.</w:t>
      </w:r>
    </w:p>
    <w:p>
      <w:pPr>
        <w:spacing w:after="0" w:line="388" w:lineRule="exact"/>
        <w:rPr>
          <w:sz w:val="20"/>
          <w:szCs w:val="20"/>
          <w:color w:val="auto"/>
        </w:rPr>
      </w:pPr>
    </w:p>
    <w:p>
      <w:pPr>
        <w:ind w:left="2180" w:hanging="310"/>
        <w:spacing w:after="0"/>
        <w:tabs>
          <w:tab w:leader="none" w:pos="2180" w:val="left"/>
        </w:tabs>
        <w:numPr>
          <w:ilvl w:val="0"/>
          <w:numId w:val="19"/>
        </w:numPr>
        <w:rPr>
          <w:rFonts w:ascii="Arial" w:cs="Arial" w:eastAsia="Arial" w:hAnsi="Arial"/>
          <w:sz w:val="40"/>
          <w:szCs w:val="40"/>
          <w:b w:val="1"/>
          <w:bCs w:val="1"/>
          <w:color w:val="FFFFFF"/>
          <w:shd w:val="clear" w:color="auto" w:fill="5D89B4"/>
        </w:rPr>
      </w:pPr>
      <w:r>
        <w:rPr>
          <w:rFonts w:ascii="Arial" w:cs="Arial" w:eastAsia="Arial" w:hAnsi="Arial"/>
          <w:sz w:val="22"/>
          <w:szCs w:val="22"/>
          <w:color w:val="auto"/>
        </w:rPr>
        <w:t xml:space="preserve">are </w:t>
      </w:r>
      <w:r>
        <w:rPr>
          <w:rFonts w:ascii="Arial" w:cs="Arial" w:eastAsia="Arial" w:hAnsi="Arial"/>
          <w:sz w:val="22"/>
          <w:szCs w:val="22"/>
          <w:b w:val="1"/>
          <w:bCs w:val="1"/>
          <w:color w:val="5D89B4"/>
        </w:rPr>
        <w:t>women</w:t>
      </w:r>
    </w:p>
    <w:p>
      <w:pPr>
        <w:spacing w:after="0" w:line="323" w:lineRule="exact"/>
        <w:rPr>
          <w:rFonts w:ascii="Arial" w:cs="Arial" w:eastAsia="Arial" w:hAnsi="Arial"/>
          <w:sz w:val="40"/>
          <w:szCs w:val="40"/>
          <w:b w:val="1"/>
          <w:bCs w:val="1"/>
          <w:color w:val="FFFFFF"/>
          <w:shd w:val="clear" w:color="auto" w:fill="5D89B4"/>
        </w:rPr>
      </w:pPr>
    </w:p>
    <w:p>
      <w:pPr>
        <w:ind w:left="2180" w:hanging="310"/>
        <w:spacing w:after="0"/>
        <w:tabs>
          <w:tab w:leader="none" w:pos="2180" w:val="left"/>
        </w:tabs>
        <w:numPr>
          <w:ilvl w:val="0"/>
          <w:numId w:val="19"/>
        </w:numPr>
        <w:rPr>
          <w:rFonts w:ascii="Arial" w:cs="Arial" w:eastAsia="Arial" w:hAnsi="Arial"/>
          <w:sz w:val="40"/>
          <w:szCs w:val="40"/>
          <w:b w:val="1"/>
          <w:bCs w:val="1"/>
          <w:color w:val="FFFFFF"/>
        </w:rPr>
      </w:pPr>
      <w:r>
        <w:rPr>
          <w:rFonts w:ascii="Arial" w:cs="Arial" w:eastAsia="Arial" w:hAnsi="Arial"/>
          <w:sz w:val="22"/>
          <w:szCs w:val="22"/>
          <w:color w:val="auto"/>
        </w:rPr>
        <w:t xml:space="preserve">are in their </w:t>
      </w:r>
      <w:r>
        <w:rPr>
          <w:rFonts w:ascii="Arial" w:cs="Arial" w:eastAsia="Arial" w:hAnsi="Arial"/>
          <w:sz w:val="22"/>
          <w:szCs w:val="22"/>
          <w:b w:val="1"/>
          <w:bCs w:val="1"/>
          <w:color w:val="5D89B4"/>
        </w:rPr>
        <w:t>50’s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-779145</wp:posOffset>
            </wp:positionV>
            <wp:extent cx="4545330" cy="16376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45330" cy="1637665"/>
                    </a:xfrm>
                    <a:prstGeom prst="rect">
                      <a:avLst/>
                    </a:prstGeom>
                    <a:noFill/>
                  </pic:spPr>
                </pic:pic>
              </a:graphicData>
            </a:graphic>
          </wp:anchor>
        </w:drawing>
      </w:r>
    </w:p>
    <w:p>
      <w:pPr>
        <w:spacing w:after="0" w:line="47" w:lineRule="exact"/>
        <w:rPr>
          <w:sz w:val="20"/>
          <w:szCs w:val="20"/>
          <w:color w:val="auto"/>
        </w:rPr>
      </w:pPr>
    </w:p>
    <w:p>
      <w:pPr>
        <w:ind w:left="2180" w:hanging="310"/>
        <w:spacing w:after="0"/>
        <w:tabs>
          <w:tab w:leader="none" w:pos="2180" w:val="left"/>
        </w:tabs>
        <w:numPr>
          <w:ilvl w:val="0"/>
          <w:numId w:val="20"/>
        </w:numPr>
        <w:rPr>
          <w:rFonts w:ascii="Arial" w:cs="Arial" w:eastAsia="Arial" w:hAnsi="Arial"/>
          <w:sz w:val="40"/>
          <w:szCs w:val="40"/>
          <w:b w:val="1"/>
          <w:bCs w:val="1"/>
          <w:color w:val="FFFFFF"/>
        </w:rPr>
      </w:pPr>
      <w:r>
        <w:rPr>
          <w:rFonts w:ascii="Arial" w:cs="Arial" w:eastAsia="Arial" w:hAnsi="Arial"/>
          <w:sz w:val="22"/>
          <w:szCs w:val="22"/>
          <w:color w:val="auto"/>
        </w:rPr>
        <w:t xml:space="preserve">are in their </w:t>
      </w:r>
      <w:r>
        <w:rPr>
          <w:rFonts w:ascii="Arial" w:cs="Arial" w:eastAsia="Arial" w:hAnsi="Arial"/>
          <w:sz w:val="22"/>
          <w:szCs w:val="22"/>
          <w:b w:val="1"/>
          <w:bCs w:val="1"/>
          <w:color w:val="5D89B4"/>
        </w:rPr>
        <w:t>60’s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-281940</wp:posOffset>
            </wp:positionV>
            <wp:extent cx="2349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7" w:lineRule="exact"/>
        <w:rPr>
          <w:sz w:val="20"/>
          <w:szCs w:val="20"/>
          <w:color w:val="auto"/>
        </w:rPr>
      </w:pPr>
    </w:p>
    <w:p>
      <w:pPr>
        <w:ind w:left="2180" w:hanging="310"/>
        <w:spacing w:after="0"/>
        <w:tabs>
          <w:tab w:leader="none" w:pos="2180" w:val="left"/>
        </w:tabs>
        <w:numPr>
          <w:ilvl w:val="0"/>
          <w:numId w:val="21"/>
        </w:numPr>
        <w:rPr>
          <w:rFonts w:ascii="Arial" w:cs="Arial" w:eastAsia="Arial" w:hAnsi="Arial"/>
          <w:sz w:val="40"/>
          <w:szCs w:val="40"/>
          <w:b w:val="1"/>
          <w:bCs w:val="1"/>
          <w:color w:val="FFFFFF"/>
        </w:rPr>
      </w:pPr>
      <w:r>
        <w:rPr>
          <w:rFonts w:ascii="Arial" w:cs="Arial" w:eastAsia="Arial" w:hAnsi="Arial"/>
          <w:sz w:val="22"/>
          <w:szCs w:val="22"/>
          <w:color w:val="auto"/>
        </w:rPr>
        <w:t xml:space="preserve">is in his </w:t>
      </w:r>
      <w:r>
        <w:rPr>
          <w:rFonts w:ascii="Arial" w:cs="Arial" w:eastAsia="Arial" w:hAnsi="Arial"/>
          <w:sz w:val="22"/>
          <w:szCs w:val="22"/>
          <w:b w:val="1"/>
          <w:bCs w:val="1"/>
          <w:color w:val="5D89B4"/>
        </w:rPr>
        <w:t>70’s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52070</wp:posOffset>
            </wp:positionV>
            <wp:extent cx="2349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-281940</wp:posOffset>
            </wp:positionV>
            <wp:extent cx="2349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Other Information</w:t>
      </w:r>
    </w:p>
    <w:p>
      <w:pPr>
        <w:spacing w:after="0" w:line="170"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In August 2008, the SEC approved a negotiated settlement with EY and two of its partners, including Mr. Ferraro, relating to auditor independence issues arising out of business relationships between EY and an individual who was also a member of the board of directors of three of its audit clients. The matter arose out of actions taken by Mr. Ferraro in 2002 in his role as Vice Chairman of EY. As part of the settlement, the respondents neither admitted nor denied the underlying allegations and accepted an administrative cease and desist order. Mr. Ferraro did not receive any suspension, fines or other sanctions and remained a partner in good standing at EY through January 2015. Our board of directors took into consideration all factors regarding Mr. Ferraro’s character and experience when considering his nomination.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Board Leadership Structure</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Chairman of the Board</w:t>
      </w:r>
    </w:p>
    <w:p>
      <w:pPr>
        <w:spacing w:after="0" w:line="104"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Under ManpowerGroup’s bylaws and in accordance with the Company’s corporate governance guidelines, the board of directors can choose whether the roles of chairman and chief executive officer should be combined or separated, based on what it believes is best for the Company and its shareholders at a given point in time. Jonas Prising has been chairman of the board of directors since December 31, 2015. The board of directors has evaluated the Company’s leadership structure and determined that the presence of our independent lead director who, as described below, has meaningful oversight responsibilities, together with a strong leader in the combined role of chairman and chief executive officer, serves the best interests of ManpowerGroup and its shareholders. The board of directors believes that in light of Mr. Prising’s extensive knowledge of ManpowerGroup and its industry, gained through his tenure with the Company, he is well positioned to serve as both chairman and chief executive officer of the Company.</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Duties of Lead Director</w:t>
      </w:r>
    </w:p>
    <w:p>
      <w:pPr>
        <w:spacing w:after="0" w:line="144" w:lineRule="exact"/>
        <w:rPr>
          <w:sz w:val="20"/>
          <w:szCs w:val="20"/>
          <w:color w:val="auto"/>
        </w:rPr>
      </w:pPr>
    </w:p>
    <w:p>
      <w:pPr>
        <w:ind w:left="200" w:right="120"/>
        <w:spacing w:after="0" w:line="248" w:lineRule="auto"/>
        <w:rPr>
          <w:sz w:val="20"/>
          <w:szCs w:val="20"/>
          <w:color w:val="auto"/>
        </w:rPr>
      </w:pPr>
      <w:r>
        <w:rPr>
          <w:rFonts w:ascii="Arial" w:cs="Arial" w:eastAsia="Arial" w:hAnsi="Arial"/>
          <w:sz w:val="18"/>
          <w:szCs w:val="18"/>
          <w:color w:val="auto"/>
        </w:rPr>
        <w:t>Our corporate governance guidelines provide that if the same person holds the chief executive officer and chairman roles or if the chairman is not independent, the board of directors will designate one of the independent directors to serve as the lead director. The lead director helps ensure that there is an appropriate balance between management and the independent directors and that the independent directors are fully informed and able to discuss and debate the issues that they deem important.</w:t>
      </w:r>
    </w:p>
    <w:p>
      <w:pPr>
        <w:spacing w:after="0" w:line="90" w:lineRule="exact"/>
        <w:rPr>
          <w:sz w:val="20"/>
          <w:szCs w:val="20"/>
          <w:color w:val="auto"/>
        </w:rPr>
      </w:pPr>
    </w:p>
    <w:p>
      <w:pPr>
        <w:ind w:left="200" w:right="140"/>
        <w:spacing w:after="0" w:line="276" w:lineRule="auto"/>
        <w:rPr>
          <w:sz w:val="20"/>
          <w:szCs w:val="20"/>
          <w:color w:val="auto"/>
        </w:rPr>
      </w:pPr>
      <w:r>
        <w:rPr>
          <w:rFonts w:ascii="Arial" w:cs="Arial" w:eastAsia="Arial" w:hAnsi="Arial"/>
          <w:sz w:val="18"/>
          <w:szCs w:val="18"/>
          <w:color w:val="auto"/>
        </w:rPr>
        <w:t>Our corporate governance guidelines contemplate that the lead director will be appointed annually and that he or she should be willing to serve for at least three years in such capacity. The board of directors believes having a</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39"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lead director serving continuous terms provides greater continuity to the role, enhances board leadership and performance and facilitates effective oversight of the performance of senior management. Our current lead director, Mr. Downe, has served as lead director since May 2017 and at the meeting in February 2018, the board of directors re-appointed Mr. Downe to serve as lead director for another year.</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lead director’s duties as specified in the Company’s corporate governance guidelines are as follows:</w:t>
      </w:r>
    </w:p>
    <w:p>
      <w:pPr>
        <w:spacing w:after="0" w:line="144" w:lineRule="exact"/>
        <w:rPr>
          <w:sz w:val="20"/>
          <w:szCs w:val="20"/>
          <w:color w:val="auto"/>
        </w:rPr>
      </w:pPr>
    </w:p>
    <w:p>
      <w:pPr>
        <w:ind w:left="640" w:right="160" w:hanging="328"/>
        <w:spacing w:after="0" w:line="276" w:lineRule="auto"/>
        <w:tabs>
          <w:tab w:leader="none" w:pos="64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Preside at executive sessions of the non-employee directors and all other meetings of directors where the chairman of the board is not present;</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Serve as liaison between the chairman of the board and the non-employee directors;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Approve what information is sent to the board;</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Approve the meeting agendas for the board;</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Approve meeting schedules to assure that there is sufficient time for discussion on all agenda items;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Have the authority to call meetings of the non-employee directors; and</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If requested by major shareholders, ensure that he or she is available for consultation and direct communication.</w:t>
      </w:r>
    </w:p>
    <w:p>
      <w:pPr>
        <w:spacing w:after="0" w:line="30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Board Oversight of Risk</w:t>
      </w:r>
    </w:p>
    <w:p>
      <w:pPr>
        <w:spacing w:after="0" w:line="170" w:lineRule="exact"/>
        <w:rPr>
          <w:sz w:val="20"/>
          <w:szCs w:val="20"/>
          <w:color w:val="auto"/>
        </w:rPr>
      </w:pPr>
    </w:p>
    <w:p>
      <w:pPr>
        <w:jc w:val="both"/>
        <w:ind w:left="200" w:right="340"/>
        <w:spacing w:after="0" w:line="255" w:lineRule="auto"/>
        <w:rPr>
          <w:sz w:val="20"/>
          <w:szCs w:val="20"/>
          <w:color w:val="auto"/>
        </w:rPr>
      </w:pPr>
      <w:r>
        <w:rPr>
          <w:rFonts w:ascii="Arial" w:cs="Arial" w:eastAsia="Arial" w:hAnsi="Arial"/>
          <w:sz w:val="18"/>
          <w:szCs w:val="18"/>
          <w:color w:val="auto"/>
        </w:rPr>
        <w:t>The board of directors is responsible for overseeing management in the execution of management’s Company-wide risk management responsibilities. The board of directors fulfills this responsibility both directly and through its standing committees (as discussed further below), each of which assists the board of directors in overseeing a part of the Company’s overall risk management.</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committees of the board oversee specific areas of the Company’s risk management as described below:</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Audit Committee</w:t>
      </w:r>
    </w:p>
    <w:p>
      <w:pPr>
        <w:spacing w:after="0" w:line="144" w:lineRule="exact"/>
        <w:rPr>
          <w:sz w:val="20"/>
          <w:szCs w:val="20"/>
          <w:color w:val="auto"/>
        </w:rPr>
      </w:pPr>
    </w:p>
    <w:p>
      <w:pPr>
        <w:ind w:left="200" w:right="720"/>
        <w:spacing w:after="0" w:line="276" w:lineRule="auto"/>
        <w:rPr>
          <w:sz w:val="20"/>
          <w:szCs w:val="20"/>
          <w:color w:val="auto"/>
        </w:rPr>
      </w:pPr>
      <w:r>
        <w:rPr>
          <w:rFonts w:ascii="Arial" w:cs="Arial" w:eastAsia="Arial" w:hAnsi="Arial"/>
          <w:sz w:val="18"/>
          <w:szCs w:val="18"/>
          <w:color w:val="auto"/>
        </w:rPr>
        <w:t>The audit committee is responsible for assisting the board of directors with its oversight of the performance of the Company’s risk management functions including:</w:t>
      </w:r>
    </w:p>
    <w:p>
      <w:pPr>
        <w:spacing w:after="0" w:line="78" w:lineRule="exact"/>
        <w:rPr>
          <w:sz w:val="20"/>
          <w:szCs w:val="20"/>
          <w:color w:val="auto"/>
        </w:rPr>
      </w:pPr>
    </w:p>
    <w:p>
      <w:pPr>
        <w:ind w:left="640" w:right="260" w:hanging="328"/>
        <w:spacing w:after="0" w:line="276" w:lineRule="auto"/>
        <w:tabs>
          <w:tab w:leader="none" w:pos="640" w:val="left"/>
        </w:tabs>
        <w:numPr>
          <w:ilvl w:val="0"/>
          <w:numId w:val="23"/>
        </w:numPr>
        <w:rPr>
          <w:rFonts w:ascii="Arial" w:cs="Arial" w:eastAsia="Arial" w:hAnsi="Arial"/>
          <w:sz w:val="18"/>
          <w:szCs w:val="18"/>
          <w:color w:val="5D89B4"/>
        </w:rPr>
      </w:pPr>
      <w:r>
        <w:rPr>
          <w:rFonts w:ascii="Arial" w:cs="Arial" w:eastAsia="Arial" w:hAnsi="Arial"/>
          <w:sz w:val="18"/>
          <w:szCs w:val="18"/>
          <w:color w:val="auto"/>
        </w:rPr>
        <w:t>Periodically reviewing and discussing with management the Company’s risk management framework, including policies, practices and procedures regarding risk assessment and management;</w:t>
      </w:r>
    </w:p>
    <w:p>
      <w:pPr>
        <w:spacing w:after="0" w:line="10" w:lineRule="exact"/>
        <w:rPr>
          <w:rFonts w:ascii="Arial" w:cs="Arial" w:eastAsia="Arial" w:hAnsi="Arial"/>
          <w:sz w:val="18"/>
          <w:szCs w:val="18"/>
          <w:color w:val="5D89B4"/>
        </w:rPr>
      </w:pPr>
    </w:p>
    <w:p>
      <w:pPr>
        <w:ind w:left="640" w:right="120" w:hanging="328"/>
        <w:spacing w:after="0" w:line="276" w:lineRule="auto"/>
        <w:tabs>
          <w:tab w:leader="none" w:pos="640" w:val="left"/>
        </w:tabs>
        <w:numPr>
          <w:ilvl w:val="0"/>
          <w:numId w:val="23"/>
        </w:numPr>
        <w:rPr>
          <w:rFonts w:ascii="Arial" w:cs="Arial" w:eastAsia="Arial" w:hAnsi="Arial"/>
          <w:sz w:val="18"/>
          <w:szCs w:val="18"/>
          <w:color w:val="5D89B4"/>
        </w:rPr>
      </w:pPr>
      <w:r>
        <w:rPr>
          <w:rFonts w:ascii="Arial" w:cs="Arial" w:eastAsia="Arial" w:hAnsi="Arial"/>
          <w:sz w:val="18"/>
          <w:szCs w:val="18"/>
          <w:color w:val="auto"/>
        </w:rPr>
        <w:t>Periodically receiving, reviewing and discussing with management reports on selected risk topics as the committee or management deems appropriate from time to time; and</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23"/>
        </w:numPr>
        <w:rPr>
          <w:rFonts w:ascii="Arial" w:cs="Arial" w:eastAsia="Arial" w:hAnsi="Arial"/>
          <w:sz w:val="18"/>
          <w:szCs w:val="18"/>
          <w:color w:val="5D89B4"/>
        </w:rPr>
      </w:pPr>
      <w:r>
        <w:rPr>
          <w:rFonts w:ascii="Arial" w:cs="Arial" w:eastAsia="Arial" w:hAnsi="Arial"/>
          <w:sz w:val="18"/>
          <w:szCs w:val="18"/>
          <w:color w:val="auto"/>
        </w:rPr>
        <w:t>Periodically reporting to the board of directors on its activities in this oversight role.</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Executive Compensation and Human Resources Committee</w:t>
      </w:r>
    </w:p>
    <w:p>
      <w:pPr>
        <w:spacing w:after="0" w:line="144"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The executive compensation and human resources committee reviews and discusses with management the Company’s compensation policies and practices and management’s assessment of whether any risks arising from such policies and practices are reasonably likely to have a material adverse effect on the Company.</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Nominating and Governance Committee</w:t>
      </w:r>
    </w:p>
    <w:p>
      <w:pPr>
        <w:spacing w:after="0" w:line="131" w:lineRule="exact"/>
        <w:rPr>
          <w:sz w:val="20"/>
          <w:szCs w:val="20"/>
          <w:color w:val="auto"/>
        </w:rPr>
      </w:pPr>
    </w:p>
    <w:p>
      <w:pPr>
        <w:ind w:left="200" w:right="260"/>
        <w:spacing w:after="0" w:line="276" w:lineRule="auto"/>
        <w:rPr>
          <w:sz w:val="20"/>
          <w:szCs w:val="20"/>
          <w:color w:val="auto"/>
        </w:rPr>
      </w:pPr>
      <w:r>
        <w:rPr>
          <w:rFonts w:ascii="Arial" w:cs="Arial" w:eastAsia="Arial" w:hAnsi="Arial"/>
          <w:sz w:val="18"/>
          <w:szCs w:val="18"/>
          <w:color w:val="auto"/>
        </w:rPr>
        <w:t>The nominating and governance committee evaluates the overall effectiveness of the board of directors, including its focus on the most critical issues and risks.</w:t>
      </w:r>
    </w:p>
    <w:p>
      <w:pPr>
        <w:spacing w:after="0" w:line="78" w:lineRule="exact"/>
        <w:rPr>
          <w:sz w:val="20"/>
          <w:szCs w:val="20"/>
          <w:color w:val="auto"/>
        </w:rPr>
      </w:pPr>
    </w:p>
    <w:p>
      <w:pPr>
        <w:jc w:val="both"/>
        <w:ind w:left="200" w:right="180"/>
        <w:spacing w:after="0" w:line="241" w:lineRule="auto"/>
        <w:rPr>
          <w:sz w:val="20"/>
          <w:szCs w:val="20"/>
          <w:color w:val="auto"/>
        </w:rPr>
      </w:pPr>
      <w:r>
        <w:rPr>
          <w:rFonts w:ascii="Arial" w:cs="Arial" w:eastAsia="Arial" w:hAnsi="Arial"/>
          <w:sz w:val="18"/>
          <w:szCs w:val="18"/>
          <w:color w:val="auto"/>
        </w:rPr>
        <w:t>As part of this oversight, the committees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w:t>
      </w:r>
    </w:p>
    <w:p>
      <w:pPr>
        <w:spacing w:after="0" w:line="1" w:lineRule="exact"/>
        <w:rPr>
          <w:sz w:val="20"/>
          <w:szCs w:val="20"/>
          <w:color w:val="auto"/>
        </w:rPr>
      </w:pPr>
    </w:p>
    <w:p>
      <w:pPr>
        <w:ind w:left="200" w:right="20" w:firstLine="4"/>
        <w:spacing w:after="0" w:line="251" w:lineRule="auto"/>
        <w:tabs>
          <w:tab w:leader="none" w:pos="4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 policies and procedures that are reasonably effective in facilitating the transmission of information with respect to material risks to the senior executives of the Company and each committee.</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18</w:t>
      </w:r>
    </w:p>
    <w:p>
      <w:pPr>
        <w:sectPr>
          <w:pgSz w:w="11900" w:h="16838" w:orient="portrait"/>
          <w:cols w:equalWidth="0" w:num="1">
            <w:col w:w="11180"/>
          </w:cols>
          <w:pgMar w:left="240" w:top="455" w:right="4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320"/>
        <w:spacing w:after="0"/>
        <w:rPr>
          <w:sz w:val="20"/>
          <w:szCs w:val="20"/>
          <w:color w:val="auto"/>
        </w:rPr>
      </w:pPr>
      <w:r>
        <w:rPr>
          <w:rFonts w:ascii="Arial" w:cs="Arial" w:eastAsia="Arial" w:hAnsi="Arial"/>
          <w:sz w:val="18"/>
          <w:szCs w:val="18"/>
          <w:color w:val="FFFFFF"/>
        </w:rPr>
        <w:t>1. Election of Directors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Compensation Consultant</w:t>
      </w:r>
    </w:p>
    <w:p>
      <w:pPr>
        <w:spacing w:after="0" w:line="170" w:lineRule="exact"/>
        <w:rPr>
          <w:sz w:val="20"/>
          <w:szCs w:val="20"/>
          <w:color w:val="auto"/>
        </w:rPr>
      </w:pPr>
    </w:p>
    <w:p>
      <w:pPr>
        <w:ind w:left="200" w:right="340"/>
        <w:spacing w:after="0" w:line="245" w:lineRule="auto"/>
        <w:rPr>
          <w:sz w:val="20"/>
          <w:szCs w:val="20"/>
          <w:color w:val="auto"/>
        </w:rPr>
      </w:pPr>
      <w:r>
        <w:rPr>
          <w:rFonts w:ascii="Arial" w:cs="Arial" w:eastAsia="Arial" w:hAnsi="Arial"/>
          <w:sz w:val="18"/>
          <w:szCs w:val="18"/>
          <w:color w:val="auto"/>
        </w:rPr>
        <w:t>The executive compensation and human resources committee directly retains Mercer (US) Inc. to advise it on executive compensation matters. Mercer reports to the chair of the committee. On an annual basis, the committee and Mercer enter into an engagement letter,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2017 were $265,413.</w:t>
      </w:r>
    </w:p>
    <w:p>
      <w:pPr>
        <w:spacing w:after="0" w:line="105" w:lineRule="exact"/>
        <w:rPr>
          <w:sz w:val="20"/>
          <w:szCs w:val="20"/>
          <w:color w:val="auto"/>
        </w:rPr>
      </w:pPr>
    </w:p>
    <w:p>
      <w:pPr>
        <w:ind w:left="200" w:right="20"/>
        <w:spacing w:after="0" w:line="248" w:lineRule="auto"/>
        <w:rPr>
          <w:sz w:val="20"/>
          <w:szCs w:val="20"/>
          <w:color w:val="auto"/>
        </w:rPr>
      </w:pPr>
      <w:r>
        <w:rPr>
          <w:rFonts w:ascii="Arial" w:cs="Arial" w:eastAsia="Arial" w:hAnsi="Arial"/>
          <w:sz w:val="18"/>
          <w:szCs w:val="18"/>
          <w:color w:val="auto"/>
        </w:rPr>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Mercer was engaged by the committee to perform the following services in 2017:</w:t>
      </w:r>
    </w:p>
    <w:p>
      <w:pPr>
        <w:spacing w:after="0" w:line="144" w:lineRule="exact"/>
        <w:rPr>
          <w:sz w:val="20"/>
          <w:szCs w:val="20"/>
          <w:color w:val="auto"/>
        </w:rPr>
      </w:pPr>
    </w:p>
    <w:p>
      <w:pPr>
        <w:jc w:val="both"/>
        <w:ind w:left="640" w:right="360" w:hanging="328"/>
        <w:spacing w:after="0" w:line="255" w:lineRule="auto"/>
        <w:tabs>
          <w:tab w:leader="none" w:pos="6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Evaluate the competitiveness of our total executive compensation and benefits program for the senior executives, including base salary, annual incentive, total cash compensation, long-term incentive awards, total direct compensation, retirement benefits and total remuneration against the market;</w:t>
      </w:r>
    </w:p>
    <w:p>
      <w:pPr>
        <w:spacing w:after="0" w:line="29" w:lineRule="exact"/>
        <w:rPr>
          <w:rFonts w:ascii="Arial" w:cs="Arial" w:eastAsia="Arial" w:hAnsi="Arial"/>
          <w:sz w:val="18"/>
          <w:szCs w:val="18"/>
          <w:color w:val="5D89B4"/>
        </w:rPr>
      </w:pPr>
    </w:p>
    <w:p>
      <w:pPr>
        <w:ind w:left="640" w:right="540" w:hanging="328"/>
        <w:spacing w:after="0" w:line="276" w:lineRule="auto"/>
        <w:tabs>
          <w:tab w:leader="none" w:pos="6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Assess how well the compensation and benefits programs are aligned with the committee’s stated philosophy to align pay with performance, including analyzing our performance against comparator companies;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Review and recommend the companies used in our comparator group and our industry peer group;</w:t>
      </w:r>
    </w:p>
    <w:p>
      <w:pPr>
        <w:spacing w:after="0" w:line="76" w:lineRule="exact"/>
        <w:rPr>
          <w:rFonts w:ascii="Arial" w:cs="Arial" w:eastAsia="Arial" w:hAnsi="Arial"/>
          <w:sz w:val="18"/>
          <w:szCs w:val="18"/>
          <w:color w:val="5D89B4"/>
        </w:rPr>
      </w:pPr>
    </w:p>
    <w:p>
      <w:pPr>
        <w:ind w:left="640" w:right="160" w:hanging="328"/>
        <w:spacing w:after="0" w:line="276" w:lineRule="auto"/>
        <w:tabs>
          <w:tab w:leader="none" w:pos="6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Provide advice and assistance to the committee on the levels of total compensation and the principal elements of compensation for our senior executives;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Advise the executive compensation and human resources committee on salary, target incentive opportunities and equity grants;</w:t>
      </w:r>
    </w:p>
    <w:p>
      <w:pPr>
        <w:spacing w:after="0" w:line="76" w:lineRule="exact"/>
        <w:rPr>
          <w:rFonts w:ascii="Arial" w:cs="Arial" w:eastAsia="Arial" w:hAnsi="Arial"/>
          <w:sz w:val="18"/>
          <w:szCs w:val="18"/>
          <w:color w:val="5D89B4"/>
        </w:rPr>
      </w:pPr>
    </w:p>
    <w:p>
      <w:pPr>
        <w:ind w:left="640" w:right="220" w:hanging="328"/>
        <w:spacing w:after="0" w:line="276" w:lineRule="auto"/>
        <w:tabs>
          <w:tab w:leader="none" w:pos="6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Brief the committee on trends in executive compensation and benefits among large public companies and on regulatory, legislative and other developments; and</w:t>
      </w:r>
    </w:p>
    <w:p>
      <w:pPr>
        <w:spacing w:after="0" w:line="10" w:lineRule="exact"/>
        <w:rPr>
          <w:rFonts w:ascii="Arial" w:cs="Arial" w:eastAsia="Arial" w:hAnsi="Arial"/>
          <w:sz w:val="18"/>
          <w:szCs w:val="18"/>
          <w:color w:val="5D89B4"/>
        </w:rPr>
      </w:pPr>
    </w:p>
    <w:p>
      <w:pPr>
        <w:ind w:left="640" w:right="160" w:hanging="328"/>
        <w:spacing w:after="0" w:line="276" w:lineRule="auto"/>
        <w:tabs>
          <w:tab w:leader="none" w:pos="6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Assist in reviewing the Compensation Discussion and Analysis and other executive compensation disclosures to be included in this proxy statement.</w:t>
      </w:r>
    </w:p>
    <w:p>
      <w:pPr>
        <w:spacing w:after="0" w:line="78" w:lineRule="exact"/>
        <w:rPr>
          <w:sz w:val="20"/>
          <w:szCs w:val="20"/>
          <w:color w:val="auto"/>
        </w:rPr>
      </w:pPr>
    </w:p>
    <w:p>
      <w:pPr>
        <w:ind w:left="200" w:right="340"/>
        <w:spacing w:after="0" w:line="276" w:lineRule="auto"/>
        <w:rPr>
          <w:sz w:val="20"/>
          <w:szCs w:val="20"/>
          <w:color w:val="auto"/>
        </w:rPr>
      </w:pPr>
      <w:r>
        <w:rPr>
          <w:rFonts w:ascii="Arial" w:cs="Arial" w:eastAsia="Arial" w:hAnsi="Arial"/>
          <w:sz w:val="18"/>
          <w:szCs w:val="18"/>
          <w:color w:val="auto"/>
        </w:rPr>
        <w:t>The committee has reviewed whether the work provided by Mercer raises any conflict of interest. Factors considered by the committee include:</w:t>
      </w:r>
    </w:p>
    <w:p>
      <w:pPr>
        <w:spacing w:after="0" w:line="78" w:lineRule="exact"/>
        <w:rPr>
          <w:sz w:val="20"/>
          <w:szCs w:val="20"/>
          <w:color w:val="auto"/>
        </w:rPr>
      </w:pPr>
    </w:p>
    <w:p>
      <w:pPr>
        <w:ind w:left="640" w:hanging="328"/>
        <w:spacing w:after="0"/>
        <w:tabs>
          <w:tab w:leader="none" w:pos="640" w:val="left"/>
        </w:tabs>
        <w:numPr>
          <w:ilvl w:val="0"/>
          <w:numId w:val="26"/>
        </w:numPr>
        <w:rPr>
          <w:rFonts w:ascii="Arial" w:cs="Arial" w:eastAsia="Arial" w:hAnsi="Arial"/>
          <w:sz w:val="18"/>
          <w:szCs w:val="18"/>
          <w:color w:val="5D89B4"/>
        </w:rPr>
      </w:pPr>
      <w:r>
        <w:rPr>
          <w:rFonts w:ascii="Arial" w:cs="Arial" w:eastAsia="Arial" w:hAnsi="Arial"/>
          <w:sz w:val="18"/>
          <w:szCs w:val="18"/>
          <w:color w:val="auto"/>
        </w:rPr>
        <w:t>Other services provided to the Company by the consultant;</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6"/>
        </w:numPr>
        <w:rPr>
          <w:rFonts w:ascii="Arial" w:cs="Arial" w:eastAsia="Arial" w:hAnsi="Arial"/>
          <w:sz w:val="18"/>
          <w:szCs w:val="18"/>
          <w:color w:val="5D89B4"/>
        </w:rPr>
      </w:pPr>
      <w:r>
        <w:rPr>
          <w:rFonts w:ascii="Arial" w:cs="Arial" w:eastAsia="Arial" w:hAnsi="Arial"/>
          <w:sz w:val="18"/>
          <w:szCs w:val="18"/>
          <w:color w:val="auto"/>
        </w:rPr>
        <w:t>What percentage of the consultant’s total revenue is made up of fees from the Company;</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6"/>
        </w:numPr>
        <w:rPr>
          <w:rFonts w:ascii="Arial" w:cs="Arial" w:eastAsia="Arial" w:hAnsi="Arial"/>
          <w:sz w:val="18"/>
          <w:szCs w:val="18"/>
          <w:color w:val="5D89B4"/>
        </w:rPr>
      </w:pPr>
      <w:r>
        <w:rPr>
          <w:rFonts w:ascii="Arial" w:cs="Arial" w:eastAsia="Arial" w:hAnsi="Arial"/>
          <w:sz w:val="18"/>
          <w:szCs w:val="18"/>
          <w:color w:val="auto"/>
        </w:rPr>
        <w:t>Policies or procedures of the consultant that are designed to prevent a conflict of interest;</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6"/>
        </w:numPr>
        <w:rPr>
          <w:rFonts w:ascii="Arial" w:cs="Arial" w:eastAsia="Arial" w:hAnsi="Arial"/>
          <w:sz w:val="18"/>
          <w:szCs w:val="18"/>
          <w:color w:val="5D89B4"/>
        </w:rPr>
      </w:pPr>
      <w:r>
        <w:rPr>
          <w:rFonts w:ascii="Arial" w:cs="Arial" w:eastAsia="Arial" w:hAnsi="Arial"/>
          <w:sz w:val="18"/>
          <w:szCs w:val="18"/>
          <w:color w:val="auto"/>
        </w:rPr>
        <w:t>Any business or personal relationships between individual consultants involved in the engagement and committee members;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26"/>
        </w:numPr>
        <w:rPr>
          <w:rFonts w:ascii="Arial" w:cs="Arial" w:eastAsia="Arial" w:hAnsi="Arial"/>
          <w:sz w:val="18"/>
          <w:szCs w:val="18"/>
          <w:color w:val="5D89B4"/>
        </w:rPr>
      </w:pPr>
      <w:r>
        <w:rPr>
          <w:rFonts w:ascii="Arial" w:cs="Arial" w:eastAsia="Arial" w:hAnsi="Arial"/>
          <w:sz w:val="18"/>
          <w:szCs w:val="18"/>
          <w:color w:val="auto"/>
        </w:rPr>
        <w:t>Any shares of the Company’s stock owned by individual consultants involved in the engagement; and</w:t>
      </w:r>
    </w:p>
    <w:p>
      <w:pPr>
        <w:spacing w:after="0" w:line="76" w:lineRule="exact"/>
        <w:rPr>
          <w:rFonts w:ascii="Arial" w:cs="Arial" w:eastAsia="Arial" w:hAnsi="Arial"/>
          <w:sz w:val="18"/>
          <w:szCs w:val="18"/>
          <w:color w:val="5D89B4"/>
        </w:rPr>
      </w:pPr>
    </w:p>
    <w:p>
      <w:pPr>
        <w:ind w:left="640" w:right="180" w:hanging="328"/>
        <w:spacing w:after="0" w:line="276" w:lineRule="auto"/>
        <w:tabs>
          <w:tab w:leader="none" w:pos="640" w:val="left"/>
        </w:tabs>
        <w:numPr>
          <w:ilvl w:val="0"/>
          <w:numId w:val="26"/>
        </w:numPr>
        <w:rPr>
          <w:rFonts w:ascii="Arial" w:cs="Arial" w:eastAsia="Arial" w:hAnsi="Arial"/>
          <w:sz w:val="18"/>
          <w:szCs w:val="18"/>
          <w:color w:val="5D89B4"/>
        </w:rPr>
      </w:pPr>
      <w:r>
        <w:rPr>
          <w:rFonts w:ascii="Arial" w:cs="Arial" w:eastAsia="Arial" w:hAnsi="Arial"/>
          <w:sz w:val="18"/>
          <w:szCs w:val="18"/>
          <w:color w:val="auto"/>
        </w:rPr>
        <w:t>Any business or personal relationships between our executive officers and the consulting firm or the individual consultants involved in the engagement.</w:t>
      </w:r>
    </w:p>
    <w:p>
      <w:pPr>
        <w:spacing w:after="0" w:line="78" w:lineRule="exact"/>
        <w:rPr>
          <w:sz w:val="20"/>
          <w:szCs w:val="20"/>
          <w:color w:val="auto"/>
        </w:rPr>
      </w:pPr>
    </w:p>
    <w:p>
      <w:pPr>
        <w:ind w:left="200" w:right="600"/>
        <w:spacing w:after="0" w:line="276" w:lineRule="auto"/>
        <w:rPr>
          <w:sz w:val="20"/>
          <w:szCs w:val="20"/>
          <w:color w:val="auto"/>
        </w:rPr>
      </w:pPr>
      <w:r>
        <w:rPr>
          <w:rFonts w:ascii="Arial" w:cs="Arial" w:eastAsia="Arial" w:hAnsi="Arial"/>
          <w:sz w:val="18"/>
          <w:szCs w:val="18"/>
          <w:color w:val="auto"/>
        </w:rPr>
        <w:t>Based on its review, the committee does not believe that Mercer has a conflict of interest with respect to the work performed for the Company or the committee in 2017.</w:t>
      </w:r>
    </w:p>
    <w:p>
      <w:pPr>
        <w:spacing w:after="0" w:line="64"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 at our company.</w:t>
      </w:r>
    </w:p>
    <w:p>
      <w:pPr>
        <w:spacing w:after="0" w:line="97" w:lineRule="exact"/>
        <w:rPr>
          <w:sz w:val="20"/>
          <w:szCs w:val="20"/>
          <w:color w:val="auto"/>
        </w:rPr>
      </w:pPr>
    </w:p>
    <w:p>
      <w:pPr>
        <w:ind w:left="200" w:right="20"/>
        <w:spacing w:after="0" w:line="276" w:lineRule="auto"/>
        <w:rPr>
          <w:sz w:val="20"/>
          <w:szCs w:val="20"/>
          <w:color w:val="auto"/>
        </w:rPr>
      </w:pPr>
      <w:r>
        <w:rPr>
          <w:rFonts w:ascii="Arial" w:cs="Arial" w:eastAsia="Arial" w:hAnsi="Arial"/>
          <w:sz w:val="18"/>
          <w:szCs w:val="18"/>
          <w:color w:val="auto"/>
        </w:rPr>
        <w:t>Besides Mercer’s involvement with the committee, it and its affiliates also provide other non-executive compensation services to us. These services are approved by management who oversee the specific areas of</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1. Election of Directors</w:t>
      </w:r>
    </w:p>
    <w:p>
      <w:pPr>
        <w:spacing w:after="0" w:line="239"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business for which the services are provided. The total amount paid for these other services provided in 2017 was $536,489. These services included a review of non-employee director compensation program as requested by the nominating and governance committee, actuarial and pension reporting services, workers compensation reporting and insurance services. The majority of these services are provided not by Mercer itself, but by other companies owned by Marsh &amp; McLennan, the parent company of Mercer, which therefore, are considered affiliates even though they operate independently of Mercer. The committee considered the independence of Mercer under the rules of the SEC and the listing standards of the New York Stock Exchange.</w:t>
      </w:r>
    </w:p>
    <w:p>
      <w:pPr>
        <w:spacing w:after="0" w:line="107" w:lineRule="exact"/>
        <w:rPr>
          <w:sz w:val="20"/>
          <w:szCs w:val="20"/>
          <w:color w:val="auto"/>
        </w:rPr>
      </w:pPr>
    </w:p>
    <w:p>
      <w:pPr>
        <w:ind w:left="200" w:right="40"/>
        <w:spacing w:after="0" w:line="276" w:lineRule="auto"/>
        <w:rPr>
          <w:sz w:val="20"/>
          <w:szCs w:val="20"/>
          <w:color w:val="auto"/>
        </w:rPr>
      </w:pPr>
      <w:r>
        <w:rPr>
          <w:rFonts w:ascii="Arial" w:cs="Arial" w:eastAsia="Arial" w:hAnsi="Arial"/>
          <w:sz w:val="18"/>
          <w:szCs w:val="18"/>
          <w:color w:val="auto"/>
        </w:rPr>
        <w:t>The committee concluded that the services provided by the Marsh &amp; McLennan affiliates (other than Mercer), did not raise any conflicts of interest.</w:t>
      </w:r>
    </w:p>
    <w:p>
      <w:pPr>
        <w:spacing w:after="0" w:line="78" w:lineRule="exact"/>
        <w:rPr>
          <w:sz w:val="20"/>
          <w:szCs w:val="20"/>
          <w:color w:val="auto"/>
        </w:rPr>
      </w:pPr>
    </w:p>
    <w:p>
      <w:pPr>
        <w:ind w:left="200" w:right="280"/>
        <w:spacing w:after="0" w:line="255" w:lineRule="auto"/>
        <w:rPr>
          <w:sz w:val="20"/>
          <w:szCs w:val="20"/>
          <w:color w:val="auto"/>
        </w:rPr>
      </w:pPr>
      <w:r>
        <w:rPr>
          <w:rFonts w:ascii="Arial" w:cs="Arial" w:eastAsia="Arial" w:hAnsi="Arial"/>
          <w:sz w:val="18"/>
          <w:szCs w:val="18"/>
          <w:color w:val="auto"/>
        </w:rPr>
        <w:t>The committee believes the advice it receives from the individual executive compensation consultant is objective and not influenced by Mercer’s or its affiliates’ other relationships with us because of the procedures Mercer and the committee have in place, including the following:</w:t>
      </w:r>
    </w:p>
    <w:p>
      <w:pPr>
        <w:spacing w:after="0" w:line="97" w:lineRule="exact"/>
        <w:rPr>
          <w:sz w:val="20"/>
          <w:szCs w:val="20"/>
          <w:color w:val="auto"/>
        </w:rPr>
      </w:pPr>
    </w:p>
    <w:p>
      <w:pPr>
        <w:ind w:left="640" w:right="140" w:hanging="328"/>
        <w:spacing w:after="0" w:line="276" w:lineRule="auto"/>
        <w:tabs>
          <w:tab w:leader="none" w:pos="640" w:val="left"/>
        </w:tabs>
        <w:numPr>
          <w:ilvl w:val="0"/>
          <w:numId w:val="27"/>
        </w:numPr>
        <w:rPr>
          <w:rFonts w:ascii="Arial" w:cs="Arial" w:eastAsia="Arial" w:hAnsi="Arial"/>
          <w:sz w:val="18"/>
          <w:szCs w:val="18"/>
          <w:color w:val="5D89B4"/>
        </w:rPr>
      </w:pPr>
      <w:r>
        <w:rPr>
          <w:rFonts w:ascii="Arial" w:cs="Arial" w:eastAsia="Arial" w:hAnsi="Arial"/>
          <w:sz w:val="18"/>
          <w:szCs w:val="18"/>
          <w:color w:val="auto"/>
        </w:rPr>
        <w:t>The consultant receives no incentive or other compensation based on the fees charged to us for other services provided by Mercer or any of its affiliates;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27"/>
        </w:numPr>
        <w:rPr>
          <w:rFonts w:ascii="Arial" w:cs="Arial" w:eastAsia="Arial" w:hAnsi="Arial"/>
          <w:sz w:val="18"/>
          <w:szCs w:val="18"/>
          <w:color w:val="5D89B4"/>
        </w:rPr>
      </w:pPr>
      <w:r>
        <w:rPr>
          <w:rFonts w:ascii="Arial" w:cs="Arial" w:eastAsia="Arial" w:hAnsi="Arial"/>
          <w:sz w:val="18"/>
          <w:szCs w:val="18"/>
          <w:color w:val="auto"/>
        </w:rPr>
        <w:t>The consultant is not responsible for selling other Mercer or affiliate services to us;</w:t>
      </w:r>
    </w:p>
    <w:p>
      <w:pPr>
        <w:spacing w:after="0" w:line="76" w:lineRule="exact"/>
        <w:rPr>
          <w:rFonts w:ascii="Arial" w:cs="Arial" w:eastAsia="Arial" w:hAnsi="Arial"/>
          <w:sz w:val="18"/>
          <w:szCs w:val="18"/>
          <w:color w:val="5D89B4"/>
        </w:rPr>
      </w:pPr>
    </w:p>
    <w:p>
      <w:pPr>
        <w:ind w:left="640" w:right="540" w:hanging="328"/>
        <w:spacing w:after="0" w:line="276" w:lineRule="auto"/>
        <w:tabs>
          <w:tab w:leader="none" w:pos="640" w:val="left"/>
        </w:tabs>
        <w:numPr>
          <w:ilvl w:val="0"/>
          <w:numId w:val="27"/>
        </w:numPr>
        <w:rPr>
          <w:rFonts w:ascii="Arial" w:cs="Arial" w:eastAsia="Arial" w:hAnsi="Arial"/>
          <w:sz w:val="18"/>
          <w:szCs w:val="18"/>
          <w:color w:val="5D89B4"/>
        </w:rPr>
      </w:pPr>
      <w:r>
        <w:rPr>
          <w:rFonts w:ascii="Arial" w:cs="Arial" w:eastAsia="Arial" w:hAnsi="Arial"/>
          <w:sz w:val="18"/>
          <w:szCs w:val="18"/>
          <w:color w:val="auto"/>
        </w:rPr>
        <w:t>Mercer’s professional standards prohibit the individual consultant from considering any other relationships Mercer or any of its affiliates may have with us in rendering his or her advice and recommendations; and</w:t>
      </w:r>
    </w:p>
    <w:p>
      <w:pPr>
        <w:spacing w:after="0" w:line="10" w:lineRule="exact"/>
        <w:rPr>
          <w:rFonts w:ascii="Arial" w:cs="Arial" w:eastAsia="Arial" w:hAnsi="Arial"/>
          <w:sz w:val="18"/>
          <w:szCs w:val="18"/>
          <w:color w:val="5D89B4"/>
        </w:rPr>
      </w:pPr>
    </w:p>
    <w:p>
      <w:pPr>
        <w:ind w:left="640" w:right="80" w:hanging="328"/>
        <w:spacing w:after="0" w:line="276" w:lineRule="auto"/>
        <w:tabs>
          <w:tab w:leader="none" w:pos="640" w:val="left"/>
        </w:tabs>
        <w:numPr>
          <w:ilvl w:val="0"/>
          <w:numId w:val="27"/>
        </w:numPr>
        <w:rPr>
          <w:rFonts w:ascii="Arial" w:cs="Arial" w:eastAsia="Arial" w:hAnsi="Arial"/>
          <w:sz w:val="18"/>
          <w:szCs w:val="18"/>
          <w:color w:val="5D89B4"/>
        </w:rPr>
      </w:pPr>
      <w:r>
        <w:rPr>
          <w:rFonts w:ascii="Arial" w:cs="Arial" w:eastAsia="Arial" w:hAnsi="Arial"/>
          <w:sz w:val="18"/>
          <w:szCs w:val="18"/>
          <w:color w:val="auto"/>
        </w:rPr>
        <w:t>The committee evaluates the quality and objectivity of the services provided by the consultant each year and determines whether to continue to retain the consultant.</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20</w:t>
      </w:r>
    </w:p>
    <w:p>
      <w:pPr>
        <w:sectPr>
          <w:pgSz w:w="11900" w:h="16838" w:orient="portrait"/>
          <w:cols w:equalWidth="0" w:num="1">
            <w:col w:w="11180"/>
          </w:cols>
          <w:pgMar w:left="240" w:top="455" w:right="4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6620"/>
        <w:spacing w:after="0"/>
        <w:rPr>
          <w:sz w:val="20"/>
          <w:szCs w:val="20"/>
          <w:color w:val="auto"/>
        </w:rPr>
      </w:pPr>
      <w:r>
        <w:rPr>
          <w:rFonts w:ascii="Arial" w:cs="Arial" w:eastAsia="Arial" w:hAnsi="Arial"/>
          <w:sz w:val="18"/>
          <w:szCs w:val="18"/>
          <w:color w:val="FFFFFF"/>
        </w:rPr>
        <w:t>Beneficial Ownership of Directors and Executive Officers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Beneficial Ownership of Directors and Executive Officers</w:t>
      </w:r>
    </w:p>
    <w:p>
      <w:pPr>
        <w:spacing w:after="0" w:line="245" w:lineRule="exact"/>
        <w:rPr>
          <w:sz w:val="20"/>
          <w:szCs w:val="20"/>
          <w:color w:val="auto"/>
        </w:rPr>
      </w:pPr>
    </w:p>
    <w:p>
      <w:pPr>
        <w:ind w:left="200" w:right="200"/>
        <w:spacing w:after="0" w:line="248" w:lineRule="auto"/>
        <w:rPr>
          <w:sz w:val="20"/>
          <w:szCs w:val="20"/>
          <w:color w:val="auto"/>
        </w:rPr>
      </w:pPr>
      <w:r>
        <w:rPr>
          <w:rFonts w:ascii="Arial" w:cs="Arial" w:eastAsia="Arial" w:hAnsi="Arial"/>
          <w:sz w:val="18"/>
          <w:szCs w:val="18"/>
          <w:color w:val="auto"/>
        </w:rPr>
        <w:t>Set forth in the table below, as of February 23, 2018, are the shares of ManpowerGroup common stock beneficially owned by each director and nominee, each of the executive officers named in the table under the heading “Summary Compensation Table,” and all directors and executive officers of ManpowerGroup as a group and the shares of ManpowerGroup common stock that could be acquired within 60 days of February 23, 2018 by such persons.</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6620" w:type="dxa"/>
            <w:vAlign w:val="bottom"/>
            <w:tcBorders>
              <w:top w:val="single" w:sz="8" w:color="auto"/>
            </w:tcBorders>
            <w:shd w:val="clear" w:color="auto" w:fill="9DB8D2"/>
          </w:tcPr>
          <w:p>
            <w:pPr>
              <w:spacing w:after="0"/>
              <w:rPr>
                <w:sz w:val="22"/>
                <w:szCs w:val="22"/>
                <w:color w:val="auto"/>
              </w:rPr>
            </w:pPr>
          </w:p>
        </w:tc>
        <w:tc>
          <w:tcPr>
            <w:tcW w:w="1900" w:type="dxa"/>
            <w:vAlign w:val="bottom"/>
            <w:tcBorders>
              <w:top w:val="single" w:sz="8" w:color="auto"/>
            </w:tcBorders>
            <w:shd w:val="clear" w:color="auto" w:fill="9DB8D2"/>
          </w:tcPr>
          <w:p>
            <w:pPr>
              <w:spacing w:after="0"/>
              <w:rPr>
                <w:sz w:val="22"/>
                <w:szCs w:val="22"/>
                <w:color w:val="auto"/>
              </w:rPr>
            </w:pPr>
          </w:p>
        </w:tc>
        <w:tc>
          <w:tcPr>
            <w:tcW w:w="132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Right to</w:t>
            </w:r>
          </w:p>
        </w:tc>
        <w:tc>
          <w:tcPr>
            <w:tcW w:w="1180" w:type="dxa"/>
            <w:vAlign w:val="bottom"/>
            <w:tcBorders>
              <w:top w:val="single" w:sz="8" w:color="auto"/>
            </w:tcBorders>
            <w:shd w:val="clear" w:color="auto" w:fill="9DB8D2"/>
          </w:tcPr>
          <w:p>
            <w:pPr>
              <w:spacing w:after="0"/>
              <w:rPr>
                <w:sz w:val="22"/>
                <w:szCs w:val="22"/>
                <w:color w:val="auto"/>
              </w:rPr>
            </w:pPr>
          </w:p>
        </w:tc>
      </w:tr>
      <w:tr>
        <w:trPr>
          <w:trHeight w:val="162"/>
        </w:trPr>
        <w:tc>
          <w:tcPr>
            <w:tcW w:w="6620" w:type="dxa"/>
            <w:vAlign w:val="bottom"/>
            <w:shd w:val="clear" w:color="auto" w:fill="9DB8D2"/>
          </w:tcPr>
          <w:p>
            <w:pPr>
              <w:spacing w:after="0"/>
              <w:rPr>
                <w:sz w:val="14"/>
                <w:szCs w:val="14"/>
                <w:color w:val="auto"/>
              </w:rPr>
            </w:pPr>
          </w:p>
        </w:tc>
        <w:tc>
          <w:tcPr>
            <w:tcW w:w="1900" w:type="dxa"/>
            <w:vAlign w:val="bottom"/>
            <w:shd w:val="clear" w:color="auto" w:fill="9DB8D2"/>
          </w:tcPr>
          <w:p>
            <w:pPr>
              <w:jc w:val="center"/>
              <w:ind w:left="72"/>
              <w:spacing w:after="0"/>
              <w:rPr>
                <w:sz w:val="20"/>
                <w:szCs w:val="20"/>
                <w:color w:val="auto"/>
              </w:rPr>
            </w:pPr>
            <w:r>
              <w:rPr>
                <w:rFonts w:ascii="Arial" w:cs="Arial" w:eastAsia="Arial" w:hAnsi="Arial"/>
                <w:sz w:val="14"/>
                <w:szCs w:val="14"/>
                <w:b w:val="1"/>
                <w:bCs w:val="1"/>
                <w:color w:val="auto"/>
              </w:rPr>
              <w:t>Common Stock</w:t>
            </w:r>
          </w:p>
        </w:tc>
        <w:tc>
          <w:tcPr>
            <w:tcW w:w="13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Acquire</w:t>
            </w:r>
          </w:p>
        </w:tc>
        <w:tc>
          <w:tcPr>
            <w:tcW w:w="1180" w:type="dxa"/>
            <w:vAlign w:val="bottom"/>
            <w:shd w:val="clear" w:color="auto" w:fill="9DB8D2"/>
          </w:tcPr>
          <w:p>
            <w:pPr>
              <w:spacing w:after="0"/>
              <w:rPr>
                <w:sz w:val="14"/>
                <w:szCs w:val="14"/>
                <w:color w:val="auto"/>
              </w:rPr>
            </w:pPr>
          </w:p>
        </w:tc>
      </w:tr>
      <w:tr>
        <w:trPr>
          <w:trHeight w:val="164"/>
        </w:trPr>
        <w:tc>
          <w:tcPr>
            <w:tcW w:w="6620" w:type="dxa"/>
            <w:vAlign w:val="bottom"/>
            <w:shd w:val="clear" w:color="auto" w:fill="9DB8D2"/>
          </w:tcPr>
          <w:p>
            <w:pPr>
              <w:spacing w:after="0"/>
              <w:rPr>
                <w:sz w:val="14"/>
                <w:szCs w:val="14"/>
                <w:color w:val="auto"/>
              </w:rPr>
            </w:pPr>
          </w:p>
        </w:tc>
        <w:tc>
          <w:tcPr>
            <w:tcW w:w="1900" w:type="dxa"/>
            <w:vAlign w:val="bottom"/>
            <w:shd w:val="clear" w:color="auto" w:fill="9DB8D2"/>
          </w:tcPr>
          <w:p>
            <w:pPr>
              <w:jc w:val="center"/>
              <w:ind w:left="52"/>
              <w:spacing w:after="0"/>
              <w:rPr>
                <w:sz w:val="20"/>
                <w:szCs w:val="20"/>
                <w:color w:val="auto"/>
              </w:rPr>
            </w:pPr>
            <w:r>
              <w:rPr>
                <w:rFonts w:ascii="Arial" w:cs="Arial" w:eastAsia="Arial" w:hAnsi="Arial"/>
                <w:sz w:val="14"/>
                <w:szCs w:val="14"/>
                <w:b w:val="1"/>
                <w:bCs w:val="1"/>
                <w:color w:val="auto"/>
              </w:rPr>
              <w:t>Beneficially</w:t>
            </w:r>
          </w:p>
        </w:tc>
        <w:tc>
          <w:tcPr>
            <w:tcW w:w="13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Common</w:t>
            </w:r>
          </w:p>
        </w:tc>
        <w:tc>
          <w:tcPr>
            <w:tcW w:w="1180" w:type="dxa"/>
            <w:vAlign w:val="bottom"/>
            <w:shd w:val="clear" w:color="auto" w:fill="9DB8D2"/>
          </w:tcPr>
          <w:p>
            <w:pPr>
              <w:jc w:val="right"/>
              <w:ind w:right="152"/>
              <w:spacing w:after="0"/>
              <w:rPr>
                <w:sz w:val="20"/>
                <w:szCs w:val="20"/>
                <w:color w:val="auto"/>
              </w:rPr>
            </w:pPr>
            <w:r>
              <w:rPr>
                <w:rFonts w:ascii="Arial" w:cs="Arial" w:eastAsia="Arial" w:hAnsi="Arial"/>
                <w:sz w:val="14"/>
                <w:szCs w:val="14"/>
                <w:b w:val="1"/>
                <w:bCs w:val="1"/>
                <w:color w:val="auto"/>
              </w:rPr>
              <w:t>Percent of</w:t>
            </w:r>
          </w:p>
        </w:tc>
      </w:tr>
      <w:tr>
        <w:trPr>
          <w:trHeight w:val="189"/>
        </w:trPr>
        <w:tc>
          <w:tcPr>
            <w:tcW w:w="662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 of Beneficial Owner</w:t>
            </w:r>
          </w:p>
        </w:tc>
        <w:tc>
          <w:tcPr>
            <w:tcW w:w="1900" w:type="dxa"/>
            <w:vAlign w:val="bottom"/>
            <w:tcBorders>
              <w:bottom w:val="single" w:sz="8" w:color="auto"/>
            </w:tcBorders>
            <w:shd w:val="clear" w:color="auto" w:fill="9DB8D2"/>
          </w:tcPr>
          <w:p>
            <w:pPr>
              <w:jc w:val="center"/>
              <w:ind w:left="72"/>
              <w:spacing w:after="0"/>
              <w:rPr>
                <w:sz w:val="20"/>
                <w:szCs w:val="20"/>
                <w:color w:val="auto"/>
              </w:rPr>
            </w:pPr>
            <w:r>
              <w:rPr>
                <w:rFonts w:ascii="Arial" w:cs="Arial" w:eastAsia="Arial" w:hAnsi="Arial"/>
                <w:sz w:val="14"/>
                <w:szCs w:val="14"/>
                <w:b w:val="1"/>
                <w:bCs w:val="1"/>
                <w:color w:val="auto"/>
              </w:rPr>
              <w:t>Owned(1)(3)</w:t>
            </w:r>
          </w:p>
        </w:tc>
        <w:tc>
          <w:tcPr>
            <w:tcW w:w="1320" w:type="dxa"/>
            <w:vAlign w:val="bottom"/>
            <w:tcBorders>
              <w:bottom w:val="single" w:sz="8" w:color="auto"/>
            </w:tcBorders>
            <w:shd w:val="clear" w:color="auto" w:fill="9DB8D2"/>
          </w:tcPr>
          <w:p>
            <w:pPr>
              <w:jc w:val="right"/>
              <w:ind w:right="153"/>
              <w:spacing w:after="0"/>
              <w:rPr>
                <w:sz w:val="20"/>
                <w:szCs w:val="20"/>
                <w:color w:val="auto"/>
              </w:rPr>
            </w:pPr>
            <w:r>
              <w:rPr>
                <w:rFonts w:ascii="Arial" w:cs="Arial" w:eastAsia="Arial" w:hAnsi="Arial"/>
                <w:sz w:val="14"/>
                <w:szCs w:val="14"/>
                <w:b w:val="1"/>
                <w:bCs w:val="1"/>
                <w:color w:val="auto"/>
              </w:rPr>
              <w:t>Stock(1)(2)</w:t>
            </w:r>
          </w:p>
        </w:tc>
        <w:tc>
          <w:tcPr>
            <w:tcW w:w="1180" w:type="dxa"/>
            <w:vAlign w:val="bottom"/>
            <w:tcBorders>
              <w:bottom w:val="single" w:sz="8" w:color="auto"/>
            </w:tcBorders>
            <w:shd w:val="clear" w:color="auto" w:fill="9DB8D2"/>
          </w:tcPr>
          <w:p>
            <w:pPr>
              <w:jc w:val="right"/>
              <w:ind w:right="312"/>
              <w:spacing w:after="0"/>
              <w:rPr>
                <w:sz w:val="20"/>
                <w:szCs w:val="20"/>
                <w:color w:val="auto"/>
              </w:rPr>
            </w:pPr>
            <w:r>
              <w:rPr>
                <w:rFonts w:ascii="Arial" w:cs="Arial" w:eastAsia="Arial" w:hAnsi="Arial"/>
                <w:sz w:val="14"/>
                <w:szCs w:val="14"/>
                <w:b w:val="1"/>
                <w:bCs w:val="1"/>
                <w:color w:val="auto"/>
              </w:rPr>
              <w:t>Class</w:t>
            </w:r>
          </w:p>
        </w:tc>
      </w:tr>
      <w:tr>
        <w:trPr>
          <w:trHeight w:val="196"/>
        </w:trPr>
        <w:tc>
          <w:tcPr>
            <w:tcW w:w="6620" w:type="dxa"/>
            <w:vAlign w:val="bottom"/>
          </w:tcPr>
          <w:p>
            <w:pPr>
              <w:ind w:left="60"/>
              <w:spacing w:after="0" w:line="196" w:lineRule="exact"/>
              <w:rPr>
                <w:sz w:val="20"/>
                <w:szCs w:val="20"/>
                <w:color w:val="auto"/>
              </w:rPr>
            </w:pPr>
            <w:r>
              <w:rPr>
                <w:rFonts w:ascii="Arial" w:cs="Arial" w:eastAsia="Arial" w:hAnsi="Arial"/>
                <w:sz w:val="18"/>
                <w:szCs w:val="18"/>
                <w:color w:val="auto"/>
              </w:rPr>
              <w:t>Jonas Prising</w:t>
            </w:r>
          </w:p>
        </w:tc>
        <w:tc>
          <w:tcPr>
            <w:tcW w:w="1900" w:type="dxa"/>
            <w:vAlign w:val="bottom"/>
          </w:tcPr>
          <w:p>
            <w:pPr>
              <w:jc w:val="right"/>
              <w:ind w:right="252"/>
              <w:spacing w:after="0" w:line="196" w:lineRule="exact"/>
              <w:rPr>
                <w:sz w:val="20"/>
                <w:szCs w:val="20"/>
                <w:color w:val="auto"/>
              </w:rPr>
            </w:pPr>
            <w:r>
              <w:rPr>
                <w:rFonts w:ascii="Arial" w:cs="Arial" w:eastAsia="Arial" w:hAnsi="Arial"/>
                <w:sz w:val="18"/>
                <w:szCs w:val="18"/>
                <w:color w:val="auto"/>
              </w:rPr>
              <w:t>348,473</w:t>
            </w:r>
          </w:p>
        </w:tc>
        <w:tc>
          <w:tcPr>
            <w:tcW w:w="1320" w:type="dxa"/>
            <w:vAlign w:val="bottom"/>
          </w:tcPr>
          <w:p>
            <w:pPr>
              <w:jc w:val="right"/>
              <w:ind w:right="153"/>
              <w:spacing w:after="0" w:line="196" w:lineRule="exact"/>
              <w:rPr>
                <w:sz w:val="20"/>
                <w:szCs w:val="20"/>
                <w:color w:val="auto"/>
              </w:rPr>
            </w:pPr>
            <w:r>
              <w:rPr>
                <w:rFonts w:ascii="Arial" w:cs="Arial" w:eastAsia="Arial" w:hAnsi="Arial"/>
                <w:sz w:val="18"/>
                <w:szCs w:val="18"/>
                <w:color w:val="auto"/>
              </w:rPr>
              <w:t>180,877</w:t>
            </w:r>
          </w:p>
        </w:tc>
        <w:tc>
          <w:tcPr>
            <w:tcW w:w="118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Gina R. Boswell</w:t>
            </w:r>
          </w:p>
        </w:tc>
        <w:tc>
          <w:tcPr>
            <w:tcW w:w="190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7,870</w:t>
            </w:r>
          </w:p>
        </w:tc>
        <w:tc>
          <w:tcPr>
            <w:tcW w:w="132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tcPr>
          <w:p>
            <w:pPr>
              <w:ind w:left="60"/>
              <w:spacing w:after="0" w:line="202" w:lineRule="exact"/>
              <w:rPr>
                <w:sz w:val="20"/>
                <w:szCs w:val="20"/>
                <w:color w:val="auto"/>
              </w:rPr>
            </w:pPr>
            <w:r>
              <w:rPr>
                <w:rFonts w:ascii="Arial" w:cs="Arial" w:eastAsia="Arial" w:hAnsi="Arial"/>
                <w:sz w:val="18"/>
                <w:szCs w:val="18"/>
                <w:color w:val="auto"/>
              </w:rPr>
              <w:t>Ram Chandrashekar</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39,420</w:t>
            </w:r>
          </w:p>
        </w:tc>
        <w:tc>
          <w:tcPr>
            <w:tcW w:w="13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13,248</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Cari M. Dominguez</w:t>
            </w:r>
          </w:p>
        </w:tc>
        <w:tc>
          <w:tcPr>
            <w:tcW w:w="190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20,354</w:t>
            </w:r>
          </w:p>
        </w:tc>
        <w:tc>
          <w:tcPr>
            <w:tcW w:w="132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tcPr>
          <w:p>
            <w:pPr>
              <w:ind w:left="60"/>
              <w:spacing w:after="0" w:line="202" w:lineRule="exact"/>
              <w:rPr>
                <w:sz w:val="20"/>
                <w:szCs w:val="20"/>
                <w:color w:val="auto"/>
              </w:rPr>
            </w:pPr>
            <w:r>
              <w:rPr>
                <w:rFonts w:ascii="Arial" w:cs="Arial" w:eastAsia="Arial" w:hAnsi="Arial"/>
                <w:sz w:val="18"/>
                <w:szCs w:val="18"/>
                <w:color w:val="auto"/>
              </w:rPr>
              <w:t>William Downe</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18,261</w:t>
            </w:r>
          </w:p>
        </w:tc>
        <w:tc>
          <w:tcPr>
            <w:tcW w:w="13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John F. Ferraro</w:t>
            </w:r>
          </w:p>
        </w:tc>
        <w:tc>
          <w:tcPr>
            <w:tcW w:w="190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tcPr>
          <w:p>
            <w:pPr>
              <w:ind w:left="60"/>
              <w:spacing w:after="0" w:line="202" w:lineRule="exact"/>
              <w:rPr>
                <w:sz w:val="20"/>
                <w:szCs w:val="20"/>
                <w:color w:val="auto"/>
              </w:rPr>
            </w:pPr>
            <w:r>
              <w:rPr>
                <w:rFonts w:ascii="Arial" w:cs="Arial" w:eastAsia="Arial" w:hAnsi="Arial"/>
                <w:sz w:val="18"/>
                <w:szCs w:val="18"/>
                <w:color w:val="auto"/>
              </w:rPr>
              <w:t>Darryl Green</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60,669</w:t>
            </w:r>
          </w:p>
        </w:tc>
        <w:tc>
          <w:tcPr>
            <w:tcW w:w="13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33,636</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Patricia Hemingway Hall</w:t>
            </w:r>
          </w:p>
        </w:tc>
        <w:tc>
          <w:tcPr>
            <w:tcW w:w="190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5,116</w:t>
            </w:r>
          </w:p>
        </w:tc>
        <w:tc>
          <w:tcPr>
            <w:tcW w:w="132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tcPr>
          <w:p>
            <w:pPr>
              <w:ind w:left="60"/>
              <w:spacing w:after="0" w:line="202" w:lineRule="exact"/>
              <w:rPr>
                <w:sz w:val="20"/>
                <w:szCs w:val="20"/>
                <w:color w:val="auto"/>
              </w:rPr>
            </w:pPr>
            <w:r>
              <w:rPr>
                <w:rFonts w:ascii="Arial" w:cs="Arial" w:eastAsia="Arial" w:hAnsi="Arial"/>
                <w:sz w:val="18"/>
                <w:szCs w:val="18"/>
                <w:color w:val="auto"/>
              </w:rPr>
              <w:t>Julie M. Howard</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John T. McGinnis</w:t>
            </w:r>
          </w:p>
        </w:tc>
        <w:tc>
          <w:tcPr>
            <w:tcW w:w="190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14,658</w:t>
            </w:r>
          </w:p>
        </w:tc>
        <w:tc>
          <w:tcPr>
            <w:tcW w:w="132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14,658</w:t>
            </w:r>
          </w:p>
        </w:tc>
        <w:tc>
          <w:tcPr>
            <w:tcW w:w="1180" w:type="dxa"/>
            <w:vAlign w:val="bottom"/>
            <w:shd w:val="clear" w:color="auto" w:fill="E6EDF3"/>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tcPr>
          <w:p>
            <w:pPr>
              <w:ind w:left="60"/>
              <w:spacing w:after="0" w:line="202" w:lineRule="exact"/>
              <w:rPr>
                <w:sz w:val="20"/>
                <w:szCs w:val="20"/>
                <w:color w:val="auto"/>
              </w:rPr>
            </w:pPr>
            <w:r>
              <w:rPr>
                <w:rFonts w:ascii="Arial" w:cs="Arial" w:eastAsia="Arial" w:hAnsi="Arial"/>
                <w:sz w:val="18"/>
                <w:szCs w:val="18"/>
                <w:color w:val="auto"/>
              </w:rPr>
              <w:t>Roberto Mendoza</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4,463</w:t>
            </w:r>
          </w:p>
        </w:tc>
        <w:tc>
          <w:tcPr>
            <w:tcW w:w="13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Ulice Payne, Jr</w:t>
            </w:r>
          </w:p>
        </w:tc>
        <w:tc>
          <w:tcPr>
            <w:tcW w:w="190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11,136</w:t>
            </w:r>
          </w:p>
        </w:tc>
        <w:tc>
          <w:tcPr>
            <w:tcW w:w="132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tcPr>
          <w:p>
            <w:pPr>
              <w:ind w:left="60"/>
              <w:spacing w:after="0" w:line="202" w:lineRule="exact"/>
              <w:rPr>
                <w:sz w:val="20"/>
                <w:szCs w:val="20"/>
                <w:color w:val="auto"/>
              </w:rPr>
            </w:pPr>
            <w:r>
              <w:rPr>
                <w:rFonts w:ascii="Arial" w:cs="Arial" w:eastAsia="Arial" w:hAnsi="Arial"/>
                <w:sz w:val="18"/>
                <w:szCs w:val="18"/>
                <w:color w:val="auto"/>
              </w:rPr>
              <w:t>Paul Read</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5,353</w:t>
            </w:r>
          </w:p>
        </w:tc>
        <w:tc>
          <w:tcPr>
            <w:tcW w:w="13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Elizabeth P. Sartain</w:t>
            </w:r>
          </w:p>
        </w:tc>
        <w:tc>
          <w:tcPr>
            <w:tcW w:w="190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17,959</w:t>
            </w:r>
          </w:p>
        </w:tc>
        <w:tc>
          <w:tcPr>
            <w:tcW w:w="132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tcPr>
          <w:p>
            <w:pPr>
              <w:ind w:left="60"/>
              <w:spacing w:after="0" w:line="202" w:lineRule="exact"/>
              <w:rPr>
                <w:sz w:val="20"/>
                <w:szCs w:val="20"/>
                <w:color w:val="auto"/>
              </w:rPr>
            </w:pPr>
            <w:r>
              <w:rPr>
                <w:rFonts w:ascii="Arial" w:cs="Arial" w:eastAsia="Arial" w:hAnsi="Arial"/>
                <w:sz w:val="18"/>
                <w:szCs w:val="18"/>
                <w:color w:val="auto"/>
              </w:rPr>
              <w:t>Mara E. Swan</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58,136</w:t>
            </w:r>
          </w:p>
        </w:tc>
        <w:tc>
          <w:tcPr>
            <w:tcW w:w="13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26,456</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Michael J. Van Handel</w:t>
            </w:r>
          </w:p>
        </w:tc>
        <w:tc>
          <w:tcPr>
            <w:tcW w:w="190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17,283</w:t>
            </w:r>
          </w:p>
        </w:tc>
        <w:tc>
          <w:tcPr>
            <w:tcW w:w="132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tcPr>
          <w:p>
            <w:pPr>
              <w:ind w:left="60"/>
              <w:spacing w:after="0" w:line="202" w:lineRule="exact"/>
              <w:rPr>
                <w:sz w:val="20"/>
                <w:szCs w:val="20"/>
                <w:color w:val="auto"/>
              </w:rPr>
            </w:pPr>
            <w:r>
              <w:rPr>
                <w:rFonts w:ascii="Arial" w:cs="Arial" w:eastAsia="Arial" w:hAnsi="Arial"/>
                <w:sz w:val="18"/>
                <w:szCs w:val="18"/>
                <w:color w:val="auto"/>
              </w:rPr>
              <w:t>John R. Walter</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7,403</w:t>
            </w:r>
          </w:p>
        </w:tc>
        <w:tc>
          <w:tcPr>
            <w:tcW w:w="13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Edward J. Zore</w:t>
            </w:r>
          </w:p>
        </w:tc>
        <w:tc>
          <w:tcPr>
            <w:tcW w:w="190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31,145</w:t>
            </w:r>
          </w:p>
        </w:tc>
        <w:tc>
          <w:tcPr>
            <w:tcW w:w="132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All directors and executive officers as a group (19 persons)</w:t>
            </w:r>
          </w:p>
        </w:tc>
        <w:tc>
          <w:tcPr>
            <w:tcW w:w="190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color w:val="auto"/>
              </w:rPr>
              <w:t>677,156</w:t>
            </w:r>
          </w:p>
        </w:tc>
        <w:tc>
          <w:tcPr>
            <w:tcW w:w="132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color w:val="auto"/>
              </w:rPr>
              <w:t>283,239</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w:t>
            </w:r>
          </w:p>
        </w:tc>
      </w:tr>
    </w:tbl>
    <w:p>
      <w:pPr>
        <w:spacing w:after="0" w:line="54" w:lineRule="exact"/>
        <w:rPr>
          <w:sz w:val="20"/>
          <w:szCs w:val="20"/>
          <w:color w:val="auto"/>
        </w:rPr>
      </w:pPr>
    </w:p>
    <w:p>
      <w:pPr>
        <w:ind w:left="520" w:hanging="316"/>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Less than 1% of outstanding shares.</w:t>
      </w:r>
    </w:p>
    <w:p>
      <w:pPr>
        <w:spacing w:after="0" w:line="69" w:lineRule="exact"/>
        <w:rPr>
          <w:sz w:val="20"/>
          <w:szCs w:val="20"/>
          <w:color w:val="auto"/>
        </w:rPr>
      </w:pPr>
    </w:p>
    <w:p>
      <w:pPr>
        <w:ind w:left="520" w:right="240" w:hanging="316"/>
        <w:spacing w:after="0" w:line="29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61"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21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Beneficial Ownership of Directors and Executive Officers</w:t>
      </w:r>
    </w:p>
    <w:p>
      <w:pPr>
        <w:spacing w:after="0" w:line="316" w:lineRule="exact"/>
        <w:rPr>
          <w:sz w:val="20"/>
          <w:szCs w:val="20"/>
          <w:color w:val="auto"/>
        </w:rPr>
      </w:pPr>
    </w:p>
    <w:p>
      <w:pPr>
        <w:ind w:left="520" w:right="260"/>
        <w:spacing w:after="0" w:line="258" w:lineRule="auto"/>
        <w:rPr>
          <w:sz w:val="20"/>
          <w:szCs w:val="20"/>
          <w:color w:val="auto"/>
        </w:rPr>
      </w:pPr>
      <w:r>
        <w:rPr>
          <w:rFonts w:ascii="Arial" w:cs="Arial" w:eastAsia="Arial" w:hAnsi="Arial"/>
          <w:sz w:val="14"/>
          <w:szCs w:val="14"/>
          <w:color w:val="auto"/>
        </w:rPr>
        <w:t>The table does not include vested shares of deferred stock, which will be settled in shares of ManpowerGroup common stock on a one-for-one basis, held by the following directors that were issued under the 2003 Equity Incentive Plan and the Terms and Conditions Regarding the Grant of Awards to Non-Employee Directors under the 2003 Equity Incentive Plan and the 2011 Equity Incentive Plan and the Terms and Conditions Regarding the Grant of Awards to Non-Employee Directors under the 2011 Equity Incentive Plan:</w:t>
      </w:r>
    </w:p>
    <w:p>
      <w:pPr>
        <w:spacing w:after="0" w:line="98" w:lineRule="exact"/>
        <w:rPr>
          <w:sz w:val="20"/>
          <w:szCs w:val="20"/>
          <w:color w:val="auto"/>
        </w:rPr>
      </w:pPr>
    </w:p>
    <w:tbl>
      <w:tblPr>
        <w:tblLayout w:type="fixed"/>
        <w:tblInd w:w="560" w:type="dxa"/>
        <w:tblCellMar>
          <w:top w:w="0" w:type="dxa"/>
          <w:left w:w="0" w:type="dxa"/>
          <w:bottom w:w="0" w:type="dxa"/>
          <w:right w:w="0" w:type="dxa"/>
        </w:tblCellMar>
      </w:tblPr>
      <w:tr>
        <w:trPr>
          <w:trHeight w:val="296"/>
        </w:trPr>
        <w:tc>
          <w:tcPr>
            <w:tcW w:w="6740" w:type="dxa"/>
            <w:vAlign w:val="bottom"/>
            <w:tcBorders>
              <w:top w:val="single" w:sz="8" w:color="auto"/>
              <w:bottom w:val="single" w:sz="8" w:color="9DB8D2"/>
            </w:tcBorders>
            <w:shd w:val="clear" w:color="auto" w:fill="9DB8D2"/>
          </w:tcPr>
          <w:p>
            <w:pPr>
              <w:spacing w:after="0"/>
              <w:rPr>
                <w:sz w:val="24"/>
                <w:szCs w:val="24"/>
                <w:color w:val="auto"/>
              </w:rPr>
            </w:pPr>
          </w:p>
        </w:tc>
        <w:tc>
          <w:tcPr>
            <w:tcW w:w="500" w:type="dxa"/>
            <w:vAlign w:val="bottom"/>
            <w:tcBorders>
              <w:top w:val="single" w:sz="8" w:color="auto"/>
              <w:bottom w:val="single" w:sz="8" w:color="9DB8D2"/>
            </w:tcBorders>
            <w:shd w:val="clear" w:color="auto" w:fill="9DB8D2"/>
          </w:tcPr>
          <w:p>
            <w:pPr>
              <w:spacing w:after="0"/>
              <w:rPr>
                <w:sz w:val="24"/>
                <w:szCs w:val="24"/>
                <w:color w:val="auto"/>
              </w:rPr>
            </w:pPr>
          </w:p>
        </w:tc>
        <w:tc>
          <w:tcPr>
            <w:tcW w:w="700" w:type="dxa"/>
            <w:vAlign w:val="bottom"/>
            <w:tcBorders>
              <w:top w:val="single" w:sz="8" w:color="auto"/>
              <w:bottom w:val="single" w:sz="8" w:color="auto"/>
            </w:tcBorders>
            <w:shd w:val="clear" w:color="auto" w:fill="9DB8D2"/>
          </w:tcPr>
          <w:p>
            <w:pPr>
              <w:spacing w:after="0"/>
              <w:rPr>
                <w:sz w:val="24"/>
                <w:szCs w:val="24"/>
                <w:color w:val="auto"/>
              </w:rPr>
            </w:pPr>
          </w:p>
        </w:tc>
        <w:tc>
          <w:tcPr>
            <w:tcW w:w="1640" w:type="dxa"/>
            <w:vAlign w:val="bottom"/>
            <w:tcBorders>
              <w:top w:val="single" w:sz="8" w:color="auto"/>
              <w:bottom w:val="single" w:sz="8" w:color="auto"/>
            </w:tcBorders>
            <w:shd w:val="clear" w:color="auto" w:fill="9DB8D2"/>
          </w:tcPr>
          <w:p>
            <w:pPr>
              <w:jc w:val="right"/>
              <w:spacing w:after="0"/>
              <w:rPr>
                <w:sz w:val="20"/>
                <w:szCs w:val="20"/>
                <w:color w:val="auto"/>
              </w:rPr>
            </w:pPr>
            <w:r>
              <w:rPr>
                <w:rFonts w:ascii="Arial" w:cs="Arial" w:eastAsia="Arial" w:hAnsi="Arial"/>
                <w:sz w:val="14"/>
                <w:szCs w:val="14"/>
                <w:b w:val="1"/>
                <w:bCs w:val="1"/>
                <w:color w:val="auto"/>
              </w:rPr>
              <w:t>Vested Deferred Stock</w:t>
            </w:r>
          </w:p>
        </w:tc>
        <w:tc>
          <w:tcPr>
            <w:tcW w:w="720" w:type="dxa"/>
            <w:vAlign w:val="bottom"/>
            <w:tcBorders>
              <w:top w:val="single" w:sz="8" w:color="auto"/>
              <w:bottom w:val="single" w:sz="8" w:color="auto"/>
            </w:tcBorders>
            <w:shd w:val="clear" w:color="auto" w:fill="9DB8D2"/>
          </w:tcPr>
          <w:p>
            <w:pPr>
              <w:spacing w:after="0"/>
              <w:rPr>
                <w:sz w:val="24"/>
                <w:szCs w:val="24"/>
                <w:color w:val="auto"/>
              </w:rPr>
            </w:pPr>
          </w:p>
        </w:tc>
      </w:tr>
      <w:tr>
        <w:trPr>
          <w:trHeight w:val="278"/>
        </w:trPr>
        <w:tc>
          <w:tcPr>
            <w:tcW w:w="6740" w:type="dxa"/>
            <w:vAlign w:val="bottom"/>
            <w:shd w:val="clear" w:color="auto" w:fill="9DB8D2"/>
          </w:tcPr>
          <w:p>
            <w:pPr>
              <w:ind w:left="80"/>
              <w:spacing w:after="0"/>
              <w:rPr>
                <w:sz w:val="20"/>
                <w:szCs w:val="20"/>
                <w:color w:val="auto"/>
              </w:rPr>
            </w:pPr>
            <w:r>
              <w:rPr>
                <w:rFonts w:ascii="Arial" w:cs="Arial" w:eastAsia="Arial" w:hAnsi="Arial"/>
                <w:sz w:val="14"/>
                <w:szCs w:val="14"/>
                <w:b w:val="1"/>
                <w:bCs w:val="1"/>
                <w:color w:val="auto"/>
              </w:rPr>
              <w:t>Director</w:t>
            </w:r>
          </w:p>
        </w:tc>
        <w:tc>
          <w:tcPr>
            <w:tcW w:w="500" w:type="dxa"/>
            <w:vAlign w:val="bottom"/>
            <w:shd w:val="clear" w:color="auto" w:fill="9DB8D2"/>
          </w:tcPr>
          <w:p>
            <w:pPr>
              <w:spacing w:after="0"/>
              <w:rPr>
                <w:sz w:val="24"/>
                <w:szCs w:val="24"/>
                <w:color w:val="auto"/>
              </w:rPr>
            </w:pPr>
          </w:p>
        </w:tc>
        <w:tc>
          <w:tcPr>
            <w:tcW w:w="700" w:type="dxa"/>
            <w:vAlign w:val="bottom"/>
            <w:shd w:val="clear" w:color="auto" w:fill="9DB8D2"/>
          </w:tcPr>
          <w:p>
            <w:pPr>
              <w:jc w:val="right"/>
              <w:spacing w:after="0"/>
              <w:rPr>
                <w:sz w:val="20"/>
                <w:szCs w:val="20"/>
                <w:color w:val="auto"/>
              </w:rPr>
            </w:pPr>
            <w:r>
              <w:rPr>
                <w:rFonts w:ascii="Arial" w:cs="Arial" w:eastAsia="Arial" w:hAnsi="Arial"/>
                <w:sz w:val="14"/>
                <w:szCs w:val="14"/>
                <w:b w:val="1"/>
                <w:bCs w:val="1"/>
                <w:color w:val="auto"/>
              </w:rPr>
              <w:t>2003 Plan</w:t>
            </w:r>
          </w:p>
        </w:tc>
        <w:tc>
          <w:tcPr>
            <w:tcW w:w="1640" w:type="dxa"/>
            <w:vAlign w:val="bottom"/>
            <w:shd w:val="clear" w:color="auto" w:fill="9DB8D2"/>
          </w:tcPr>
          <w:p>
            <w:pPr>
              <w:jc w:val="right"/>
              <w:ind w:right="354"/>
              <w:spacing w:after="0"/>
              <w:rPr>
                <w:sz w:val="20"/>
                <w:szCs w:val="20"/>
                <w:color w:val="auto"/>
              </w:rPr>
            </w:pPr>
            <w:r>
              <w:rPr>
                <w:rFonts w:ascii="Arial" w:cs="Arial" w:eastAsia="Arial" w:hAnsi="Arial"/>
                <w:sz w:val="14"/>
                <w:szCs w:val="14"/>
                <w:b w:val="1"/>
                <w:bCs w:val="1"/>
                <w:color w:val="auto"/>
              </w:rPr>
              <w:t>2011 Plan</w:t>
            </w:r>
          </w:p>
        </w:tc>
        <w:tc>
          <w:tcPr>
            <w:tcW w:w="720" w:type="dxa"/>
            <w:vAlign w:val="bottom"/>
            <w:shd w:val="clear" w:color="auto" w:fill="9DB8D2"/>
          </w:tcPr>
          <w:p>
            <w:pPr>
              <w:jc w:val="right"/>
              <w:ind w:right="132"/>
              <w:spacing w:after="0"/>
              <w:rPr>
                <w:sz w:val="20"/>
                <w:szCs w:val="20"/>
                <w:color w:val="auto"/>
              </w:rPr>
            </w:pPr>
            <w:r>
              <w:rPr>
                <w:rFonts w:ascii="Arial" w:cs="Arial" w:eastAsia="Arial" w:hAnsi="Arial"/>
                <w:sz w:val="14"/>
                <w:szCs w:val="14"/>
                <w:b w:val="1"/>
                <w:bCs w:val="1"/>
                <w:color w:val="auto"/>
              </w:rPr>
              <w:t>Total</w:t>
            </w:r>
          </w:p>
        </w:tc>
      </w:tr>
      <w:tr>
        <w:trPr>
          <w:trHeight w:val="203"/>
        </w:trPr>
        <w:tc>
          <w:tcPr>
            <w:tcW w:w="6740" w:type="dxa"/>
            <w:vAlign w:val="bottom"/>
          </w:tcPr>
          <w:p>
            <w:pPr>
              <w:ind w:left="80"/>
              <w:spacing w:after="0" w:line="202" w:lineRule="exact"/>
              <w:rPr>
                <w:sz w:val="20"/>
                <w:szCs w:val="20"/>
                <w:color w:val="auto"/>
              </w:rPr>
            </w:pPr>
            <w:r>
              <w:rPr>
                <w:rFonts w:ascii="Arial" w:cs="Arial" w:eastAsia="Arial" w:hAnsi="Arial"/>
                <w:sz w:val="18"/>
                <w:szCs w:val="18"/>
                <w:color w:val="auto"/>
              </w:rPr>
              <w:t>William Downe</w:t>
            </w:r>
          </w:p>
        </w:tc>
        <w:tc>
          <w:tcPr>
            <w:tcW w:w="5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19,469</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19,469</w:t>
            </w:r>
          </w:p>
        </w:tc>
      </w:tr>
      <w:tr>
        <w:trPr>
          <w:trHeight w:val="203"/>
        </w:trPr>
        <w:tc>
          <w:tcPr>
            <w:tcW w:w="674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John F. Ferraro</w:t>
            </w:r>
          </w:p>
        </w:tc>
        <w:tc>
          <w:tcPr>
            <w:tcW w:w="500" w:type="dxa"/>
            <w:vAlign w:val="bottom"/>
            <w:shd w:val="clear" w:color="auto" w:fill="E6EDF3"/>
          </w:tcPr>
          <w:p>
            <w:pPr>
              <w:spacing w:after="0"/>
              <w:rPr>
                <w:sz w:val="17"/>
                <w:szCs w:val="17"/>
                <w:color w:val="auto"/>
              </w:rPr>
            </w:pPr>
          </w:p>
        </w:tc>
        <w:tc>
          <w:tcPr>
            <w:tcW w:w="700" w:type="dxa"/>
            <w:vAlign w:val="bottom"/>
            <w:shd w:val="clear" w:color="auto" w:fill="E6EDF3"/>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E6EDF3"/>
          </w:tcPr>
          <w:p>
            <w:pPr>
              <w:jc w:val="right"/>
              <w:ind w:right="354"/>
              <w:spacing w:after="0" w:line="202" w:lineRule="exact"/>
              <w:rPr>
                <w:sz w:val="20"/>
                <w:szCs w:val="20"/>
                <w:color w:val="auto"/>
              </w:rPr>
            </w:pPr>
            <w:r>
              <w:rPr>
                <w:rFonts w:ascii="Arial" w:cs="Arial" w:eastAsia="Arial" w:hAnsi="Arial"/>
                <w:sz w:val="18"/>
                <w:szCs w:val="18"/>
                <w:color w:val="auto"/>
              </w:rPr>
              <w:t>5,516</w:t>
            </w:r>
          </w:p>
        </w:tc>
        <w:tc>
          <w:tcPr>
            <w:tcW w:w="720" w:type="dxa"/>
            <w:vAlign w:val="bottom"/>
            <w:shd w:val="clear" w:color="auto" w:fill="E6EDF3"/>
          </w:tcPr>
          <w:p>
            <w:pPr>
              <w:jc w:val="right"/>
              <w:spacing w:after="0" w:line="202" w:lineRule="exact"/>
              <w:rPr>
                <w:sz w:val="20"/>
                <w:szCs w:val="20"/>
                <w:color w:val="auto"/>
              </w:rPr>
            </w:pPr>
            <w:r>
              <w:rPr>
                <w:rFonts w:ascii="Arial" w:cs="Arial" w:eastAsia="Arial" w:hAnsi="Arial"/>
                <w:sz w:val="18"/>
                <w:szCs w:val="18"/>
                <w:color w:val="auto"/>
              </w:rPr>
              <w:t>5,516</w:t>
            </w:r>
          </w:p>
        </w:tc>
      </w:tr>
      <w:tr>
        <w:trPr>
          <w:trHeight w:val="203"/>
        </w:trPr>
        <w:tc>
          <w:tcPr>
            <w:tcW w:w="6740" w:type="dxa"/>
            <w:vAlign w:val="bottom"/>
          </w:tcPr>
          <w:p>
            <w:pPr>
              <w:ind w:left="80"/>
              <w:spacing w:after="0" w:line="202" w:lineRule="exact"/>
              <w:rPr>
                <w:sz w:val="20"/>
                <w:szCs w:val="20"/>
                <w:color w:val="auto"/>
              </w:rPr>
            </w:pPr>
            <w:r>
              <w:rPr>
                <w:rFonts w:ascii="Arial" w:cs="Arial" w:eastAsia="Arial" w:hAnsi="Arial"/>
                <w:sz w:val="18"/>
                <w:szCs w:val="18"/>
                <w:color w:val="auto"/>
              </w:rPr>
              <w:t>Patricia Hemingway Hall</w:t>
            </w:r>
          </w:p>
        </w:tc>
        <w:tc>
          <w:tcPr>
            <w:tcW w:w="5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3,385</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3,385</w:t>
            </w:r>
          </w:p>
        </w:tc>
      </w:tr>
      <w:tr>
        <w:trPr>
          <w:trHeight w:val="203"/>
        </w:trPr>
        <w:tc>
          <w:tcPr>
            <w:tcW w:w="674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Julie M. Howard</w:t>
            </w:r>
          </w:p>
        </w:tc>
        <w:tc>
          <w:tcPr>
            <w:tcW w:w="500" w:type="dxa"/>
            <w:vAlign w:val="bottom"/>
            <w:shd w:val="clear" w:color="auto" w:fill="E6EDF3"/>
          </w:tcPr>
          <w:p>
            <w:pPr>
              <w:spacing w:after="0"/>
              <w:rPr>
                <w:sz w:val="17"/>
                <w:szCs w:val="17"/>
                <w:color w:val="auto"/>
              </w:rPr>
            </w:pPr>
          </w:p>
        </w:tc>
        <w:tc>
          <w:tcPr>
            <w:tcW w:w="700" w:type="dxa"/>
            <w:vAlign w:val="bottom"/>
            <w:shd w:val="clear" w:color="auto" w:fill="E6EDF3"/>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E6EDF3"/>
          </w:tcPr>
          <w:p>
            <w:pPr>
              <w:jc w:val="right"/>
              <w:ind w:right="354"/>
              <w:spacing w:after="0" w:line="202" w:lineRule="exact"/>
              <w:rPr>
                <w:sz w:val="20"/>
                <w:szCs w:val="20"/>
                <w:color w:val="auto"/>
              </w:rPr>
            </w:pPr>
            <w:r>
              <w:rPr>
                <w:rFonts w:ascii="Arial" w:cs="Arial" w:eastAsia="Arial" w:hAnsi="Arial"/>
                <w:sz w:val="18"/>
                <w:szCs w:val="18"/>
                <w:color w:val="auto"/>
              </w:rPr>
              <w:t>2,618</w:t>
            </w:r>
          </w:p>
        </w:tc>
        <w:tc>
          <w:tcPr>
            <w:tcW w:w="720" w:type="dxa"/>
            <w:vAlign w:val="bottom"/>
            <w:shd w:val="clear" w:color="auto" w:fill="E6EDF3"/>
          </w:tcPr>
          <w:p>
            <w:pPr>
              <w:jc w:val="right"/>
              <w:spacing w:after="0" w:line="202" w:lineRule="exact"/>
              <w:rPr>
                <w:sz w:val="20"/>
                <w:szCs w:val="20"/>
                <w:color w:val="auto"/>
              </w:rPr>
            </w:pPr>
            <w:r>
              <w:rPr>
                <w:rFonts w:ascii="Arial" w:cs="Arial" w:eastAsia="Arial" w:hAnsi="Arial"/>
                <w:sz w:val="18"/>
                <w:szCs w:val="18"/>
                <w:color w:val="auto"/>
              </w:rPr>
              <w:t>2,618</w:t>
            </w:r>
          </w:p>
        </w:tc>
      </w:tr>
      <w:tr>
        <w:trPr>
          <w:trHeight w:val="203"/>
        </w:trPr>
        <w:tc>
          <w:tcPr>
            <w:tcW w:w="6740" w:type="dxa"/>
            <w:vAlign w:val="bottom"/>
          </w:tcPr>
          <w:p>
            <w:pPr>
              <w:ind w:left="80"/>
              <w:spacing w:after="0" w:line="202" w:lineRule="exact"/>
              <w:rPr>
                <w:sz w:val="20"/>
                <w:szCs w:val="20"/>
                <w:color w:val="auto"/>
              </w:rPr>
            </w:pPr>
            <w:r>
              <w:rPr>
                <w:rFonts w:ascii="Arial" w:cs="Arial" w:eastAsia="Arial" w:hAnsi="Arial"/>
                <w:sz w:val="18"/>
                <w:szCs w:val="18"/>
                <w:color w:val="auto"/>
              </w:rPr>
              <w:t>Roberto Mendoza</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6,723</w:t>
            </w:r>
          </w:p>
        </w:tc>
        <w:tc>
          <w:tcPr>
            <w:tcW w:w="16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11,430</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18,153</w:t>
            </w:r>
          </w:p>
        </w:tc>
      </w:tr>
      <w:tr>
        <w:trPr>
          <w:trHeight w:val="203"/>
        </w:trPr>
        <w:tc>
          <w:tcPr>
            <w:tcW w:w="674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Michael J. Van Handel</w:t>
            </w:r>
          </w:p>
        </w:tc>
        <w:tc>
          <w:tcPr>
            <w:tcW w:w="500" w:type="dxa"/>
            <w:vAlign w:val="bottom"/>
            <w:shd w:val="clear" w:color="auto" w:fill="E6EDF3"/>
          </w:tcPr>
          <w:p>
            <w:pPr>
              <w:spacing w:after="0"/>
              <w:rPr>
                <w:sz w:val="17"/>
                <w:szCs w:val="17"/>
                <w:color w:val="auto"/>
              </w:rPr>
            </w:pPr>
          </w:p>
        </w:tc>
        <w:tc>
          <w:tcPr>
            <w:tcW w:w="700" w:type="dxa"/>
            <w:vAlign w:val="bottom"/>
            <w:shd w:val="clear" w:color="auto" w:fill="E6EDF3"/>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E6EDF3"/>
          </w:tcPr>
          <w:p>
            <w:pPr>
              <w:jc w:val="right"/>
              <w:ind w:right="354"/>
              <w:spacing w:after="0" w:line="202" w:lineRule="exact"/>
              <w:rPr>
                <w:sz w:val="20"/>
                <w:szCs w:val="20"/>
                <w:color w:val="auto"/>
              </w:rPr>
            </w:pPr>
            <w:r>
              <w:rPr>
                <w:rFonts w:ascii="Arial" w:cs="Arial" w:eastAsia="Arial" w:hAnsi="Arial"/>
                <w:sz w:val="18"/>
                <w:szCs w:val="18"/>
                <w:color w:val="auto"/>
              </w:rPr>
              <w:t>65</w:t>
            </w:r>
          </w:p>
        </w:tc>
        <w:tc>
          <w:tcPr>
            <w:tcW w:w="720" w:type="dxa"/>
            <w:vAlign w:val="bottom"/>
            <w:shd w:val="clear" w:color="auto" w:fill="E6EDF3"/>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3"/>
        </w:trPr>
        <w:tc>
          <w:tcPr>
            <w:tcW w:w="6740" w:type="dxa"/>
            <w:vAlign w:val="bottom"/>
          </w:tcPr>
          <w:p>
            <w:pPr>
              <w:ind w:left="80"/>
              <w:spacing w:after="0" w:line="202" w:lineRule="exact"/>
              <w:rPr>
                <w:sz w:val="20"/>
                <w:szCs w:val="20"/>
                <w:color w:val="auto"/>
              </w:rPr>
            </w:pPr>
            <w:r>
              <w:rPr>
                <w:rFonts w:ascii="Arial" w:cs="Arial" w:eastAsia="Arial" w:hAnsi="Arial"/>
                <w:sz w:val="18"/>
                <w:szCs w:val="18"/>
                <w:color w:val="auto"/>
              </w:rPr>
              <w:t>John R. Walter</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6,450</w:t>
            </w:r>
          </w:p>
        </w:tc>
        <w:tc>
          <w:tcPr>
            <w:tcW w:w="16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6,610</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13,060</w:t>
            </w:r>
          </w:p>
        </w:tc>
      </w:tr>
      <w:tr>
        <w:trPr>
          <w:trHeight w:val="203"/>
        </w:trPr>
        <w:tc>
          <w:tcPr>
            <w:tcW w:w="6740" w:type="dxa"/>
            <w:vAlign w:val="bottom"/>
            <w:tcBorders>
              <w:bottom w:val="single" w:sz="8" w:color="auto"/>
            </w:tcBorders>
            <w:shd w:val="clear" w:color="auto" w:fill="E6EDF3"/>
          </w:tcPr>
          <w:p>
            <w:pPr>
              <w:ind w:left="80"/>
              <w:spacing w:after="0" w:line="202" w:lineRule="exact"/>
              <w:rPr>
                <w:sz w:val="20"/>
                <w:szCs w:val="20"/>
                <w:color w:val="auto"/>
              </w:rPr>
            </w:pPr>
            <w:r>
              <w:rPr>
                <w:rFonts w:ascii="Arial" w:cs="Arial" w:eastAsia="Arial" w:hAnsi="Arial"/>
                <w:sz w:val="18"/>
                <w:szCs w:val="18"/>
                <w:color w:val="auto"/>
              </w:rPr>
              <w:t>Edward J. Zore</w:t>
            </w:r>
          </w:p>
        </w:tc>
        <w:tc>
          <w:tcPr>
            <w:tcW w:w="1200" w:type="dxa"/>
            <w:vAlign w:val="bottom"/>
            <w:tcBorders>
              <w:bottom w:val="single" w:sz="8" w:color="auto"/>
            </w:tcBorders>
            <w:gridSpan w:val="2"/>
            <w:shd w:val="clear" w:color="auto" w:fill="E6EDF3"/>
          </w:tcPr>
          <w:p>
            <w:pPr>
              <w:jc w:val="right"/>
              <w:spacing w:after="0" w:line="202" w:lineRule="exact"/>
              <w:rPr>
                <w:sz w:val="20"/>
                <w:szCs w:val="20"/>
                <w:color w:val="auto"/>
              </w:rPr>
            </w:pPr>
            <w:r>
              <w:rPr>
                <w:rFonts w:ascii="Arial" w:cs="Arial" w:eastAsia="Arial" w:hAnsi="Arial"/>
                <w:sz w:val="18"/>
                <w:szCs w:val="18"/>
                <w:color w:val="auto"/>
              </w:rPr>
              <w:t>644</w:t>
            </w:r>
          </w:p>
        </w:tc>
        <w:tc>
          <w:tcPr>
            <w:tcW w:w="1640" w:type="dxa"/>
            <w:vAlign w:val="bottom"/>
            <w:tcBorders>
              <w:bottom w:val="single" w:sz="8" w:color="auto"/>
            </w:tcBorders>
            <w:shd w:val="clear" w:color="auto" w:fill="E6EDF3"/>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DF3"/>
          </w:tcPr>
          <w:p>
            <w:pPr>
              <w:jc w:val="right"/>
              <w:spacing w:after="0" w:line="202" w:lineRule="exact"/>
              <w:rPr>
                <w:sz w:val="20"/>
                <w:szCs w:val="20"/>
                <w:color w:val="auto"/>
              </w:rPr>
            </w:pPr>
            <w:r>
              <w:rPr>
                <w:rFonts w:ascii="Arial" w:cs="Arial" w:eastAsia="Arial" w:hAnsi="Arial"/>
                <w:sz w:val="18"/>
                <w:szCs w:val="18"/>
                <w:color w:val="auto"/>
              </w:rPr>
              <w:t>644</w:t>
            </w:r>
          </w:p>
        </w:tc>
      </w:tr>
    </w:tbl>
    <w:p>
      <w:pPr>
        <w:spacing w:after="0" w:line="135" w:lineRule="exact"/>
        <w:rPr>
          <w:sz w:val="20"/>
          <w:szCs w:val="20"/>
          <w:color w:val="auto"/>
        </w:rPr>
      </w:pPr>
    </w:p>
    <w:p>
      <w:pPr>
        <w:ind w:left="520"/>
        <w:spacing w:after="0" w:line="266" w:lineRule="auto"/>
        <w:rPr>
          <w:sz w:val="20"/>
          <w:szCs w:val="20"/>
          <w:color w:val="auto"/>
        </w:rPr>
      </w:pPr>
      <w:r>
        <w:rPr>
          <w:rFonts w:ascii="Arial" w:cs="Arial" w:eastAsia="Arial" w:hAnsi="Arial"/>
          <w:sz w:val="14"/>
          <w:szCs w:val="14"/>
          <w:color w:val="auto"/>
        </w:rPr>
        <w:t>The table does not include 1,269 unvested shares of deferred stock, which will be settled in shares of ManpowerGroup common stock on a one-for-one basis, held by each of Mr. Downe, Mr. Ferraro, Ms. Hemingway Hall, Ms. Howard, Mr. Payne, Mr. Read, Mr. Van Handel, and Mr. Walter that were issued under the 2011 Plan and the Terms and Conditions on January 1, 2018. These shares of deferred stock vest in equal quarterly installments during 2018.</w:t>
      </w:r>
    </w:p>
    <w:p>
      <w:pPr>
        <w:spacing w:after="0" w:line="18" w:lineRule="exact"/>
        <w:rPr>
          <w:sz w:val="20"/>
          <w:szCs w:val="20"/>
          <w:color w:val="auto"/>
        </w:rPr>
      </w:pPr>
    </w:p>
    <w:p>
      <w:pPr>
        <w:ind w:left="520" w:hanging="316"/>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Common stock that may be acquired within 60 days of the record date through the exercise of stock options and the settlement of restricted stock units.</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the following number of shares of unvested restricted stock as of the record date: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255"/>
        </w:trPr>
        <w:tc>
          <w:tcPr>
            <w:tcW w:w="7060" w:type="dxa"/>
            <w:vAlign w:val="bottom"/>
            <w:tcBorders>
              <w:top w:val="single" w:sz="8" w:color="auto"/>
            </w:tcBorders>
            <w:shd w:val="clear" w:color="auto" w:fill="9DB8D2"/>
          </w:tcPr>
          <w:p>
            <w:pPr>
              <w:spacing w:after="0"/>
              <w:rPr>
                <w:sz w:val="22"/>
                <w:szCs w:val="22"/>
                <w:color w:val="auto"/>
              </w:rPr>
            </w:pPr>
          </w:p>
        </w:tc>
        <w:tc>
          <w:tcPr>
            <w:tcW w:w="3240" w:type="dxa"/>
            <w:vAlign w:val="bottom"/>
            <w:tcBorders>
              <w:top w:val="single" w:sz="8" w:color="auto"/>
            </w:tcBorders>
            <w:shd w:val="clear" w:color="auto" w:fill="9DB8D2"/>
          </w:tcPr>
          <w:p>
            <w:pPr>
              <w:ind w:left="1580"/>
              <w:spacing w:after="0"/>
              <w:rPr>
                <w:sz w:val="20"/>
                <w:szCs w:val="20"/>
                <w:color w:val="auto"/>
              </w:rPr>
            </w:pPr>
            <w:r>
              <w:rPr>
                <w:rFonts w:ascii="Arial" w:cs="Arial" w:eastAsia="Arial" w:hAnsi="Arial"/>
                <w:sz w:val="14"/>
                <w:szCs w:val="14"/>
                <w:b w:val="1"/>
                <w:bCs w:val="1"/>
                <w:color w:val="auto"/>
              </w:rPr>
              <w:t>Unvested Restricted</w:t>
            </w:r>
          </w:p>
        </w:tc>
      </w:tr>
      <w:tr>
        <w:trPr>
          <w:trHeight w:val="204"/>
        </w:trPr>
        <w:tc>
          <w:tcPr>
            <w:tcW w:w="7060" w:type="dxa"/>
            <w:vAlign w:val="bottom"/>
            <w:shd w:val="clear" w:color="auto" w:fill="9DB8D2"/>
          </w:tcPr>
          <w:p>
            <w:pPr>
              <w:ind w:left="80"/>
              <w:spacing w:after="0"/>
              <w:rPr>
                <w:sz w:val="20"/>
                <w:szCs w:val="20"/>
                <w:color w:val="auto"/>
              </w:rPr>
            </w:pPr>
            <w:r>
              <w:rPr>
                <w:rFonts w:ascii="Arial" w:cs="Arial" w:eastAsia="Arial" w:hAnsi="Arial"/>
                <w:sz w:val="14"/>
                <w:szCs w:val="14"/>
                <w:b w:val="1"/>
                <w:bCs w:val="1"/>
                <w:color w:val="auto"/>
              </w:rPr>
              <w:t>Director</w:t>
            </w:r>
          </w:p>
        </w:tc>
        <w:tc>
          <w:tcPr>
            <w:tcW w:w="3240" w:type="dxa"/>
            <w:vAlign w:val="bottom"/>
            <w:shd w:val="clear" w:color="auto" w:fill="9DB8D2"/>
          </w:tcPr>
          <w:p>
            <w:pPr>
              <w:ind w:left="2080"/>
              <w:spacing w:after="0"/>
              <w:rPr>
                <w:sz w:val="20"/>
                <w:szCs w:val="20"/>
                <w:color w:val="auto"/>
              </w:rPr>
            </w:pPr>
            <w:r>
              <w:rPr>
                <w:rFonts w:ascii="Arial" w:cs="Arial" w:eastAsia="Arial" w:hAnsi="Arial"/>
                <w:sz w:val="14"/>
                <w:szCs w:val="14"/>
                <w:b w:val="1"/>
                <w:bCs w:val="1"/>
                <w:color w:val="auto"/>
              </w:rPr>
              <w:t>Stock</w:t>
            </w:r>
          </w:p>
        </w:tc>
      </w:tr>
      <w:tr>
        <w:trPr>
          <w:trHeight w:val="203"/>
        </w:trPr>
        <w:tc>
          <w:tcPr>
            <w:tcW w:w="7060" w:type="dxa"/>
            <w:vAlign w:val="bottom"/>
          </w:tcPr>
          <w:p>
            <w:pPr>
              <w:ind w:left="80"/>
              <w:spacing w:after="0" w:line="202" w:lineRule="exact"/>
              <w:rPr>
                <w:sz w:val="20"/>
                <w:szCs w:val="20"/>
                <w:color w:val="auto"/>
              </w:rPr>
            </w:pPr>
            <w:r>
              <w:rPr>
                <w:rFonts w:ascii="Arial" w:cs="Arial" w:eastAsia="Arial" w:hAnsi="Arial"/>
                <w:sz w:val="18"/>
                <w:szCs w:val="18"/>
                <w:color w:val="auto"/>
              </w:rPr>
              <w:t>Gina R. Boswell</w:t>
            </w:r>
          </w:p>
        </w:tc>
        <w:tc>
          <w:tcPr>
            <w:tcW w:w="3240" w:type="dxa"/>
            <w:vAlign w:val="bottom"/>
          </w:tcPr>
          <w:p>
            <w:pPr>
              <w:ind w:left="2080"/>
              <w:spacing w:after="0" w:line="202" w:lineRule="exact"/>
              <w:rPr>
                <w:sz w:val="20"/>
                <w:szCs w:val="20"/>
                <w:color w:val="auto"/>
              </w:rPr>
            </w:pPr>
            <w:r>
              <w:rPr>
                <w:rFonts w:ascii="Arial" w:cs="Arial" w:eastAsia="Arial" w:hAnsi="Arial"/>
                <w:sz w:val="18"/>
                <w:szCs w:val="18"/>
                <w:color w:val="auto"/>
              </w:rPr>
              <w:t>1,269</w:t>
            </w:r>
          </w:p>
        </w:tc>
      </w:tr>
      <w:tr>
        <w:trPr>
          <w:trHeight w:val="203"/>
        </w:trPr>
        <w:tc>
          <w:tcPr>
            <w:tcW w:w="706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Cari M. Dominguez</w:t>
            </w:r>
          </w:p>
        </w:tc>
        <w:tc>
          <w:tcPr>
            <w:tcW w:w="3240" w:type="dxa"/>
            <w:vAlign w:val="bottom"/>
            <w:shd w:val="clear" w:color="auto" w:fill="E6EDF3"/>
          </w:tcPr>
          <w:p>
            <w:pPr>
              <w:ind w:left="2080"/>
              <w:spacing w:after="0" w:line="202" w:lineRule="exact"/>
              <w:rPr>
                <w:sz w:val="20"/>
                <w:szCs w:val="20"/>
                <w:color w:val="auto"/>
              </w:rPr>
            </w:pPr>
            <w:r>
              <w:rPr>
                <w:rFonts w:ascii="Arial" w:cs="Arial" w:eastAsia="Arial" w:hAnsi="Arial"/>
                <w:sz w:val="18"/>
                <w:szCs w:val="18"/>
                <w:color w:val="auto"/>
              </w:rPr>
              <w:t>1,269</w:t>
            </w:r>
          </w:p>
        </w:tc>
      </w:tr>
      <w:tr>
        <w:trPr>
          <w:trHeight w:val="203"/>
        </w:trPr>
        <w:tc>
          <w:tcPr>
            <w:tcW w:w="7060" w:type="dxa"/>
            <w:vAlign w:val="bottom"/>
          </w:tcPr>
          <w:p>
            <w:pPr>
              <w:ind w:left="80"/>
              <w:spacing w:after="0" w:line="202" w:lineRule="exact"/>
              <w:rPr>
                <w:sz w:val="20"/>
                <w:szCs w:val="20"/>
                <w:color w:val="auto"/>
              </w:rPr>
            </w:pPr>
            <w:r>
              <w:rPr>
                <w:rFonts w:ascii="Arial" w:cs="Arial" w:eastAsia="Arial" w:hAnsi="Arial"/>
                <w:sz w:val="18"/>
                <w:szCs w:val="18"/>
                <w:color w:val="auto"/>
              </w:rPr>
              <w:t>Roberto Mendoza</w:t>
            </w:r>
          </w:p>
        </w:tc>
        <w:tc>
          <w:tcPr>
            <w:tcW w:w="3240" w:type="dxa"/>
            <w:vAlign w:val="bottom"/>
          </w:tcPr>
          <w:p>
            <w:pPr>
              <w:ind w:left="2080"/>
              <w:spacing w:after="0" w:line="202" w:lineRule="exact"/>
              <w:rPr>
                <w:sz w:val="20"/>
                <w:szCs w:val="20"/>
                <w:color w:val="auto"/>
              </w:rPr>
            </w:pPr>
            <w:r>
              <w:rPr>
                <w:rFonts w:ascii="Arial" w:cs="Arial" w:eastAsia="Arial" w:hAnsi="Arial"/>
                <w:sz w:val="18"/>
                <w:szCs w:val="18"/>
                <w:color w:val="auto"/>
              </w:rPr>
              <w:t>1,269</w:t>
            </w:r>
          </w:p>
        </w:tc>
      </w:tr>
      <w:tr>
        <w:trPr>
          <w:trHeight w:val="203"/>
        </w:trPr>
        <w:tc>
          <w:tcPr>
            <w:tcW w:w="706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Elizabeth P. Sartain</w:t>
            </w:r>
          </w:p>
        </w:tc>
        <w:tc>
          <w:tcPr>
            <w:tcW w:w="3240" w:type="dxa"/>
            <w:vAlign w:val="bottom"/>
            <w:shd w:val="clear" w:color="auto" w:fill="E6EDF3"/>
          </w:tcPr>
          <w:p>
            <w:pPr>
              <w:ind w:left="2080"/>
              <w:spacing w:after="0" w:line="202" w:lineRule="exact"/>
              <w:rPr>
                <w:sz w:val="20"/>
                <w:szCs w:val="20"/>
                <w:color w:val="auto"/>
              </w:rPr>
            </w:pPr>
            <w:r>
              <w:rPr>
                <w:rFonts w:ascii="Arial" w:cs="Arial" w:eastAsia="Arial" w:hAnsi="Arial"/>
                <w:sz w:val="18"/>
                <w:szCs w:val="18"/>
                <w:color w:val="auto"/>
              </w:rPr>
              <w:t>1,269</w:t>
            </w:r>
          </w:p>
        </w:tc>
      </w:tr>
      <w:tr>
        <w:trPr>
          <w:trHeight w:val="203"/>
        </w:trPr>
        <w:tc>
          <w:tcPr>
            <w:tcW w:w="706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Edward J. Zore</w:t>
            </w:r>
          </w:p>
        </w:tc>
        <w:tc>
          <w:tcPr>
            <w:tcW w:w="3240" w:type="dxa"/>
            <w:vAlign w:val="bottom"/>
            <w:tcBorders>
              <w:bottom w:val="single" w:sz="8" w:color="auto"/>
            </w:tcBorders>
          </w:tcPr>
          <w:p>
            <w:pPr>
              <w:ind w:left="2080"/>
              <w:spacing w:after="0" w:line="202" w:lineRule="exact"/>
              <w:rPr>
                <w:sz w:val="20"/>
                <w:szCs w:val="20"/>
                <w:color w:val="auto"/>
              </w:rPr>
            </w:pPr>
            <w:r>
              <w:rPr>
                <w:rFonts w:ascii="Arial" w:cs="Arial" w:eastAsia="Arial" w:hAnsi="Arial"/>
                <w:sz w:val="18"/>
                <w:szCs w:val="18"/>
                <w:color w:val="auto"/>
              </w:rPr>
              <w:t>1,269</w:t>
            </w:r>
          </w:p>
        </w:tc>
      </w:tr>
    </w:tbl>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holders of the restricted stock have sole voting power with respect to all shares held and no dispositive power with respect to all shares held.</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22</w:t>
      </w:r>
    </w:p>
    <w:p>
      <w:pPr>
        <w:sectPr>
          <w:pgSz w:w="11900" w:h="16838" w:orient="portrait"/>
          <w:cols w:equalWidth="0" w:num="1">
            <w:col w:w="11160"/>
          </w:cols>
          <w:pgMar w:left="240" w:top="455" w:right="4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Compensation Discussion and Analysis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Table of Contents</w:t>
      </w:r>
    </w:p>
    <w:p>
      <w:pPr>
        <w:spacing w:after="0" w:line="238"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9580" w:type="dxa"/>
            <w:vAlign w:val="bottom"/>
            <w:gridSpan w:val="38"/>
          </w:tcPr>
          <w:p>
            <w:pPr>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Background</w:t>
              </w:r>
            </w:hyperlink>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4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80" w:type="dxa"/>
            <w:vAlign w:val="bottom"/>
            <w:tcBorders>
              <w:bottom w:val="single" w:sz="8" w:color="5D89B4"/>
            </w:tcBorders>
          </w:tcPr>
          <w:p>
            <w:pPr>
              <w:spacing w:after="0"/>
              <w:rPr>
                <w:sz w:val="17"/>
                <w:szCs w:val="17"/>
                <w:color w:val="auto"/>
              </w:rPr>
            </w:pPr>
          </w:p>
        </w:tc>
        <w:tc>
          <w:tcPr>
            <w:tcW w:w="13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9580" w:type="dxa"/>
            <w:vAlign w:val="bottom"/>
            <w:gridSpan w:val="38"/>
          </w:tcPr>
          <w:p>
            <w:pPr>
              <w:spacing w:after="0" w:line="155" w:lineRule="exact"/>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Executive Summary</w:t>
              </w:r>
            </w:hyperlink>
          </w:p>
        </w:tc>
        <w:tc>
          <w:tcPr>
            <w:tcW w:w="13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60" w:type="dxa"/>
            <w:vAlign w:val="bottom"/>
            <w:tcBorders>
              <w:top w:val="single" w:sz="8" w:color="0000EE"/>
            </w:tcBorders>
            <w:gridSpan w:val="6"/>
          </w:tcPr>
          <w:p>
            <w:pPr>
              <w:spacing w:after="0" w:line="169" w:lineRule="exact"/>
              <w:rPr>
                <w:rFonts w:ascii="Arial" w:cs="Arial" w:eastAsia="Arial" w:hAnsi="Arial"/>
                <w:sz w:val="16"/>
                <w:szCs w:val="16"/>
                <w:b w:val="1"/>
                <w:bCs w:val="1"/>
                <w:i w:val="1"/>
                <w:iCs w:val="1"/>
                <w:color w:val="0000EE"/>
                <w:w w:val="95"/>
              </w:rPr>
            </w:pPr>
            <w:hyperlink w:anchor="page30">
              <w:r>
                <w:rPr>
                  <w:rFonts w:ascii="Arial" w:cs="Arial" w:eastAsia="Arial" w:hAnsi="Arial"/>
                  <w:sz w:val="16"/>
                  <w:szCs w:val="16"/>
                  <w:b w:val="1"/>
                  <w:bCs w:val="1"/>
                  <w:i w:val="1"/>
                  <w:iCs w:val="1"/>
                  <w:color w:val="0000EE"/>
                  <w:w w:val="95"/>
                </w:rPr>
                <w:t>2017 Compensation</w:t>
              </w:r>
            </w:hyperlink>
          </w:p>
        </w:tc>
        <w:tc>
          <w:tcPr>
            <w:tcW w:w="8040" w:type="dxa"/>
            <w:vAlign w:val="bottom"/>
            <w:gridSpan w:val="31"/>
          </w:tcPr>
          <w:p>
            <w:pPr>
              <w:ind w:left="120"/>
              <w:spacing w:after="0" w:line="169" w:lineRule="exact"/>
              <w:rPr>
                <w:rFonts w:ascii="Arial" w:cs="Arial" w:eastAsia="Arial" w:hAnsi="Arial"/>
                <w:sz w:val="16"/>
                <w:szCs w:val="16"/>
                <w:b w:val="1"/>
                <w:bCs w:val="1"/>
                <w:i w:val="1"/>
                <w:iCs w:val="1"/>
                <w:color w:val="0000EE"/>
              </w:rPr>
            </w:pPr>
            <w:hyperlink w:anchor="page30">
              <w:r>
                <w:rPr>
                  <w:rFonts w:ascii="Arial" w:cs="Arial" w:eastAsia="Arial" w:hAnsi="Arial"/>
                  <w:sz w:val="16"/>
                  <w:szCs w:val="16"/>
                  <w:b w:val="1"/>
                  <w:bCs w:val="1"/>
                  <w:i w:val="1"/>
                  <w:iCs w:val="1"/>
                  <w:color w:val="0000EE"/>
                </w:rPr>
                <w:t>Reflected Strong 2017 Financial Results</w:t>
              </w:r>
            </w:hyperlink>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80" w:type="dxa"/>
            <w:vAlign w:val="bottom"/>
            <w:tcBorders>
              <w:top w:val="single" w:sz="8" w:color="0000EE"/>
            </w:tcBorders>
            <w:gridSpan w:val="29"/>
          </w:tcPr>
          <w:p>
            <w:pPr>
              <w:spacing w:after="0" w:line="169" w:lineRule="exact"/>
              <w:rPr>
                <w:rFonts w:ascii="Arial" w:cs="Arial" w:eastAsia="Arial" w:hAnsi="Arial"/>
                <w:sz w:val="16"/>
                <w:szCs w:val="16"/>
                <w:b w:val="1"/>
                <w:bCs w:val="1"/>
                <w:i w:val="1"/>
                <w:iCs w:val="1"/>
                <w:color w:val="0000EE"/>
              </w:rPr>
            </w:pPr>
            <w:hyperlink w:anchor="page31">
              <w:r>
                <w:rPr>
                  <w:rFonts w:ascii="Arial" w:cs="Arial" w:eastAsia="Arial" w:hAnsi="Arial"/>
                  <w:sz w:val="16"/>
                  <w:szCs w:val="16"/>
                  <w:b w:val="1"/>
                  <w:bCs w:val="1"/>
                  <w:i w:val="1"/>
                  <w:iCs w:val="1"/>
                  <w:color w:val="0000EE"/>
                </w:rPr>
                <w:t>We Manage Our Business in Light of Global Macroeconomic</w:t>
              </w:r>
            </w:hyperlink>
          </w:p>
        </w:tc>
        <w:tc>
          <w:tcPr>
            <w:tcW w:w="20" w:type="dxa"/>
            <w:vAlign w:val="bottom"/>
          </w:tcPr>
          <w:p>
            <w:pPr>
              <w:spacing w:after="0"/>
              <w:rPr>
                <w:sz w:val="14"/>
                <w:szCs w:val="14"/>
                <w:color w:val="auto"/>
              </w:rPr>
            </w:pPr>
          </w:p>
        </w:tc>
        <w:tc>
          <w:tcPr>
            <w:tcW w:w="4800" w:type="dxa"/>
            <w:vAlign w:val="bottom"/>
            <w:gridSpan w:val="7"/>
          </w:tcPr>
          <w:p>
            <w:pPr>
              <w:spacing w:after="0" w:line="169" w:lineRule="exact"/>
              <w:rPr>
                <w:rFonts w:ascii="Arial" w:cs="Arial" w:eastAsia="Arial" w:hAnsi="Arial"/>
                <w:sz w:val="16"/>
                <w:szCs w:val="16"/>
                <w:b w:val="1"/>
                <w:bCs w:val="1"/>
                <w:i w:val="1"/>
                <w:iCs w:val="1"/>
                <w:color w:val="0000EE"/>
              </w:rPr>
            </w:pPr>
            <w:hyperlink w:anchor="page31">
              <w:r>
                <w:rPr>
                  <w:rFonts w:ascii="Arial" w:cs="Arial" w:eastAsia="Arial" w:hAnsi="Arial"/>
                  <w:sz w:val="16"/>
                  <w:szCs w:val="16"/>
                  <w:b w:val="1"/>
                  <w:bCs w:val="1"/>
                  <w:i w:val="1"/>
                  <w:iCs w:val="1"/>
                  <w:color w:val="0000EE"/>
                </w:rPr>
                <w:t>Forces, Business Cycles and Complexity</w:t>
              </w:r>
            </w:hyperlink>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60" w:type="dxa"/>
            <w:vAlign w:val="bottom"/>
            <w:tcBorders>
              <w:top w:val="single" w:sz="8" w:color="0000EE"/>
            </w:tcBorders>
            <w:gridSpan w:val="35"/>
          </w:tcPr>
          <w:p>
            <w:pPr>
              <w:spacing w:after="0" w:line="169" w:lineRule="exact"/>
              <w:rPr>
                <w:rFonts w:ascii="Arial" w:cs="Arial" w:eastAsia="Arial" w:hAnsi="Arial"/>
                <w:sz w:val="16"/>
                <w:szCs w:val="16"/>
                <w:b w:val="1"/>
                <w:bCs w:val="1"/>
                <w:i w:val="1"/>
                <w:iCs w:val="1"/>
                <w:color w:val="0000EE"/>
              </w:rPr>
            </w:pPr>
            <w:hyperlink w:anchor="page31">
              <w:r>
                <w:rPr>
                  <w:rFonts w:ascii="Arial" w:cs="Arial" w:eastAsia="Arial" w:hAnsi="Arial"/>
                  <w:sz w:val="16"/>
                  <w:szCs w:val="16"/>
                  <w:b w:val="1"/>
                  <w:bCs w:val="1"/>
                  <w:i w:val="1"/>
                  <w:iCs w:val="1"/>
                  <w:color w:val="0000EE"/>
                </w:rPr>
                <w:t>Our Executive Pay is Designed to be Variable and Affordable</w:t>
              </w:r>
            </w:hyperlink>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700" w:type="dxa"/>
            <w:vAlign w:val="bottom"/>
            <w:tcBorders>
              <w:top w:val="single" w:sz="8" w:color="0000EE"/>
            </w:tcBorders>
            <w:gridSpan w:val="30"/>
          </w:tcPr>
          <w:p>
            <w:pPr>
              <w:spacing w:after="0" w:line="169" w:lineRule="exact"/>
              <w:rPr>
                <w:rFonts w:ascii="Arial" w:cs="Arial" w:eastAsia="Arial" w:hAnsi="Arial"/>
                <w:sz w:val="16"/>
                <w:szCs w:val="16"/>
                <w:b w:val="1"/>
                <w:bCs w:val="1"/>
                <w:i w:val="1"/>
                <w:iCs w:val="1"/>
                <w:color w:val="0000EE"/>
              </w:rPr>
            </w:pPr>
            <w:hyperlink w:anchor="page32">
              <w:r>
                <w:rPr>
                  <w:rFonts w:ascii="Arial" w:cs="Arial" w:eastAsia="Arial" w:hAnsi="Arial"/>
                  <w:sz w:val="16"/>
                  <w:szCs w:val="16"/>
                  <w:b w:val="1"/>
                  <w:bCs w:val="1"/>
                  <w:i w:val="1"/>
                  <w:iCs w:val="1"/>
                  <w:color w:val="0000EE"/>
                </w:rPr>
                <w:t>We Focus on Three Key Performance Metrics</w:t>
              </w:r>
            </w:hyperlink>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80" w:type="dxa"/>
            <w:vAlign w:val="bottom"/>
            <w:tcBorders>
              <w:top w:val="single" w:sz="8" w:color="0000EE"/>
            </w:tcBorders>
            <w:gridSpan w:val="16"/>
          </w:tcPr>
          <w:p>
            <w:pPr>
              <w:spacing w:after="0" w:line="169" w:lineRule="exact"/>
              <w:rPr>
                <w:rFonts w:ascii="Arial" w:cs="Arial" w:eastAsia="Arial" w:hAnsi="Arial"/>
                <w:sz w:val="16"/>
                <w:szCs w:val="16"/>
                <w:b w:val="1"/>
                <w:bCs w:val="1"/>
                <w:i w:val="1"/>
                <w:iCs w:val="1"/>
                <w:color w:val="0000EE"/>
              </w:rPr>
            </w:pPr>
            <w:hyperlink w:anchor="page32">
              <w:r>
                <w:rPr>
                  <w:rFonts w:ascii="Arial" w:cs="Arial" w:eastAsia="Arial" w:hAnsi="Arial"/>
                  <w:sz w:val="16"/>
                  <w:szCs w:val="16"/>
                  <w:b w:val="1"/>
                  <w:bCs w:val="1"/>
                  <w:i w:val="1"/>
                  <w:iCs w:val="1"/>
                  <w:color w:val="0000EE"/>
                </w:rPr>
                <w:t>We Utilize a Broad Group of Comparators for</w:t>
              </w:r>
            </w:hyperlink>
          </w:p>
        </w:tc>
        <w:tc>
          <w:tcPr>
            <w:tcW w:w="6020" w:type="dxa"/>
            <w:vAlign w:val="bottom"/>
            <w:gridSpan w:val="21"/>
          </w:tcPr>
          <w:p>
            <w:pPr>
              <w:ind w:left="20"/>
              <w:spacing w:after="0" w:line="169" w:lineRule="exact"/>
              <w:rPr>
                <w:rFonts w:ascii="Arial" w:cs="Arial" w:eastAsia="Arial" w:hAnsi="Arial"/>
                <w:sz w:val="16"/>
                <w:szCs w:val="16"/>
                <w:b w:val="1"/>
                <w:bCs w:val="1"/>
                <w:i w:val="1"/>
                <w:iCs w:val="1"/>
                <w:color w:val="0000EE"/>
              </w:rPr>
            </w:pPr>
            <w:hyperlink w:anchor="page32">
              <w:r>
                <w:rPr>
                  <w:rFonts w:ascii="Arial" w:cs="Arial" w:eastAsia="Arial" w:hAnsi="Arial"/>
                  <w:sz w:val="16"/>
                  <w:szCs w:val="16"/>
                  <w:b w:val="1"/>
                  <w:bCs w:val="1"/>
                  <w:i w:val="1"/>
                  <w:iCs w:val="1"/>
                  <w:color w:val="0000EE"/>
                </w:rPr>
                <w:t>Compensation</w:t>
              </w:r>
            </w:hyperlink>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60" w:type="dxa"/>
            <w:vAlign w:val="bottom"/>
            <w:tcBorders>
              <w:top w:val="single" w:sz="8" w:color="0000EE"/>
            </w:tcBorders>
            <w:gridSpan w:val="28"/>
          </w:tcPr>
          <w:p>
            <w:pPr>
              <w:spacing w:after="0" w:line="169" w:lineRule="exact"/>
              <w:rPr>
                <w:rFonts w:ascii="Arial" w:cs="Arial" w:eastAsia="Arial" w:hAnsi="Arial"/>
                <w:sz w:val="16"/>
                <w:szCs w:val="16"/>
                <w:b w:val="1"/>
                <w:bCs w:val="1"/>
                <w:i w:val="1"/>
                <w:iCs w:val="1"/>
                <w:color w:val="0000EE"/>
              </w:rPr>
            </w:pPr>
            <w:hyperlink w:anchor="page33">
              <w:r>
                <w:rPr>
                  <w:rFonts w:ascii="Arial" w:cs="Arial" w:eastAsia="Arial" w:hAnsi="Arial"/>
                  <w:sz w:val="16"/>
                  <w:szCs w:val="16"/>
                  <w:b w:val="1"/>
                  <w:bCs w:val="1"/>
                  <w:i w:val="1"/>
                  <w:iCs w:val="1"/>
                  <w:color w:val="0000EE"/>
                </w:rPr>
                <w:t>Key Compensation and Governance Policies</w:t>
              </w:r>
            </w:hyperlink>
          </w:p>
        </w:tc>
        <w:tc>
          <w:tcPr>
            <w:tcW w:w="380" w:type="dxa"/>
            <w:vAlign w:val="bottom"/>
            <w:gridSpan w:val="3"/>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40" w:type="dxa"/>
            <w:vAlign w:val="bottom"/>
            <w:tcBorders>
              <w:top w:val="single" w:sz="8" w:color="0000EE"/>
            </w:tcBorders>
            <w:gridSpan w:val="15"/>
          </w:tcPr>
          <w:p>
            <w:pPr>
              <w:spacing w:after="0" w:line="169" w:lineRule="exact"/>
              <w:rPr>
                <w:rFonts w:ascii="Arial" w:cs="Arial" w:eastAsia="Arial" w:hAnsi="Arial"/>
                <w:sz w:val="16"/>
                <w:szCs w:val="16"/>
                <w:b w:val="1"/>
                <w:bCs w:val="1"/>
                <w:i w:val="1"/>
                <w:iCs w:val="1"/>
                <w:color w:val="0000EE"/>
              </w:rPr>
            </w:pPr>
            <w:hyperlink w:anchor="page34">
              <w:r>
                <w:rPr>
                  <w:rFonts w:ascii="Arial" w:cs="Arial" w:eastAsia="Arial" w:hAnsi="Arial"/>
                  <w:sz w:val="16"/>
                  <w:szCs w:val="16"/>
                  <w:b w:val="1"/>
                  <w:bCs w:val="1"/>
                  <w:i w:val="1"/>
                  <w:iCs w:val="1"/>
                  <w:color w:val="0000EE"/>
                </w:rPr>
                <w:t>CEO Compensation Continues to Follow our</w:t>
              </w:r>
            </w:hyperlink>
          </w:p>
        </w:tc>
        <w:tc>
          <w:tcPr>
            <w:tcW w:w="6060" w:type="dxa"/>
            <w:vAlign w:val="bottom"/>
            <w:gridSpan w:val="22"/>
          </w:tcPr>
          <w:p>
            <w:pPr>
              <w:ind w:left="40"/>
              <w:spacing w:after="0" w:line="169" w:lineRule="exact"/>
              <w:rPr>
                <w:rFonts w:ascii="Arial" w:cs="Arial" w:eastAsia="Arial" w:hAnsi="Arial"/>
                <w:sz w:val="16"/>
                <w:szCs w:val="16"/>
                <w:b w:val="1"/>
                <w:bCs w:val="1"/>
                <w:i w:val="1"/>
                <w:iCs w:val="1"/>
                <w:color w:val="0000EE"/>
              </w:rPr>
            </w:pPr>
            <w:hyperlink w:anchor="page34">
              <w:r>
                <w:rPr>
                  <w:rFonts w:ascii="Arial" w:cs="Arial" w:eastAsia="Arial" w:hAnsi="Arial"/>
                  <w:sz w:val="16"/>
                  <w:szCs w:val="16"/>
                  <w:b w:val="1"/>
                  <w:bCs w:val="1"/>
                  <w:i w:val="1"/>
                  <w:iCs w:val="1"/>
                  <w:color w:val="0000EE"/>
                </w:rPr>
                <w:t>Guiding Principle of Pay-For-Performance</w:t>
              </w:r>
            </w:hyperlink>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58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40" w:type="dxa"/>
            <w:vAlign w:val="bottom"/>
            <w:tcBorders>
              <w:top w:val="single" w:sz="8" w:color="0000EE"/>
              <w:bottom w:val="single" w:sz="8" w:color="5D89B4"/>
            </w:tcBorders>
          </w:tcPr>
          <w:p>
            <w:pPr>
              <w:spacing w:after="0"/>
              <w:rPr>
                <w:sz w:val="17"/>
                <w:szCs w:val="17"/>
                <w:color w:val="auto"/>
              </w:rPr>
            </w:pPr>
          </w:p>
        </w:tc>
        <w:tc>
          <w:tcPr>
            <w:tcW w:w="1660" w:type="dxa"/>
            <w:vAlign w:val="bottom"/>
            <w:tcBorders>
              <w:top w:val="single" w:sz="8" w:color="0000EE"/>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80" w:type="dxa"/>
            <w:vAlign w:val="bottom"/>
            <w:tcBorders>
              <w:bottom w:val="single" w:sz="8" w:color="5D89B4"/>
            </w:tcBorders>
          </w:tcPr>
          <w:p>
            <w:pPr>
              <w:spacing w:after="0"/>
              <w:rPr>
                <w:sz w:val="17"/>
                <w:szCs w:val="17"/>
                <w:color w:val="auto"/>
              </w:rPr>
            </w:pPr>
          </w:p>
        </w:tc>
        <w:tc>
          <w:tcPr>
            <w:tcW w:w="13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9580" w:type="dxa"/>
            <w:vAlign w:val="bottom"/>
            <w:gridSpan w:val="38"/>
          </w:tcPr>
          <w:p>
            <w:pPr>
              <w:spacing w:after="0" w:line="155" w:lineRule="exact"/>
              <w:rPr>
                <w:rFonts w:ascii="Arial" w:cs="Arial" w:eastAsia="Arial" w:hAnsi="Arial"/>
                <w:sz w:val="16"/>
                <w:szCs w:val="16"/>
                <w:b w:val="1"/>
                <w:bCs w:val="1"/>
                <w:color w:val="0000EE"/>
              </w:rPr>
            </w:pPr>
            <w:hyperlink w:anchor="page35">
              <w:r>
                <w:rPr>
                  <w:rFonts w:ascii="Arial" w:cs="Arial" w:eastAsia="Arial" w:hAnsi="Arial"/>
                  <w:sz w:val="16"/>
                  <w:szCs w:val="16"/>
                  <w:b w:val="1"/>
                  <w:bCs w:val="1"/>
                  <w:color w:val="0000EE"/>
                </w:rPr>
                <w:t>Objectives of Compensation Program</w:t>
              </w:r>
            </w:hyperlink>
          </w:p>
        </w:tc>
        <w:tc>
          <w:tcPr>
            <w:tcW w:w="13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580" w:type="dxa"/>
            <w:vAlign w:val="bottom"/>
            <w:tcBorders>
              <w:top w:val="single" w:sz="8" w:color="0000EE"/>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4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80" w:type="dxa"/>
            <w:vAlign w:val="bottom"/>
            <w:tcBorders>
              <w:bottom w:val="single" w:sz="8" w:color="5D89B4"/>
            </w:tcBorders>
          </w:tcPr>
          <w:p>
            <w:pPr>
              <w:spacing w:after="0"/>
              <w:rPr>
                <w:sz w:val="17"/>
                <w:szCs w:val="17"/>
                <w:color w:val="auto"/>
              </w:rPr>
            </w:pPr>
          </w:p>
        </w:tc>
        <w:tc>
          <w:tcPr>
            <w:tcW w:w="13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9580" w:type="dxa"/>
            <w:vAlign w:val="bottom"/>
            <w:gridSpan w:val="38"/>
          </w:tcPr>
          <w:p>
            <w:pPr>
              <w:spacing w:after="0" w:line="155" w:lineRule="exact"/>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Say on Pay Vote</w:t>
              </w:r>
            </w:hyperlink>
          </w:p>
        </w:tc>
        <w:tc>
          <w:tcPr>
            <w:tcW w:w="13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4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80" w:type="dxa"/>
            <w:vAlign w:val="bottom"/>
            <w:tcBorders>
              <w:bottom w:val="single" w:sz="8" w:color="5D89B4"/>
            </w:tcBorders>
          </w:tcPr>
          <w:p>
            <w:pPr>
              <w:spacing w:after="0"/>
              <w:rPr>
                <w:sz w:val="17"/>
                <w:szCs w:val="17"/>
                <w:color w:val="auto"/>
              </w:rPr>
            </w:pPr>
          </w:p>
        </w:tc>
        <w:tc>
          <w:tcPr>
            <w:tcW w:w="13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9580" w:type="dxa"/>
            <w:vAlign w:val="bottom"/>
            <w:gridSpan w:val="38"/>
          </w:tcPr>
          <w:p>
            <w:pPr>
              <w:spacing w:after="0" w:line="155" w:lineRule="exact"/>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Shareholder Engagement</w:t>
              </w:r>
            </w:hyperlink>
          </w:p>
        </w:tc>
        <w:tc>
          <w:tcPr>
            <w:tcW w:w="13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4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80" w:type="dxa"/>
            <w:vAlign w:val="bottom"/>
            <w:tcBorders>
              <w:bottom w:val="single" w:sz="8" w:color="5D89B4"/>
            </w:tcBorders>
          </w:tcPr>
          <w:p>
            <w:pPr>
              <w:spacing w:after="0"/>
              <w:rPr>
                <w:sz w:val="17"/>
                <w:szCs w:val="17"/>
                <w:color w:val="auto"/>
              </w:rPr>
            </w:pPr>
          </w:p>
        </w:tc>
        <w:tc>
          <w:tcPr>
            <w:tcW w:w="13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9580" w:type="dxa"/>
            <w:vAlign w:val="bottom"/>
            <w:gridSpan w:val="38"/>
          </w:tcPr>
          <w:p>
            <w:pPr>
              <w:spacing w:after="0" w:line="155" w:lineRule="exact"/>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Compensation Elements</w:t>
              </w:r>
            </w:hyperlink>
          </w:p>
        </w:tc>
        <w:tc>
          <w:tcPr>
            <w:tcW w:w="13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4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80" w:type="dxa"/>
            <w:vAlign w:val="bottom"/>
            <w:tcBorders>
              <w:bottom w:val="single" w:sz="8" w:color="5D89B4"/>
            </w:tcBorders>
          </w:tcPr>
          <w:p>
            <w:pPr>
              <w:spacing w:after="0"/>
              <w:rPr>
                <w:sz w:val="17"/>
                <w:szCs w:val="17"/>
                <w:color w:val="auto"/>
              </w:rPr>
            </w:pPr>
          </w:p>
        </w:tc>
        <w:tc>
          <w:tcPr>
            <w:tcW w:w="13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9580" w:type="dxa"/>
            <w:vAlign w:val="bottom"/>
            <w:gridSpan w:val="38"/>
          </w:tcPr>
          <w:p>
            <w:pPr>
              <w:spacing w:after="0" w:line="155" w:lineRule="exact"/>
              <w:rPr>
                <w:rFonts w:ascii="Arial" w:cs="Arial" w:eastAsia="Arial" w:hAnsi="Arial"/>
                <w:sz w:val="16"/>
                <w:szCs w:val="16"/>
                <w:b w:val="1"/>
                <w:bCs w:val="1"/>
                <w:color w:val="0000EE"/>
              </w:rPr>
            </w:pPr>
            <w:hyperlink w:anchor="page39">
              <w:r>
                <w:rPr>
                  <w:rFonts w:ascii="Arial" w:cs="Arial" w:eastAsia="Arial" w:hAnsi="Arial"/>
                  <w:sz w:val="16"/>
                  <w:szCs w:val="16"/>
                  <w:b w:val="1"/>
                  <w:bCs w:val="1"/>
                  <w:color w:val="0000EE"/>
                </w:rPr>
                <w:t>Pay for Results</w:t>
              </w:r>
            </w:hyperlink>
          </w:p>
        </w:tc>
        <w:tc>
          <w:tcPr>
            <w:tcW w:w="13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4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80" w:type="dxa"/>
            <w:vAlign w:val="bottom"/>
            <w:tcBorders>
              <w:bottom w:val="single" w:sz="8" w:color="5D89B4"/>
            </w:tcBorders>
          </w:tcPr>
          <w:p>
            <w:pPr>
              <w:spacing w:after="0"/>
              <w:rPr>
                <w:sz w:val="17"/>
                <w:szCs w:val="17"/>
                <w:color w:val="auto"/>
              </w:rPr>
            </w:pPr>
          </w:p>
        </w:tc>
        <w:tc>
          <w:tcPr>
            <w:tcW w:w="13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9580" w:type="dxa"/>
            <w:vAlign w:val="bottom"/>
            <w:gridSpan w:val="38"/>
          </w:tcPr>
          <w:p>
            <w:pPr>
              <w:spacing w:after="0" w:line="155" w:lineRule="exact"/>
              <w:rPr>
                <w:rFonts w:ascii="Arial" w:cs="Arial" w:eastAsia="Arial" w:hAnsi="Arial"/>
                <w:sz w:val="16"/>
                <w:szCs w:val="16"/>
                <w:b w:val="1"/>
                <w:bCs w:val="1"/>
                <w:color w:val="0000EE"/>
              </w:rPr>
            </w:pPr>
            <w:hyperlink w:anchor="page40">
              <w:r>
                <w:rPr>
                  <w:rFonts w:ascii="Arial" w:cs="Arial" w:eastAsia="Arial" w:hAnsi="Arial"/>
                  <w:sz w:val="16"/>
                  <w:szCs w:val="16"/>
                  <w:b w:val="1"/>
                  <w:bCs w:val="1"/>
                  <w:color w:val="0000EE"/>
                </w:rPr>
                <w:t>Target Total Compensation</w:t>
              </w:r>
            </w:hyperlink>
          </w:p>
        </w:tc>
        <w:tc>
          <w:tcPr>
            <w:tcW w:w="13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980" w:type="dxa"/>
            <w:vAlign w:val="bottom"/>
            <w:tcBorders>
              <w:top w:val="single" w:sz="8" w:color="0000EE"/>
            </w:tcBorders>
            <w:gridSpan w:val="11"/>
          </w:tcPr>
          <w:p>
            <w:pPr>
              <w:spacing w:after="0" w:line="169" w:lineRule="exact"/>
              <w:rPr>
                <w:rFonts w:ascii="Arial" w:cs="Arial" w:eastAsia="Arial" w:hAnsi="Arial"/>
                <w:sz w:val="16"/>
                <w:szCs w:val="16"/>
                <w:b w:val="1"/>
                <w:bCs w:val="1"/>
                <w:i w:val="1"/>
                <w:iCs w:val="1"/>
                <w:color w:val="0000EE"/>
                <w:w w:val="95"/>
              </w:rPr>
            </w:pPr>
            <w:hyperlink w:anchor="page41">
              <w:r>
                <w:rPr>
                  <w:rFonts w:ascii="Arial" w:cs="Arial" w:eastAsia="Arial" w:hAnsi="Arial"/>
                  <w:sz w:val="16"/>
                  <w:szCs w:val="16"/>
                  <w:b w:val="1"/>
                  <w:bCs w:val="1"/>
                  <w:i w:val="1"/>
                  <w:iCs w:val="1"/>
                  <w:color w:val="0000EE"/>
                  <w:w w:val="95"/>
                </w:rPr>
                <w:t>Balancing Short- and Long</w:t>
              </w:r>
            </w:hyperlink>
          </w:p>
        </w:tc>
        <w:tc>
          <w:tcPr>
            <w:tcW w:w="7520" w:type="dxa"/>
            <w:vAlign w:val="bottom"/>
            <w:gridSpan w:val="26"/>
          </w:tcPr>
          <w:p>
            <w:pPr>
              <w:ind w:left="100"/>
              <w:spacing w:after="0" w:line="169" w:lineRule="exact"/>
              <w:rPr>
                <w:rFonts w:ascii="Arial" w:cs="Arial" w:eastAsia="Arial" w:hAnsi="Arial"/>
                <w:sz w:val="16"/>
                <w:szCs w:val="16"/>
                <w:b w:val="1"/>
                <w:bCs w:val="1"/>
                <w:i w:val="1"/>
                <w:iCs w:val="1"/>
                <w:color w:val="0000EE"/>
              </w:rPr>
            </w:pPr>
            <w:hyperlink w:anchor="page41">
              <w:r>
                <w:rPr>
                  <w:rFonts w:ascii="Arial" w:cs="Arial" w:eastAsia="Arial" w:hAnsi="Arial"/>
                  <w:sz w:val="16"/>
                  <w:szCs w:val="16"/>
                  <w:b w:val="1"/>
                  <w:bCs w:val="1"/>
                  <w:i w:val="1"/>
                  <w:iCs w:val="1"/>
                  <w:color w:val="0000EE"/>
                </w:rPr>
                <w:t>-Term Compensation</w:t>
              </w:r>
            </w:hyperlink>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58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4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80" w:type="dxa"/>
            <w:vAlign w:val="bottom"/>
            <w:tcBorders>
              <w:bottom w:val="single" w:sz="8" w:color="5D89B4"/>
            </w:tcBorders>
          </w:tcPr>
          <w:p>
            <w:pPr>
              <w:spacing w:after="0"/>
              <w:rPr>
                <w:sz w:val="17"/>
                <w:szCs w:val="17"/>
                <w:color w:val="auto"/>
              </w:rPr>
            </w:pPr>
          </w:p>
        </w:tc>
        <w:tc>
          <w:tcPr>
            <w:tcW w:w="13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9580" w:type="dxa"/>
            <w:vAlign w:val="bottom"/>
            <w:gridSpan w:val="38"/>
          </w:tcPr>
          <w:p>
            <w:pPr>
              <w:spacing w:after="0" w:line="155" w:lineRule="exact"/>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Market Positioning: We Target Compensation Outcomes to the Median of the Competitive Market</w:t>
              </w:r>
            </w:hyperlink>
          </w:p>
        </w:tc>
        <w:tc>
          <w:tcPr>
            <w:tcW w:w="13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7360" w:type="dxa"/>
            <w:vAlign w:val="bottom"/>
            <w:tcBorders>
              <w:top w:val="single" w:sz="8" w:color="0000EE"/>
            </w:tcBorders>
            <w:gridSpan w:val="34"/>
          </w:tcPr>
          <w:p>
            <w:pPr>
              <w:spacing w:after="0" w:line="169" w:lineRule="exact"/>
              <w:rPr>
                <w:rFonts w:ascii="Arial" w:cs="Arial" w:eastAsia="Arial" w:hAnsi="Arial"/>
                <w:sz w:val="16"/>
                <w:szCs w:val="16"/>
                <w:b w:val="1"/>
                <w:bCs w:val="1"/>
                <w:i w:val="1"/>
                <w:iCs w:val="1"/>
                <w:color w:val="0000EE"/>
              </w:rPr>
            </w:pPr>
            <w:hyperlink w:anchor="page42">
              <w:r>
                <w:rPr>
                  <w:rFonts w:ascii="Arial" w:cs="Arial" w:eastAsia="Arial" w:hAnsi="Arial"/>
                  <w:sz w:val="16"/>
                  <w:szCs w:val="16"/>
                  <w:b w:val="1"/>
                  <w:bCs w:val="1"/>
                  <w:i w:val="1"/>
                  <w:iCs w:val="1"/>
                  <w:color w:val="0000EE"/>
                </w:rPr>
                <w:t>How We Determine the Competitive Market: Challenges in Identifying a Relevant Peer Group</w:t>
              </w:r>
            </w:hyperlink>
          </w:p>
        </w:tc>
        <w:tc>
          <w:tcPr>
            <w:tcW w:w="116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100" w:type="dxa"/>
            <w:vAlign w:val="bottom"/>
            <w:tcBorders>
              <w:top w:val="single" w:sz="8" w:color="0000EE"/>
            </w:tcBorders>
            <w:gridSpan w:val="33"/>
          </w:tcPr>
          <w:p>
            <w:pPr>
              <w:spacing w:after="0" w:line="169" w:lineRule="exact"/>
              <w:rPr>
                <w:rFonts w:ascii="Arial" w:cs="Arial" w:eastAsia="Arial" w:hAnsi="Arial"/>
                <w:sz w:val="16"/>
                <w:szCs w:val="16"/>
                <w:b w:val="1"/>
                <w:bCs w:val="1"/>
                <w:i w:val="1"/>
                <w:iCs w:val="1"/>
                <w:color w:val="0000EE"/>
              </w:rPr>
            </w:pPr>
            <w:hyperlink w:anchor="page43">
              <w:r>
                <w:rPr>
                  <w:rFonts w:ascii="Arial" w:cs="Arial" w:eastAsia="Arial" w:hAnsi="Arial"/>
                  <w:sz w:val="16"/>
                  <w:szCs w:val="16"/>
                  <w:b w:val="1"/>
                  <w:bCs w:val="1"/>
                  <w:i w:val="1"/>
                  <w:iCs w:val="1"/>
                  <w:color w:val="0000EE"/>
                </w:rPr>
                <w:t>Assessing Individual Factors</w:t>
              </w:r>
            </w:hyperlink>
          </w:p>
        </w:tc>
        <w:tc>
          <w:tcPr>
            <w:tcW w:w="1420" w:type="dxa"/>
            <w:vAlign w:val="bottom"/>
            <w:gridSpan w:val="3"/>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4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660" w:type="dxa"/>
            <w:vAlign w:val="bottom"/>
            <w:tcBorders>
              <w:bottom w:val="single" w:sz="8" w:color="5D89B4"/>
            </w:tcBorders>
          </w:tcPr>
          <w:p>
            <w:pPr>
              <w:spacing w:after="0"/>
              <w:rPr>
                <w:sz w:val="17"/>
                <w:szCs w:val="17"/>
                <w:color w:val="auto"/>
              </w:rPr>
            </w:pPr>
          </w:p>
        </w:tc>
        <w:tc>
          <w:tcPr>
            <w:tcW w:w="980" w:type="dxa"/>
            <w:vAlign w:val="bottom"/>
            <w:tcBorders>
              <w:bottom w:val="single" w:sz="8" w:color="5D89B4"/>
            </w:tcBorders>
          </w:tcPr>
          <w:p>
            <w:pPr>
              <w:spacing w:after="0"/>
              <w:rPr>
                <w:sz w:val="17"/>
                <w:szCs w:val="17"/>
                <w:color w:val="auto"/>
              </w:rPr>
            </w:pPr>
          </w:p>
        </w:tc>
        <w:tc>
          <w:tcPr>
            <w:tcW w:w="13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160" w:type="dxa"/>
            <w:vAlign w:val="bottom"/>
            <w:tcBorders>
              <w:bottom w:val="single" w:sz="8" w:color="0000EE"/>
            </w:tcBorders>
            <w:gridSpan w:val="22"/>
          </w:tcPr>
          <w:p>
            <w:pPr>
              <w:spacing w:after="0" w:line="155" w:lineRule="exact"/>
              <w:rPr>
                <w:rFonts w:ascii="Arial" w:cs="Arial" w:eastAsia="Arial" w:hAnsi="Arial"/>
                <w:sz w:val="16"/>
                <w:szCs w:val="16"/>
                <w:b w:val="1"/>
                <w:bCs w:val="1"/>
                <w:color w:val="0000EE"/>
              </w:rPr>
            </w:pPr>
            <w:hyperlink w:anchor="page43">
              <w:r>
                <w:rPr>
                  <w:rFonts w:ascii="Arial" w:cs="Arial" w:eastAsia="Arial" w:hAnsi="Arial"/>
                  <w:sz w:val="16"/>
                  <w:szCs w:val="16"/>
                  <w:b w:val="1"/>
                  <w:bCs w:val="1"/>
                  <w:color w:val="0000EE"/>
                </w:rPr>
                <w:t>How the Committee Determines Compensation Levels</w:t>
              </w:r>
            </w:hyperlink>
          </w:p>
        </w:tc>
        <w:tc>
          <w:tcPr>
            <w:tcW w:w="5420" w:type="dxa"/>
            <w:vAlign w:val="bottom"/>
            <w:gridSpan w:val="16"/>
          </w:tcPr>
          <w:p>
            <w:pPr>
              <w:spacing w:after="0"/>
              <w:rPr>
                <w:sz w:val="13"/>
                <w:szCs w:val="13"/>
                <w:color w:val="auto"/>
              </w:rPr>
            </w:pPr>
          </w:p>
        </w:tc>
        <w:tc>
          <w:tcPr>
            <w:tcW w:w="13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500" w:type="dxa"/>
            <w:vAlign w:val="bottom"/>
            <w:gridSpan w:val="37"/>
          </w:tcPr>
          <w:p>
            <w:pPr>
              <w:spacing w:after="0" w:line="169" w:lineRule="exact"/>
              <w:rPr>
                <w:rFonts w:ascii="Arial" w:cs="Arial" w:eastAsia="Arial" w:hAnsi="Arial"/>
                <w:sz w:val="16"/>
                <w:szCs w:val="16"/>
                <w:b w:val="1"/>
                <w:bCs w:val="1"/>
                <w:i w:val="1"/>
                <w:iCs w:val="1"/>
                <w:color w:val="0000EE"/>
              </w:rPr>
            </w:pPr>
            <w:hyperlink w:anchor="page44">
              <w:r>
                <w:rPr>
                  <w:rFonts w:ascii="Arial" w:cs="Arial" w:eastAsia="Arial" w:hAnsi="Arial"/>
                  <w:sz w:val="16"/>
                  <w:szCs w:val="16"/>
                  <w:b w:val="1"/>
                  <w:bCs w:val="1"/>
                  <w:i w:val="1"/>
                  <w:iCs w:val="1"/>
                  <w:color w:val="0000EE"/>
                </w:rPr>
                <w:t>Setting Annual Incentive Goals and Equity Awards for Mr. Prising</w:t>
              </w:r>
            </w:hyperlink>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40" w:type="dxa"/>
            <w:vAlign w:val="bottom"/>
            <w:tcBorders>
              <w:top w:val="single" w:sz="8" w:color="0000EE"/>
            </w:tcBorders>
            <w:gridSpan w:val="31"/>
          </w:tcPr>
          <w:p>
            <w:pPr>
              <w:spacing w:after="0" w:line="169" w:lineRule="exact"/>
              <w:rPr>
                <w:rFonts w:ascii="Arial" w:cs="Arial" w:eastAsia="Arial" w:hAnsi="Arial"/>
                <w:sz w:val="16"/>
                <w:szCs w:val="16"/>
                <w:b w:val="1"/>
                <w:bCs w:val="1"/>
                <w:i w:val="1"/>
                <w:iCs w:val="1"/>
                <w:color w:val="0000EE"/>
              </w:rPr>
            </w:pPr>
            <w:hyperlink w:anchor="page44">
              <w:r>
                <w:rPr>
                  <w:rFonts w:ascii="Arial" w:cs="Arial" w:eastAsia="Arial" w:hAnsi="Arial"/>
                  <w:sz w:val="16"/>
                  <w:szCs w:val="16"/>
                  <w:b w:val="1"/>
                  <w:bCs w:val="1"/>
                  <w:i w:val="1"/>
                  <w:iCs w:val="1"/>
                  <w:color w:val="0000EE"/>
                </w:rPr>
                <w:t>Setting Annual Incentive Goals and Equity Awards for Messrs.</w:t>
              </w:r>
            </w:hyperlink>
          </w:p>
        </w:tc>
        <w:tc>
          <w:tcPr>
            <w:tcW w:w="4460" w:type="dxa"/>
            <w:vAlign w:val="bottom"/>
            <w:gridSpan w:val="6"/>
          </w:tcPr>
          <w:p>
            <w:pPr>
              <w:spacing w:after="0" w:line="169" w:lineRule="exact"/>
              <w:rPr>
                <w:rFonts w:ascii="Arial" w:cs="Arial" w:eastAsia="Arial" w:hAnsi="Arial"/>
                <w:sz w:val="16"/>
                <w:szCs w:val="16"/>
                <w:b w:val="1"/>
                <w:bCs w:val="1"/>
                <w:i w:val="1"/>
                <w:iCs w:val="1"/>
                <w:color w:val="0000EE"/>
              </w:rPr>
            </w:pPr>
            <w:hyperlink w:anchor="page44">
              <w:r>
                <w:rPr>
                  <w:rFonts w:ascii="Arial" w:cs="Arial" w:eastAsia="Arial" w:hAnsi="Arial"/>
                  <w:sz w:val="16"/>
                  <w:szCs w:val="16"/>
                  <w:b w:val="1"/>
                  <w:bCs w:val="1"/>
                  <w:i w:val="1"/>
                  <w:iCs w:val="1"/>
                  <w:color w:val="0000EE"/>
                </w:rPr>
                <w:t>McGinnis, Green, Chandrashekar and Ms. Swan</w:t>
              </w:r>
            </w:hyperlink>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7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58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40" w:type="dxa"/>
            <w:vAlign w:val="bottom"/>
            <w:tcBorders>
              <w:top w:val="single" w:sz="8" w:color="0000EE"/>
              <w:bottom w:val="single" w:sz="8" w:color="5D89B4"/>
            </w:tcBorders>
          </w:tcPr>
          <w:p>
            <w:pPr>
              <w:spacing w:after="0"/>
              <w:rPr>
                <w:sz w:val="17"/>
                <w:szCs w:val="17"/>
                <w:color w:val="auto"/>
              </w:rPr>
            </w:pPr>
          </w:p>
        </w:tc>
        <w:tc>
          <w:tcPr>
            <w:tcW w:w="1660" w:type="dxa"/>
            <w:vAlign w:val="bottom"/>
            <w:tcBorders>
              <w:top w:val="single" w:sz="8" w:color="0000EE"/>
              <w:bottom w:val="single" w:sz="8" w:color="5D89B4"/>
            </w:tcBorders>
          </w:tcPr>
          <w:p>
            <w:pPr>
              <w:spacing w:after="0"/>
              <w:rPr>
                <w:sz w:val="17"/>
                <w:szCs w:val="17"/>
                <w:color w:val="auto"/>
              </w:rPr>
            </w:pPr>
          </w:p>
        </w:tc>
        <w:tc>
          <w:tcPr>
            <w:tcW w:w="4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500" w:type="dxa"/>
            <w:vAlign w:val="bottom"/>
            <w:tcBorders>
              <w:top w:val="single" w:sz="8" w:color="0000EE"/>
              <w:bottom w:val="single" w:sz="8" w:color="5D89B4"/>
            </w:tcBorders>
          </w:tcPr>
          <w:p>
            <w:pPr>
              <w:spacing w:after="0"/>
              <w:rPr>
                <w:sz w:val="17"/>
                <w:szCs w:val="17"/>
                <w:color w:val="auto"/>
              </w:rPr>
            </w:pPr>
          </w:p>
        </w:tc>
        <w:tc>
          <w:tcPr>
            <w:tcW w:w="660" w:type="dxa"/>
            <w:vAlign w:val="bottom"/>
            <w:tcBorders>
              <w:top w:val="single" w:sz="8" w:color="0000EE"/>
              <w:bottom w:val="single" w:sz="8" w:color="5D89B4"/>
            </w:tcBorders>
          </w:tcPr>
          <w:p>
            <w:pPr>
              <w:spacing w:after="0"/>
              <w:rPr>
                <w:sz w:val="17"/>
                <w:szCs w:val="17"/>
                <w:color w:val="auto"/>
              </w:rPr>
            </w:pPr>
          </w:p>
        </w:tc>
        <w:tc>
          <w:tcPr>
            <w:tcW w:w="980" w:type="dxa"/>
            <w:vAlign w:val="bottom"/>
            <w:tcBorders>
              <w:bottom w:val="single" w:sz="8" w:color="5D89B4"/>
            </w:tcBorders>
          </w:tcPr>
          <w:p>
            <w:pPr>
              <w:spacing w:after="0"/>
              <w:rPr>
                <w:sz w:val="17"/>
                <w:szCs w:val="17"/>
                <w:color w:val="auto"/>
              </w:rPr>
            </w:pPr>
          </w:p>
        </w:tc>
        <w:tc>
          <w:tcPr>
            <w:tcW w:w="13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9580" w:type="dxa"/>
            <w:vAlign w:val="bottom"/>
            <w:gridSpan w:val="38"/>
          </w:tcPr>
          <w:p>
            <w:pPr>
              <w:spacing w:after="0" w:line="155" w:lineRule="exact"/>
              <w:rPr>
                <w:rFonts w:ascii="Arial" w:cs="Arial" w:eastAsia="Arial" w:hAnsi="Arial"/>
                <w:sz w:val="16"/>
                <w:szCs w:val="16"/>
                <w:b w:val="1"/>
                <w:bCs w:val="1"/>
                <w:color w:val="0000EE"/>
              </w:rPr>
            </w:pPr>
            <w:hyperlink w:anchor="page45">
              <w:r>
                <w:rPr>
                  <w:rFonts w:ascii="Arial" w:cs="Arial" w:eastAsia="Arial" w:hAnsi="Arial"/>
                  <w:sz w:val="16"/>
                  <w:szCs w:val="16"/>
                  <w:b w:val="1"/>
                  <w:bCs w:val="1"/>
                  <w:color w:val="0000EE"/>
                </w:rPr>
                <w:t>Components of the 2017 Executive Compensation Program</w:t>
              </w:r>
            </w:hyperlink>
          </w:p>
        </w:tc>
        <w:tc>
          <w:tcPr>
            <w:tcW w:w="138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480" w:type="dxa"/>
            <w:vAlign w:val="bottom"/>
            <w:tcBorders>
              <w:top w:val="single" w:sz="8" w:color="0000EE"/>
            </w:tcBorders>
            <w:gridSpan w:val="25"/>
          </w:tcPr>
          <w:p>
            <w:pPr>
              <w:spacing w:after="0" w:line="169" w:lineRule="exact"/>
              <w:rPr>
                <w:rFonts w:ascii="Arial" w:cs="Arial" w:eastAsia="Arial" w:hAnsi="Arial"/>
                <w:sz w:val="16"/>
                <w:szCs w:val="16"/>
                <w:b w:val="1"/>
                <w:bCs w:val="1"/>
                <w:i w:val="1"/>
                <w:iCs w:val="1"/>
                <w:color w:val="0000EE"/>
              </w:rPr>
            </w:pPr>
            <w:hyperlink w:anchor="page45">
              <w:r>
                <w:rPr>
                  <w:rFonts w:ascii="Arial" w:cs="Arial" w:eastAsia="Arial" w:hAnsi="Arial"/>
                  <w:sz w:val="16"/>
                  <w:szCs w:val="16"/>
                  <w:b w:val="1"/>
                  <w:bCs w:val="1"/>
                  <w:i w:val="1"/>
                  <w:iCs w:val="1"/>
                  <w:color w:val="0000EE"/>
                </w:rPr>
                <w:t>Base Salary</w:t>
              </w:r>
            </w:hyperlink>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gridSpan w:val="10"/>
          </w:tcPr>
          <w:p>
            <w:pPr>
              <w:spacing w:after="0"/>
              <w:rPr>
                <w:sz w:val="14"/>
                <w:szCs w:val="14"/>
                <w:color w:val="auto"/>
              </w:rPr>
            </w:pPr>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0000EE"/>
            </w:tcBorders>
            <w:gridSpan w:val="3"/>
          </w:tcPr>
          <w:p>
            <w:pPr>
              <w:spacing w:after="0" w:line="169" w:lineRule="exact"/>
              <w:rPr>
                <w:rFonts w:ascii="Arial" w:cs="Arial" w:eastAsia="Arial" w:hAnsi="Arial"/>
                <w:sz w:val="16"/>
                <w:szCs w:val="16"/>
                <w:b w:val="1"/>
                <w:bCs w:val="1"/>
                <w:i w:val="1"/>
                <w:iCs w:val="1"/>
                <w:color w:val="0000EE"/>
                <w:w w:val="91"/>
              </w:rPr>
            </w:pPr>
            <w:hyperlink w:anchor="page45">
              <w:r>
                <w:rPr>
                  <w:rFonts w:ascii="Arial" w:cs="Arial" w:eastAsia="Arial" w:hAnsi="Arial"/>
                  <w:sz w:val="16"/>
                  <w:szCs w:val="16"/>
                  <w:b w:val="1"/>
                  <w:bCs w:val="1"/>
                  <w:i w:val="1"/>
                  <w:iCs w:val="1"/>
                  <w:color w:val="0000EE"/>
                  <w:w w:val="91"/>
                </w:rPr>
                <w:t>Annual Cash</w:t>
              </w:r>
            </w:hyperlink>
          </w:p>
        </w:tc>
        <w:tc>
          <w:tcPr>
            <w:tcW w:w="8580" w:type="dxa"/>
            <w:vAlign w:val="bottom"/>
            <w:gridSpan w:val="34"/>
          </w:tcPr>
          <w:p>
            <w:pPr>
              <w:ind w:left="120"/>
              <w:spacing w:after="0" w:line="169" w:lineRule="exact"/>
              <w:rPr>
                <w:rFonts w:ascii="Arial" w:cs="Arial" w:eastAsia="Arial" w:hAnsi="Arial"/>
                <w:sz w:val="16"/>
                <w:szCs w:val="16"/>
                <w:b w:val="1"/>
                <w:bCs w:val="1"/>
                <w:i w:val="1"/>
                <w:iCs w:val="1"/>
                <w:color w:val="0000EE"/>
              </w:rPr>
            </w:pPr>
            <w:hyperlink w:anchor="page45">
              <w:r>
                <w:rPr>
                  <w:rFonts w:ascii="Arial" w:cs="Arial" w:eastAsia="Arial" w:hAnsi="Arial"/>
                  <w:sz w:val="16"/>
                  <w:szCs w:val="16"/>
                  <w:b w:val="1"/>
                  <w:bCs w:val="1"/>
                  <w:i w:val="1"/>
                  <w:iCs w:val="1"/>
                  <w:color w:val="0000EE"/>
                </w:rPr>
                <w:t>Incentives</w:t>
              </w:r>
            </w:hyperlink>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80" w:type="dxa"/>
            <w:vAlign w:val="bottom"/>
            <w:tcBorders>
              <w:top w:val="single" w:sz="8" w:color="0000EE"/>
            </w:tcBorders>
            <w:gridSpan w:val="8"/>
          </w:tcPr>
          <w:p>
            <w:pPr>
              <w:spacing w:after="0" w:line="169" w:lineRule="exact"/>
              <w:rPr>
                <w:rFonts w:ascii="Arial" w:cs="Arial" w:eastAsia="Arial" w:hAnsi="Arial"/>
                <w:sz w:val="16"/>
                <w:szCs w:val="16"/>
                <w:i w:val="1"/>
                <w:iCs w:val="1"/>
                <w:color w:val="0000EE"/>
              </w:rPr>
            </w:pPr>
            <w:hyperlink w:anchor="page45">
              <w:r>
                <w:rPr>
                  <w:rFonts w:ascii="Arial" w:cs="Arial" w:eastAsia="Arial" w:hAnsi="Arial"/>
                  <w:sz w:val="16"/>
                  <w:szCs w:val="16"/>
                  <w:i w:val="1"/>
                  <w:iCs w:val="1"/>
                  <w:color w:val="0000EE"/>
                </w:rPr>
                <w:t>Pool Plan</w:t>
              </w:r>
            </w:hyperlink>
          </w:p>
        </w:tc>
        <w:tc>
          <w:tcPr>
            <w:tcW w:w="1220" w:type="dxa"/>
            <w:vAlign w:val="bottom"/>
            <w:gridSpan w:val="5"/>
          </w:tcPr>
          <w:p>
            <w:pPr>
              <w:spacing w:after="0"/>
              <w:rPr>
                <w:sz w:val="14"/>
                <w:szCs w:val="14"/>
                <w:color w:val="auto"/>
              </w:rPr>
            </w:pPr>
          </w:p>
        </w:tc>
        <w:tc>
          <w:tcPr>
            <w:tcW w:w="520" w:type="dxa"/>
            <w:vAlign w:val="bottom"/>
            <w:gridSpan w:val="3"/>
          </w:tcPr>
          <w:p>
            <w:pPr>
              <w:spacing w:after="0"/>
              <w:rPr>
                <w:sz w:val="14"/>
                <w:szCs w:val="14"/>
                <w:color w:val="auto"/>
              </w:rPr>
            </w:pPr>
          </w:p>
        </w:tc>
        <w:tc>
          <w:tcPr>
            <w:tcW w:w="2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gridSpan w:val="10"/>
          </w:tcPr>
          <w:p>
            <w:pPr>
              <w:spacing w:after="0"/>
              <w:rPr>
                <w:sz w:val="14"/>
                <w:szCs w:val="14"/>
                <w:color w:val="auto"/>
              </w:rPr>
            </w:pPr>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top w:val="single" w:sz="8" w:color="0000EE"/>
            </w:tcBorders>
          </w:tcPr>
          <w:p>
            <w:pPr>
              <w:spacing w:after="0" w:line="169" w:lineRule="exact"/>
              <w:rPr>
                <w:rFonts w:ascii="Arial" w:cs="Arial" w:eastAsia="Arial" w:hAnsi="Arial"/>
                <w:sz w:val="16"/>
                <w:szCs w:val="16"/>
                <w:i w:val="1"/>
                <w:iCs w:val="1"/>
                <w:color w:val="0000EE"/>
              </w:rPr>
            </w:pPr>
            <w:hyperlink w:anchor="page46">
              <w:r>
                <w:rPr>
                  <w:rFonts w:ascii="Arial" w:cs="Arial" w:eastAsia="Arial" w:hAnsi="Arial"/>
                  <w:sz w:val="16"/>
                  <w:szCs w:val="16"/>
                  <w:i w:val="1"/>
                  <w:iCs w:val="1"/>
                  <w:color w:val="0000EE"/>
                </w:rPr>
                <w:t>How the</w:t>
              </w:r>
            </w:hyperlink>
          </w:p>
        </w:tc>
        <w:tc>
          <w:tcPr>
            <w:tcW w:w="8640" w:type="dxa"/>
            <w:vAlign w:val="bottom"/>
            <w:gridSpan w:val="35"/>
          </w:tcPr>
          <w:p>
            <w:pPr>
              <w:spacing w:after="0" w:line="169" w:lineRule="exact"/>
              <w:rPr>
                <w:rFonts w:ascii="Arial" w:cs="Arial" w:eastAsia="Arial" w:hAnsi="Arial"/>
                <w:sz w:val="16"/>
                <w:szCs w:val="16"/>
                <w:i w:val="1"/>
                <w:iCs w:val="1"/>
                <w:color w:val="0000EE"/>
              </w:rPr>
            </w:pPr>
            <w:hyperlink w:anchor="page46">
              <w:r>
                <w:rPr>
                  <w:rFonts w:ascii="Arial" w:cs="Arial" w:eastAsia="Arial" w:hAnsi="Arial"/>
                  <w:sz w:val="16"/>
                  <w:szCs w:val="16"/>
                  <w:i w:val="1"/>
                  <w:iCs w:val="1"/>
                  <w:color w:val="0000EE"/>
                </w:rPr>
                <w:t>Committee Sets Underlying Goals for EPS and ROIC</w:t>
              </w:r>
            </w:hyperlink>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tcBorders>
              <w:top w:val="single" w:sz="8" w:color="0000EE"/>
              <w:bottom w:val="single" w:sz="8" w:color="0000EE"/>
            </w:tcBorders>
            <w:gridSpan w:val="13"/>
          </w:tcPr>
          <w:p>
            <w:pPr>
              <w:spacing w:after="0" w:line="169" w:lineRule="exact"/>
              <w:rPr>
                <w:rFonts w:ascii="Arial" w:cs="Arial" w:eastAsia="Arial" w:hAnsi="Arial"/>
                <w:sz w:val="16"/>
                <w:szCs w:val="16"/>
                <w:i w:val="1"/>
                <w:iCs w:val="1"/>
                <w:color w:val="0000EE"/>
              </w:rPr>
            </w:pPr>
            <w:hyperlink w:anchor="page46">
              <w:r>
                <w:rPr>
                  <w:rFonts w:ascii="Arial" w:cs="Arial" w:eastAsia="Arial" w:hAnsi="Arial"/>
                  <w:sz w:val="16"/>
                  <w:szCs w:val="16"/>
                  <w:i w:val="1"/>
                  <w:iCs w:val="1"/>
                  <w:color w:val="0000EE"/>
                </w:rPr>
                <w:t>Why the Company Uses EPS and ROIC</w:t>
              </w:r>
            </w:hyperlink>
          </w:p>
        </w:tc>
        <w:tc>
          <w:tcPr>
            <w:tcW w:w="1560" w:type="dxa"/>
            <w:vAlign w:val="bottom"/>
            <w:tcBorders>
              <w:top w:val="single" w:sz="8" w:color="0000EE"/>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gridSpan w:val="10"/>
          </w:tcPr>
          <w:p>
            <w:pPr>
              <w:spacing w:after="0"/>
              <w:rPr>
                <w:sz w:val="14"/>
                <w:szCs w:val="14"/>
                <w:color w:val="auto"/>
              </w:rPr>
            </w:pPr>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tcBorders>
              <w:bottom w:val="single" w:sz="8" w:color="0000EE"/>
            </w:tcBorders>
            <w:gridSpan w:val="18"/>
          </w:tcPr>
          <w:p>
            <w:pPr>
              <w:spacing w:after="0" w:line="169" w:lineRule="exact"/>
              <w:rPr>
                <w:rFonts w:ascii="Arial" w:cs="Arial" w:eastAsia="Arial" w:hAnsi="Arial"/>
                <w:sz w:val="16"/>
                <w:szCs w:val="16"/>
                <w:i w:val="1"/>
                <w:iCs w:val="1"/>
                <w:color w:val="0000EE"/>
              </w:rPr>
            </w:pPr>
            <w:hyperlink w:anchor="page47">
              <w:r>
                <w:rPr>
                  <w:rFonts w:ascii="Arial" w:cs="Arial" w:eastAsia="Arial" w:hAnsi="Arial"/>
                  <w:sz w:val="16"/>
                  <w:szCs w:val="16"/>
                  <w:i w:val="1"/>
                  <w:iCs w:val="1"/>
                  <w:color w:val="0000EE"/>
                </w:rPr>
                <w:t>The Committee Also Uses AOUP for Certain NEOs</w:t>
              </w:r>
            </w:hyperlink>
          </w:p>
        </w:tc>
        <w:tc>
          <w:tcPr>
            <w:tcW w:w="5660" w:type="dxa"/>
            <w:vAlign w:val="bottom"/>
            <w:gridSpan w:val="18"/>
          </w:tcPr>
          <w:p>
            <w:pPr>
              <w:spacing w:after="0"/>
              <w:rPr>
                <w:sz w:val="14"/>
                <w:szCs w:val="14"/>
                <w:color w:val="auto"/>
              </w:rPr>
            </w:pPr>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40" w:type="dxa"/>
            <w:vAlign w:val="bottom"/>
            <w:gridSpan w:val="19"/>
          </w:tcPr>
          <w:p>
            <w:pPr>
              <w:spacing w:after="0" w:line="169" w:lineRule="exact"/>
              <w:rPr>
                <w:rFonts w:ascii="Arial" w:cs="Arial" w:eastAsia="Arial" w:hAnsi="Arial"/>
                <w:sz w:val="16"/>
                <w:szCs w:val="16"/>
                <w:b w:val="1"/>
                <w:bCs w:val="1"/>
                <w:i w:val="1"/>
                <w:iCs w:val="1"/>
                <w:color w:val="0000EE"/>
              </w:rPr>
            </w:pPr>
            <w:hyperlink w:anchor="page47">
              <w:r>
                <w:rPr>
                  <w:rFonts w:ascii="Arial" w:cs="Arial" w:eastAsia="Arial" w:hAnsi="Arial"/>
                  <w:sz w:val="16"/>
                  <w:szCs w:val="16"/>
                  <w:b w:val="1"/>
                  <w:bCs w:val="1"/>
                  <w:i w:val="1"/>
                  <w:iCs w:val="1"/>
                  <w:color w:val="0000EE"/>
                </w:rPr>
                <w:t>Annual Incentive Award Opportunities by NEO</w:t>
              </w:r>
            </w:hyperlink>
          </w:p>
        </w:tc>
        <w:tc>
          <w:tcPr>
            <w:tcW w:w="2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4860" w:type="dxa"/>
            <w:vAlign w:val="bottom"/>
            <w:gridSpan w:val="10"/>
          </w:tcPr>
          <w:p>
            <w:pPr>
              <w:spacing w:after="0"/>
              <w:rPr>
                <w:sz w:val="14"/>
                <w:szCs w:val="14"/>
                <w:color w:val="auto"/>
              </w:rPr>
            </w:pPr>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900" w:type="dxa"/>
            <w:vAlign w:val="bottom"/>
            <w:gridSpan w:val="10"/>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1380" w:type="dxa"/>
            <w:vAlign w:val="bottom"/>
            <w:vMerge w:val="restart"/>
          </w:tcPr>
          <w:p>
            <w:pPr>
              <w:jc w:val="right"/>
              <w:ind w:right="159"/>
              <w:spacing w:after="0"/>
              <w:rPr>
                <w:sz w:val="20"/>
                <w:szCs w:val="20"/>
                <w:color w:val="auto"/>
              </w:rPr>
            </w:pPr>
            <w:r>
              <w:rPr>
                <w:rFonts w:ascii="Arial" w:cs="Arial" w:eastAsia="Arial" w:hAnsi="Arial"/>
                <w:sz w:val="16"/>
                <w:szCs w:val="16"/>
                <w:color w:val="auto"/>
              </w:rPr>
              <w:t>42</w:t>
            </w: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340" w:type="dxa"/>
            <w:vAlign w:val="bottom"/>
            <w:gridSpan w:val="36"/>
          </w:tcPr>
          <w:p>
            <w:pPr>
              <w:spacing w:after="0" w:line="169" w:lineRule="exact"/>
              <w:rPr>
                <w:rFonts w:ascii="Arial" w:cs="Arial" w:eastAsia="Arial" w:hAnsi="Arial"/>
                <w:sz w:val="16"/>
                <w:szCs w:val="16"/>
                <w:i w:val="1"/>
                <w:iCs w:val="1"/>
                <w:color w:val="0000EE"/>
              </w:rPr>
            </w:pPr>
            <w:hyperlink w:anchor="page47">
              <w:r>
                <w:rPr>
                  <w:rFonts w:ascii="Arial" w:cs="Arial" w:eastAsia="Arial" w:hAnsi="Arial"/>
                  <w:sz w:val="16"/>
                  <w:szCs w:val="16"/>
                  <w:i w:val="1"/>
                  <w:iCs w:val="1"/>
                  <w:color w:val="0000EE"/>
                </w:rPr>
                <w:t>Jonas Prising — Annual Incentive Award Opportunities</w:t>
              </w:r>
            </w:hyperlink>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2380" w:type="dxa"/>
            <w:vAlign w:val="bottom"/>
            <w:gridSpan w:val="1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1380" w:type="dxa"/>
            <w:vAlign w:val="bottom"/>
            <w:vMerge w:val="restart"/>
          </w:tcPr>
          <w:p>
            <w:pPr>
              <w:jc w:val="right"/>
              <w:ind w:right="159"/>
              <w:spacing w:after="0"/>
              <w:rPr>
                <w:sz w:val="20"/>
                <w:szCs w:val="20"/>
                <w:color w:val="auto"/>
              </w:rPr>
            </w:pPr>
            <w:r>
              <w:rPr>
                <w:rFonts w:ascii="Arial" w:cs="Arial" w:eastAsia="Arial" w:hAnsi="Arial"/>
                <w:sz w:val="16"/>
                <w:szCs w:val="16"/>
                <w:color w:val="auto"/>
              </w:rPr>
              <w:t>43</w:t>
            </w: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340" w:type="dxa"/>
            <w:vAlign w:val="bottom"/>
            <w:gridSpan w:val="36"/>
          </w:tcPr>
          <w:p>
            <w:pPr>
              <w:spacing w:after="0" w:line="169" w:lineRule="exact"/>
              <w:rPr>
                <w:rFonts w:ascii="Arial" w:cs="Arial" w:eastAsia="Arial" w:hAnsi="Arial"/>
                <w:sz w:val="16"/>
                <w:szCs w:val="16"/>
                <w:i w:val="1"/>
                <w:iCs w:val="1"/>
                <w:color w:val="0000EE"/>
              </w:rPr>
            </w:pPr>
            <w:hyperlink w:anchor="page48">
              <w:r>
                <w:rPr>
                  <w:rFonts w:ascii="Arial" w:cs="Arial" w:eastAsia="Arial" w:hAnsi="Arial"/>
                  <w:sz w:val="16"/>
                  <w:szCs w:val="16"/>
                  <w:i w:val="1"/>
                  <w:iCs w:val="1"/>
                  <w:color w:val="0000EE"/>
                </w:rPr>
                <w:t>John T. McGinnis — Annual Incentive Award Opportunities</w:t>
              </w:r>
            </w:hyperlink>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00" w:type="dxa"/>
            <w:vAlign w:val="bottom"/>
            <w:tcBorders>
              <w:top w:val="single" w:sz="8" w:color="0000EE"/>
              <w:bottom w:val="single" w:sz="8" w:color="0000EE"/>
            </w:tcBorders>
            <w:gridSpan w:val="19"/>
          </w:tcPr>
          <w:p>
            <w:pPr>
              <w:spacing w:after="0" w:line="169" w:lineRule="exact"/>
              <w:rPr>
                <w:rFonts w:ascii="Arial" w:cs="Arial" w:eastAsia="Arial" w:hAnsi="Arial"/>
                <w:sz w:val="16"/>
                <w:szCs w:val="16"/>
                <w:i w:val="1"/>
                <w:iCs w:val="1"/>
                <w:color w:val="0000EE"/>
              </w:rPr>
            </w:pPr>
            <w:hyperlink w:anchor="page49">
              <w:r>
                <w:rPr>
                  <w:rFonts w:ascii="Arial" w:cs="Arial" w:eastAsia="Arial" w:hAnsi="Arial"/>
                  <w:sz w:val="16"/>
                  <w:szCs w:val="16"/>
                  <w:i w:val="1"/>
                  <w:iCs w:val="1"/>
                  <w:color w:val="0000EE"/>
                </w:rPr>
                <w:t>Darryl Green — Annual Incentive Award Opportunities</w:t>
              </w:r>
            </w:hyperlink>
          </w:p>
        </w:tc>
        <w:tc>
          <w:tcPr>
            <w:tcW w:w="320" w:type="dxa"/>
            <w:vAlign w:val="bottom"/>
            <w:tcBorders>
              <w:top w:val="single" w:sz="8" w:color="0000EE"/>
            </w:tcBorders>
            <w:gridSpan w:val="4"/>
          </w:tcPr>
          <w:p>
            <w:pPr>
              <w:spacing w:after="0"/>
              <w:rPr>
                <w:sz w:val="14"/>
                <w:szCs w:val="14"/>
                <w:color w:val="auto"/>
              </w:rPr>
            </w:pPr>
          </w:p>
        </w:tc>
        <w:tc>
          <w:tcPr>
            <w:tcW w:w="260" w:type="dxa"/>
            <w:vAlign w:val="bottom"/>
            <w:gridSpan w:val="3"/>
          </w:tcPr>
          <w:p>
            <w:pPr>
              <w:spacing w:after="0"/>
              <w:rPr>
                <w:sz w:val="14"/>
                <w:szCs w:val="14"/>
                <w:color w:val="auto"/>
              </w:rPr>
            </w:pPr>
          </w:p>
        </w:tc>
        <w:tc>
          <w:tcPr>
            <w:tcW w:w="4860" w:type="dxa"/>
            <w:vAlign w:val="bottom"/>
            <w:gridSpan w:val="10"/>
          </w:tcPr>
          <w:p>
            <w:pPr>
              <w:spacing w:after="0"/>
              <w:rPr>
                <w:sz w:val="14"/>
                <w:szCs w:val="14"/>
                <w:color w:val="auto"/>
              </w:rPr>
            </w:pPr>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340" w:type="dxa"/>
            <w:vAlign w:val="bottom"/>
            <w:gridSpan w:val="36"/>
          </w:tcPr>
          <w:p>
            <w:pPr>
              <w:spacing w:after="0" w:line="169" w:lineRule="exact"/>
              <w:rPr>
                <w:rFonts w:ascii="Arial" w:cs="Arial" w:eastAsia="Arial" w:hAnsi="Arial"/>
                <w:sz w:val="16"/>
                <w:szCs w:val="16"/>
                <w:i w:val="1"/>
                <w:iCs w:val="1"/>
                <w:color w:val="0000EE"/>
              </w:rPr>
            </w:pPr>
            <w:hyperlink w:anchor="page49">
              <w:r>
                <w:rPr>
                  <w:rFonts w:ascii="Arial" w:cs="Arial" w:eastAsia="Arial" w:hAnsi="Arial"/>
                  <w:sz w:val="16"/>
                  <w:szCs w:val="16"/>
                  <w:i w:val="1"/>
                  <w:iCs w:val="1"/>
                  <w:color w:val="0000EE"/>
                </w:rPr>
                <w:t>Ram Chandrashekar — Annual Incentive Award Opportunities</w:t>
              </w:r>
            </w:hyperlink>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tcBorders>
              <w:top w:val="single" w:sz="8" w:color="0000EE"/>
            </w:tcBorders>
            <w:gridSpan w:val="26"/>
          </w:tcPr>
          <w:p>
            <w:pPr>
              <w:spacing w:after="0" w:line="169" w:lineRule="exact"/>
              <w:rPr>
                <w:rFonts w:ascii="Arial" w:cs="Arial" w:eastAsia="Arial" w:hAnsi="Arial"/>
                <w:sz w:val="16"/>
                <w:szCs w:val="16"/>
                <w:i w:val="1"/>
                <w:iCs w:val="1"/>
                <w:color w:val="0000EE"/>
              </w:rPr>
            </w:pPr>
            <w:hyperlink w:anchor="page50">
              <w:r>
                <w:rPr>
                  <w:rFonts w:ascii="Arial" w:cs="Arial" w:eastAsia="Arial" w:hAnsi="Arial"/>
                  <w:sz w:val="16"/>
                  <w:szCs w:val="16"/>
                  <w:i w:val="1"/>
                  <w:iCs w:val="1"/>
                  <w:color w:val="0000EE"/>
                </w:rPr>
                <w:t>Mara E. Swan — Annual Incentive Award Opportunities</w:t>
              </w:r>
            </w:hyperlink>
          </w:p>
        </w:tc>
        <w:tc>
          <w:tcPr>
            <w:tcW w:w="4860" w:type="dxa"/>
            <w:vAlign w:val="bottom"/>
            <w:gridSpan w:val="10"/>
          </w:tcPr>
          <w:p>
            <w:pPr>
              <w:spacing w:after="0"/>
              <w:rPr>
                <w:sz w:val="14"/>
                <w:szCs w:val="14"/>
                <w:color w:val="auto"/>
              </w:rPr>
            </w:pPr>
          </w:p>
        </w:tc>
        <w:tc>
          <w:tcPr>
            <w:tcW w:w="13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2460" w:type="dxa"/>
            <w:vAlign w:val="bottom"/>
            <w:gridSpan w:val="16"/>
            <w:shd w:val="clear" w:color="auto" w:fill="0000EE"/>
          </w:tcPr>
          <w:p>
            <w:pPr>
              <w:spacing w:after="0" w:line="20" w:lineRule="exact"/>
              <w:rPr>
                <w:sz w:val="1"/>
                <w:szCs w:val="1"/>
                <w:color w:val="auto"/>
              </w:rPr>
            </w:pPr>
          </w:p>
        </w:tc>
        <w:tc>
          <w:tcPr>
            <w:tcW w:w="5360" w:type="dxa"/>
            <w:vAlign w:val="bottom"/>
            <w:gridSpan w:val="14"/>
            <w:vMerge w:val="restart"/>
          </w:tcPr>
          <w:p>
            <w:pPr>
              <w:spacing w:after="0" w:line="20" w:lineRule="exact"/>
              <w:rPr>
                <w:sz w:val="1"/>
                <w:szCs w:val="1"/>
                <w:color w:val="auto"/>
              </w:rPr>
            </w:pPr>
          </w:p>
        </w:tc>
        <w:tc>
          <w:tcPr>
            <w:tcW w:w="1380" w:type="dxa"/>
            <w:vAlign w:val="bottom"/>
            <w:vMerge w:val="restart"/>
          </w:tcPr>
          <w:p>
            <w:pPr>
              <w:jc w:val="right"/>
              <w:ind w:right="159"/>
              <w:spacing w:after="0"/>
              <w:rPr>
                <w:sz w:val="20"/>
                <w:szCs w:val="20"/>
                <w:color w:val="auto"/>
              </w:rPr>
            </w:pPr>
            <w:r>
              <w:rPr>
                <w:rFonts w:ascii="Arial" w:cs="Arial" w:eastAsia="Arial" w:hAnsi="Arial"/>
                <w:sz w:val="16"/>
                <w:szCs w:val="16"/>
                <w:color w:val="auto"/>
              </w:rPr>
              <w:t>45</w:t>
            </w: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40" w:type="dxa"/>
            <w:vAlign w:val="bottom"/>
            <w:gridSpan w:val="23"/>
          </w:tcPr>
          <w:p>
            <w:pPr>
              <w:spacing w:after="0" w:line="169" w:lineRule="exact"/>
              <w:rPr>
                <w:rFonts w:ascii="Arial" w:cs="Arial" w:eastAsia="Arial" w:hAnsi="Arial"/>
                <w:sz w:val="16"/>
                <w:szCs w:val="16"/>
                <w:b w:val="1"/>
                <w:bCs w:val="1"/>
                <w:i w:val="1"/>
                <w:iCs w:val="1"/>
                <w:color w:val="0000EE"/>
              </w:rPr>
            </w:pPr>
            <w:hyperlink w:anchor="page50">
              <w:r>
                <w:rPr>
                  <w:rFonts w:ascii="Arial" w:cs="Arial" w:eastAsia="Arial" w:hAnsi="Arial"/>
                  <w:sz w:val="16"/>
                  <w:szCs w:val="16"/>
                  <w:b w:val="1"/>
                  <w:bCs w:val="1"/>
                  <w:i w:val="1"/>
                  <w:iCs w:val="1"/>
                  <w:color w:val="0000EE"/>
                </w:rPr>
                <w:t>Long-Term Incentives</w:t>
              </w:r>
            </w:hyperlink>
          </w:p>
        </w:tc>
        <w:tc>
          <w:tcPr>
            <w:tcW w:w="5360" w:type="dxa"/>
            <w:vAlign w:val="bottom"/>
            <w:gridSpan w:val="14"/>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128905</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0"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23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5560" w:type="dxa"/>
            <w:vAlign w:val="bottom"/>
            <w:gridSpan w:val="12"/>
          </w:tcPr>
          <w:p>
            <w:pPr>
              <w:spacing w:after="0"/>
              <w:rPr>
                <w:rFonts w:ascii="Arial" w:cs="Arial" w:eastAsia="Arial" w:hAnsi="Arial"/>
                <w:sz w:val="16"/>
                <w:szCs w:val="16"/>
                <w:b w:val="1"/>
                <w:bCs w:val="1"/>
                <w:color w:val="0000EE"/>
              </w:rPr>
            </w:pPr>
            <w:hyperlink w:anchor="page52">
              <w:r>
                <w:rPr>
                  <w:rFonts w:ascii="Arial" w:cs="Arial" w:eastAsia="Arial" w:hAnsi="Arial"/>
                  <w:sz w:val="16"/>
                  <w:szCs w:val="16"/>
                  <w:b w:val="1"/>
                  <w:bCs w:val="1"/>
                  <w:color w:val="0000EE"/>
                </w:rPr>
                <w:t>Career Shares and Deferred Compensation Plans</w:t>
              </w:r>
            </w:hyperlink>
          </w:p>
        </w:tc>
        <w:tc>
          <w:tcPr>
            <w:tcW w:w="5400" w:type="dxa"/>
            <w:vAlign w:val="bottom"/>
          </w:tcPr>
          <w:p>
            <w:pPr>
              <w:jc w:val="right"/>
              <w:ind w:right="15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040" w:type="dxa"/>
            <w:vAlign w:val="bottom"/>
            <w:tcBorders>
              <w:top w:val="single" w:sz="8" w:color="0000EE"/>
              <w:bottom w:val="single" w:sz="8" w:color="5D89B4"/>
            </w:tcBorders>
          </w:tcPr>
          <w:p>
            <w:pPr>
              <w:spacing w:after="0"/>
              <w:rPr>
                <w:sz w:val="17"/>
                <w:szCs w:val="17"/>
                <w:color w:val="auto"/>
              </w:rPr>
            </w:pPr>
          </w:p>
        </w:tc>
        <w:tc>
          <w:tcPr>
            <w:tcW w:w="6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4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840" w:type="dxa"/>
            <w:vAlign w:val="bottom"/>
            <w:tcBorders>
              <w:bottom w:val="single" w:sz="8" w:color="5D89B4"/>
            </w:tcBorders>
          </w:tcPr>
          <w:p>
            <w:pPr>
              <w:spacing w:after="0"/>
              <w:rPr>
                <w:sz w:val="17"/>
                <w:szCs w:val="17"/>
                <w:color w:val="auto"/>
              </w:rPr>
            </w:pPr>
          </w:p>
        </w:tc>
        <w:tc>
          <w:tcPr>
            <w:tcW w:w="540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560" w:type="dxa"/>
            <w:vAlign w:val="bottom"/>
            <w:gridSpan w:val="12"/>
          </w:tcPr>
          <w:p>
            <w:pPr>
              <w:spacing w:after="0" w:line="155" w:lineRule="exact"/>
              <w:rPr>
                <w:rFonts w:ascii="Arial" w:cs="Arial" w:eastAsia="Arial" w:hAnsi="Arial"/>
                <w:sz w:val="16"/>
                <w:szCs w:val="16"/>
                <w:b w:val="1"/>
                <w:bCs w:val="1"/>
                <w:color w:val="0000EE"/>
              </w:rPr>
            </w:pPr>
            <w:hyperlink w:anchor="page52">
              <w:r>
                <w:rPr>
                  <w:rFonts w:ascii="Arial" w:cs="Arial" w:eastAsia="Arial" w:hAnsi="Arial"/>
                  <w:sz w:val="16"/>
                  <w:szCs w:val="16"/>
                  <w:b w:val="1"/>
                  <w:bCs w:val="1"/>
                  <w:color w:val="0000EE"/>
                </w:rPr>
                <w:t>Other Benefits</w:t>
              </w:r>
            </w:hyperlink>
          </w:p>
        </w:tc>
        <w:tc>
          <w:tcPr>
            <w:tcW w:w="540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tcPr>
          <w:p>
            <w:pPr>
              <w:spacing w:after="0" w:line="169" w:lineRule="exact"/>
              <w:rPr>
                <w:rFonts w:ascii="Arial" w:cs="Arial" w:eastAsia="Arial" w:hAnsi="Arial"/>
                <w:sz w:val="16"/>
                <w:szCs w:val="16"/>
                <w:b w:val="1"/>
                <w:bCs w:val="1"/>
                <w:i w:val="1"/>
                <w:iCs w:val="1"/>
                <w:color w:val="0000EE"/>
              </w:rPr>
            </w:pPr>
            <w:hyperlink w:anchor="page52">
              <w:r>
                <w:rPr>
                  <w:rFonts w:ascii="Arial" w:cs="Arial" w:eastAsia="Arial" w:hAnsi="Arial"/>
                  <w:sz w:val="16"/>
                  <w:szCs w:val="16"/>
                  <w:b w:val="1"/>
                  <w:bCs w:val="1"/>
                  <w:i w:val="1"/>
                  <w:iCs w:val="1"/>
                  <w:color w:val="0000EE"/>
                </w:rPr>
                <w:t>Severance</w:t>
              </w:r>
            </w:hyperlink>
          </w:p>
        </w:tc>
        <w:tc>
          <w:tcPr>
            <w:tcW w:w="4440" w:type="dxa"/>
            <w:vAlign w:val="bottom"/>
            <w:gridSpan w:val="10"/>
          </w:tcPr>
          <w:p>
            <w:pPr>
              <w:spacing w:after="0" w:line="169" w:lineRule="exact"/>
              <w:rPr>
                <w:rFonts w:ascii="Arial" w:cs="Arial" w:eastAsia="Arial" w:hAnsi="Arial"/>
                <w:sz w:val="16"/>
                <w:szCs w:val="16"/>
                <w:b w:val="1"/>
                <w:bCs w:val="1"/>
                <w:i w:val="1"/>
                <w:iCs w:val="1"/>
                <w:color w:val="0000EE"/>
              </w:rPr>
            </w:pPr>
            <w:hyperlink w:anchor="page52">
              <w:r>
                <w:rPr>
                  <w:rFonts w:ascii="Arial" w:cs="Arial" w:eastAsia="Arial" w:hAnsi="Arial"/>
                  <w:sz w:val="16"/>
                  <w:szCs w:val="16"/>
                  <w:b w:val="1"/>
                  <w:bCs w:val="1"/>
                  <w:i w:val="1"/>
                  <w:iCs w:val="1"/>
                  <w:color w:val="0000EE"/>
                </w:rPr>
                <w:t>Agreements</w:t>
              </w:r>
            </w:hyperlink>
          </w:p>
        </w:tc>
        <w:tc>
          <w:tcPr>
            <w:tcW w:w="540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40" w:type="dxa"/>
            <w:vAlign w:val="bottom"/>
            <w:tcBorders>
              <w:top w:val="single" w:sz="8" w:color="0000EE"/>
              <w:bottom w:val="single" w:sz="8" w:color="5D89B4"/>
            </w:tcBorders>
          </w:tcPr>
          <w:p>
            <w:pPr>
              <w:spacing w:after="0"/>
              <w:rPr>
                <w:sz w:val="17"/>
                <w:szCs w:val="17"/>
                <w:color w:val="auto"/>
              </w:rPr>
            </w:pPr>
          </w:p>
        </w:tc>
        <w:tc>
          <w:tcPr>
            <w:tcW w:w="6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4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32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840" w:type="dxa"/>
            <w:vAlign w:val="bottom"/>
            <w:tcBorders>
              <w:bottom w:val="single" w:sz="8" w:color="5D89B4"/>
            </w:tcBorders>
          </w:tcPr>
          <w:p>
            <w:pPr>
              <w:spacing w:after="0"/>
              <w:rPr>
                <w:sz w:val="17"/>
                <w:szCs w:val="17"/>
                <w:color w:val="auto"/>
              </w:rPr>
            </w:pPr>
          </w:p>
        </w:tc>
        <w:tc>
          <w:tcPr>
            <w:tcW w:w="540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560" w:type="dxa"/>
            <w:vAlign w:val="bottom"/>
            <w:gridSpan w:val="12"/>
          </w:tcPr>
          <w:p>
            <w:pPr>
              <w:spacing w:after="0" w:line="155" w:lineRule="exact"/>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Additional Executive Compensation Policies</w:t>
              </w:r>
            </w:hyperlink>
          </w:p>
        </w:tc>
        <w:tc>
          <w:tcPr>
            <w:tcW w:w="540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340" w:type="dxa"/>
            <w:vAlign w:val="bottom"/>
            <w:tcBorders>
              <w:top w:val="single" w:sz="8" w:color="0000EE"/>
            </w:tcBorders>
            <w:gridSpan w:val="7"/>
          </w:tcPr>
          <w:p>
            <w:pPr>
              <w:spacing w:after="0" w:line="169" w:lineRule="exact"/>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We Have Stock Ownership Guidelines for</w:t>
              </w:r>
            </w:hyperlink>
          </w:p>
        </w:tc>
        <w:tc>
          <w:tcPr>
            <w:tcW w:w="2140" w:type="dxa"/>
            <w:vAlign w:val="bottom"/>
            <w:gridSpan w:val="4"/>
          </w:tcPr>
          <w:p>
            <w:pPr>
              <w:spacing w:after="0" w:line="169" w:lineRule="exact"/>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Executive Officers</w:t>
              </w:r>
            </w:hyperlink>
          </w:p>
        </w:tc>
        <w:tc>
          <w:tcPr>
            <w:tcW w:w="540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40" w:type="dxa"/>
            <w:vAlign w:val="bottom"/>
            <w:tcBorders>
              <w:top w:val="single" w:sz="8" w:color="0000EE"/>
            </w:tcBorders>
            <w:gridSpan w:val="10"/>
          </w:tcPr>
          <w:p>
            <w:pPr>
              <w:spacing w:after="0" w:line="169" w:lineRule="exact"/>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We Have Adopted a Clawback Policy</w:t>
              </w:r>
            </w:hyperlink>
          </w:p>
        </w:tc>
        <w:tc>
          <w:tcPr>
            <w:tcW w:w="840" w:type="dxa"/>
            <w:vAlign w:val="bottom"/>
          </w:tcPr>
          <w:p>
            <w:pPr>
              <w:spacing w:after="0"/>
              <w:rPr>
                <w:sz w:val="14"/>
                <w:szCs w:val="14"/>
                <w:color w:val="auto"/>
              </w:rPr>
            </w:pPr>
          </w:p>
        </w:tc>
        <w:tc>
          <w:tcPr>
            <w:tcW w:w="540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tcBorders>
              <w:top w:val="single" w:sz="8" w:color="0000EE"/>
            </w:tcBorders>
            <w:gridSpan w:val="5"/>
          </w:tcPr>
          <w:p>
            <w:pPr>
              <w:spacing w:after="0" w:line="169" w:lineRule="exact"/>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We Prohibit Hedging Transactions</w:t>
              </w:r>
            </w:hyperlink>
          </w:p>
        </w:tc>
        <w:tc>
          <w:tcPr>
            <w:tcW w:w="180" w:type="dxa"/>
            <w:vAlign w:val="bottom"/>
          </w:tcPr>
          <w:p>
            <w:pPr>
              <w:spacing w:after="0"/>
              <w:rPr>
                <w:sz w:val="14"/>
                <w:szCs w:val="14"/>
                <w:color w:val="auto"/>
              </w:rPr>
            </w:pPr>
          </w:p>
        </w:tc>
        <w:tc>
          <w:tcPr>
            <w:tcW w:w="1120" w:type="dxa"/>
            <w:vAlign w:val="bottom"/>
            <w:gridSpan w:val="3"/>
          </w:tcPr>
          <w:p>
            <w:pPr>
              <w:spacing w:after="0"/>
              <w:rPr>
                <w:sz w:val="14"/>
                <w:szCs w:val="14"/>
                <w:color w:val="auto"/>
              </w:rPr>
            </w:pPr>
          </w:p>
        </w:tc>
        <w:tc>
          <w:tcPr>
            <w:tcW w:w="1340" w:type="dxa"/>
            <w:vAlign w:val="bottom"/>
            <w:gridSpan w:val="2"/>
          </w:tcPr>
          <w:p>
            <w:pPr>
              <w:spacing w:after="0"/>
              <w:rPr>
                <w:sz w:val="14"/>
                <w:szCs w:val="14"/>
                <w:color w:val="auto"/>
              </w:rPr>
            </w:pPr>
          </w:p>
        </w:tc>
        <w:tc>
          <w:tcPr>
            <w:tcW w:w="540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0" w:type="dxa"/>
            <w:vAlign w:val="bottom"/>
            <w:vMerge w:val="restart"/>
          </w:tcPr>
          <w:p>
            <w:pPr>
              <w:jc w:val="right"/>
              <w:ind w:right="159"/>
              <w:spacing w:after="0"/>
              <w:rPr>
                <w:sz w:val="20"/>
                <w:szCs w:val="20"/>
                <w:color w:val="auto"/>
              </w:rPr>
            </w:pPr>
            <w:r>
              <w:rPr>
                <w:rFonts w:ascii="Arial" w:cs="Arial" w:eastAsia="Arial" w:hAnsi="Arial"/>
                <w:sz w:val="16"/>
                <w:szCs w:val="16"/>
                <w:color w:val="auto"/>
              </w:rPr>
              <w:t>48</w:t>
            </w: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80" w:type="dxa"/>
            <w:vAlign w:val="bottom"/>
            <w:gridSpan w:val="11"/>
          </w:tcPr>
          <w:p>
            <w:pPr>
              <w:spacing w:after="0" w:line="169" w:lineRule="exact"/>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We Provide Limited Expatriate Benefits</w:t>
              </w:r>
            </w:hyperlink>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40" w:type="dxa"/>
            <w:vAlign w:val="bottom"/>
            <w:tcBorders>
              <w:top w:val="single" w:sz="8" w:color="0000EE"/>
              <w:bottom w:val="single" w:sz="8" w:color="5D89B4"/>
            </w:tcBorders>
          </w:tcPr>
          <w:p>
            <w:pPr>
              <w:spacing w:after="0"/>
              <w:rPr>
                <w:sz w:val="17"/>
                <w:szCs w:val="17"/>
                <w:color w:val="auto"/>
              </w:rPr>
            </w:pPr>
          </w:p>
        </w:tc>
        <w:tc>
          <w:tcPr>
            <w:tcW w:w="6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4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2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840" w:type="dxa"/>
            <w:vAlign w:val="bottom"/>
            <w:tcBorders>
              <w:bottom w:val="single" w:sz="8" w:color="5D89B4"/>
            </w:tcBorders>
          </w:tcPr>
          <w:p>
            <w:pPr>
              <w:spacing w:after="0"/>
              <w:rPr>
                <w:sz w:val="17"/>
                <w:szCs w:val="17"/>
                <w:color w:val="auto"/>
              </w:rPr>
            </w:pPr>
          </w:p>
        </w:tc>
        <w:tc>
          <w:tcPr>
            <w:tcW w:w="540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20" w:type="dxa"/>
            <w:vAlign w:val="bottom"/>
            <w:tcBorders>
              <w:bottom w:val="single" w:sz="8" w:color="0000EE"/>
            </w:tcBorders>
            <w:gridSpan w:val="3"/>
          </w:tcPr>
          <w:p>
            <w:pPr>
              <w:spacing w:after="0" w:line="155" w:lineRule="exact"/>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Realizable Pay in 2017</w:t>
              </w:r>
            </w:hyperlink>
          </w:p>
        </w:tc>
        <w:tc>
          <w:tcPr>
            <w:tcW w:w="3840" w:type="dxa"/>
            <w:vAlign w:val="bottom"/>
            <w:gridSpan w:val="9"/>
          </w:tcPr>
          <w:p>
            <w:pPr>
              <w:spacing w:after="0"/>
              <w:rPr>
                <w:sz w:val="13"/>
                <w:szCs w:val="13"/>
                <w:color w:val="auto"/>
              </w:rPr>
            </w:pPr>
          </w:p>
        </w:tc>
        <w:tc>
          <w:tcPr>
            <w:tcW w:w="540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80" w:type="dxa"/>
            <w:vAlign w:val="bottom"/>
            <w:gridSpan w:val="11"/>
          </w:tcPr>
          <w:p>
            <w:pPr>
              <w:spacing w:after="0" w:line="169" w:lineRule="exact"/>
              <w:rPr>
                <w:rFonts w:ascii="Arial" w:cs="Arial" w:eastAsia="Arial" w:hAnsi="Arial"/>
                <w:sz w:val="16"/>
                <w:szCs w:val="16"/>
                <w:b w:val="1"/>
                <w:bCs w:val="1"/>
                <w:i w:val="1"/>
                <w:iCs w:val="1"/>
                <w:color w:val="0000EE"/>
              </w:rPr>
            </w:pPr>
            <w:hyperlink w:anchor="page54">
              <w:r>
                <w:rPr>
                  <w:rFonts w:ascii="Arial" w:cs="Arial" w:eastAsia="Arial" w:hAnsi="Arial"/>
                  <w:sz w:val="16"/>
                  <w:szCs w:val="16"/>
                  <w:b w:val="1"/>
                  <w:bCs w:val="1"/>
                  <w:i w:val="1"/>
                  <w:iCs w:val="1"/>
                  <w:color w:val="0000EE"/>
                </w:rPr>
                <w:t>Supplemental Table of CEO Realizable Compensation</w:t>
              </w:r>
            </w:hyperlink>
          </w:p>
        </w:tc>
        <w:tc>
          <w:tcPr>
            <w:tcW w:w="540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6"/>
        </w:trPr>
        <w:tc>
          <w:tcPr>
            <w:tcW w:w="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040" w:type="dxa"/>
            <w:vAlign w:val="bottom"/>
            <w:tcBorders>
              <w:top w:val="single" w:sz="8" w:color="0000EE"/>
              <w:bottom w:val="single" w:sz="8" w:color="5D89B4"/>
            </w:tcBorders>
          </w:tcPr>
          <w:p>
            <w:pPr>
              <w:spacing w:after="0"/>
              <w:rPr>
                <w:sz w:val="17"/>
                <w:szCs w:val="17"/>
                <w:color w:val="auto"/>
              </w:rPr>
            </w:pPr>
          </w:p>
        </w:tc>
        <w:tc>
          <w:tcPr>
            <w:tcW w:w="6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4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840" w:type="dxa"/>
            <w:vAlign w:val="bottom"/>
            <w:tcBorders>
              <w:bottom w:val="single" w:sz="8" w:color="5D89B4"/>
            </w:tcBorders>
          </w:tcPr>
          <w:p>
            <w:pPr>
              <w:spacing w:after="0"/>
              <w:rPr>
                <w:sz w:val="17"/>
                <w:szCs w:val="17"/>
                <w:color w:val="auto"/>
              </w:rPr>
            </w:pPr>
          </w:p>
        </w:tc>
        <w:tc>
          <w:tcPr>
            <w:tcW w:w="540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560" w:type="dxa"/>
            <w:vAlign w:val="bottom"/>
            <w:tcBorders>
              <w:bottom w:val="single" w:sz="8" w:color="0000EE"/>
            </w:tcBorders>
            <w:gridSpan w:val="12"/>
          </w:tcPr>
          <w:p>
            <w:pPr>
              <w:spacing w:after="0" w:line="155" w:lineRule="exact"/>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Other Material Tax Implications of the Executive Compensation Program</w:t>
              </w:r>
            </w:hyperlink>
          </w:p>
        </w:tc>
        <w:tc>
          <w:tcPr>
            <w:tcW w:w="5400" w:type="dxa"/>
            <w:vAlign w:val="bottom"/>
          </w:tcPr>
          <w:p>
            <w:pPr>
              <w:jc w:val="right"/>
              <w:ind w:right="159"/>
              <w:spacing w:after="0" w:line="155"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128905</wp:posOffset>
            </wp:positionV>
            <wp:extent cx="6997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24</w:t>
      </w:r>
    </w:p>
    <w:p>
      <w:pPr>
        <w:sectPr>
          <w:pgSz w:w="11900" w:h="16838" w:orient="portrait"/>
          <w:cols w:equalWidth="0" w:num="1">
            <w:col w:w="11240"/>
          </w:cols>
          <w:pgMar w:left="240" w:top="455" w:right="4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Background</w:t>
      </w:r>
    </w:p>
    <w:p>
      <w:pPr>
        <w:spacing w:after="0" w:line="170" w:lineRule="exact"/>
        <w:rPr>
          <w:sz w:val="20"/>
          <w:szCs w:val="20"/>
          <w:color w:val="auto"/>
        </w:rPr>
      </w:pPr>
    </w:p>
    <w:p>
      <w:pPr>
        <w:ind w:left="200" w:right="40"/>
        <w:spacing w:after="0" w:line="243" w:lineRule="auto"/>
        <w:rPr>
          <w:sz w:val="20"/>
          <w:szCs w:val="20"/>
          <w:color w:val="auto"/>
        </w:rPr>
      </w:pPr>
      <w:r>
        <w:rPr>
          <w:rFonts w:ascii="Arial" w:cs="Arial" w:eastAsia="Arial" w:hAnsi="Arial"/>
          <w:sz w:val="18"/>
          <w:szCs w:val="18"/>
          <w:color w:val="auto"/>
        </w:rPr>
        <w:t>This compensation discussion and analysis (“CD&amp;A”) describes ManpowerGroup’s executive compensation program for our executive officers for whom disclosure is required under the rules of the Securities and Exchange Commission (“SEC”). We refer to this group of executives as our named executive officers (“NEOs”). ManpowerGroup’s NEOs for the year ended December 31, 2017 are the Chief Executive Officer (CEO), Chief Financial Officer (CFO) and the three most highly compensated executive officers (other than the CEO and CFO), who were serving as executive officers as of December 31, 2017. Our NEOs are listed below with their titles as of December 31, 2017:</w:t>
      </w:r>
    </w:p>
    <w:p>
      <w:pPr>
        <w:spacing w:after="0" w:line="107" w:lineRule="exact"/>
        <w:rPr>
          <w:sz w:val="20"/>
          <w:szCs w:val="20"/>
          <w:color w:val="auto"/>
        </w:rPr>
      </w:pPr>
    </w:p>
    <w:p>
      <w:pPr>
        <w:ind w:left="640" w:hanging="328"/>
        <w:spacing w:after="0"/>
        <w:tabs>
          <w:tab w:leader="none" w:pos="640" w:val="left"/>
        </w:tabs>
        <w:numPr>
          <w:ilvl w:val="0"/>
          <w:numId w:val="31"/>
        </w:numPr>
        <w:rPr>
          <w:rFonts w:ascii="Arial" w:cs="Arial" w:eastAsia="Arial" w:hAnsi="Arial"/>
          <w:sz w:val="18"/>
          <w:szCs w:val="18"/>
          <w:color w:val="5D89B4"/>
        </w:rPr>
      </w:pPr>
      <w:r>
        <w:rPr>
          <w:rFonts w:ascii="Arial" w:cs="Arial" w:eastAsia="Arial" w:hAnsi="Arial"/>
          <w:sz w:val="18"/>
          <w:szCs w:val="18"/>
          <w:color w:val="auto"/>
        </w:rPr>
        <w:t>Jonas Prising — Chairman and Chief Executive Officer</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31"/>
        </w:numPr>
        <w:rPr>
          <w:rFonts w:ascii="Arial" w:cs="Arial" w:eastAsia="Arial" w:hAnsi="Arial"/>
          <w:sz w:val="18"/>
          <w:szCs w:val="18"/>
          <w:color w:val="5D89B4"/>
        </w:rPr>
      </w:pPr>
      <w:r>
        <w:rPr>
          <w:rFonts w:ascii="Arial" w:cs="Arial" w:eastAsia="Arial" w:hAnsi="Arial"/>
          <w:sz w:val="18"/>
          <w:szCs w:val="18"/>
          <w:color w:val="auto"/>
        </w:rPr>
        <w:t>John T. McGinnis — Executive Vice President and CFO</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31"/>
        </w:numPr>
        <w:rPr>
          <w:rFonts w:ascii="Arial" w:cs="Arial" w:eastAsia="Arial" w:hAnsi="Arial"/>
          <w:sz w:val="18"/>
          <w:szCs w:val="18"/>
          <w:color w:val="5D89B4"/>
        </w:rPr>
      </w:pPr>
      <w:r>
        <w:rPr>
          <w:rFonts w:ascii="Arial" w:cs="Arial" w:eastAsia="Arial" w:hAnsi="Arial"/>
          <w:sz w:val="18"/>
          <w:szCs w:val="18"/>
          <w:color w:val="auto"/>
        </w:rPr>
        <w:t>Darryl Green — President and Chief Operating Officer</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31"/>
        </w:numPr>
        <w:rPr>
          <w:rFonts w:ascii="Arial" w:cs="Arial" w:eastAsia="Arial" w:hAnsi="Arial"/>
          <w:sz w:val="18"/>
          <w:szCs w:val="18"/>
          <w:color w:val="5D89B4"/>
        </w:rPr>
      </w:pPr>
      <w:r>
        <w:rPr>
          <w:rFonts w:ascii="Arial" w:cs="Arial" w:eastAsia="Arial" w:hAnsi="Arial"/>
          <w:sz w:val="18"/>
          <w:szCs w:val="18"/>
          <w:color w:val="auto"/>
        </w:rPr>
        <w:t>Ram Chandrashekar — Executive Vice President, Operational Excellence and IT, and President, Asia Pacific Middle East</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31"/>
        </w:numPr>
        <w:rPr>
          <w:rFonts w:ascii="Arial" w:cs="Arial" w:eastAsia="Arial" w:hAnsi="Arial"/>
          <w:sz w:val="18"/>
          <w:szCs w:val="18"/>
          <w:color w:val="5D89B4"/>
        </w:rPr>
      </w:pPr>
      <w:r>
        <w:rPr>
          <w:rFonts w:ascii="Arial" w:cs="Arial" w:eastAsia="Arial" w:hAnsi="Arial"/>
          <w:sz w:val="18"/>
          <w:szCs w:val="18"/>
          <w:color w:val="auto"/>
        </w:rPr>
        <w:t>Mara E. Swan — Executive Vice President, Global Strategy and Talent</w:t>
      </w:r>
    </w:p>
    <w:p>
      <w:pPr>
        <w:spacing w:after="0" w:line="30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Executive Summary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2017 Compensation Reflected Strong 2017 Financial Results</w:t>
      </w:r>
    </w:p>
    <w:p>
      <w:pPr>
        <w:spacing w:after="0" w:line="131" w:lineRule="exact"/>
        <w:rPr>
          <w:sz w:val="20"/>
          <w:szCs w:val="20"/>
          <w:color w:val="auto"/>
        </w:rPr>
      </w:pPr>
    </w:p>
    <w:p>
      <w:pPr>
        <w:ind w:left="200" w:right="20"/>
        <w:spacing w:after="0" w:line="245" w:lineRule="auto"/>
        <w:rPr>
          <w:sz w:val="20"/>
          <w:szCs w:val="20"/>
          <w:color w:val="auto"/>
        </w:rPr>
      </w:pPr>
      <w:r>
        <w:rPr>
          <w:rFonts w:ascii="Arial" w:cs="Arial" w:eastAsia="Arial" w:hAnsi="Arial"/>
          <w:sz w:val="18"/>
          <w:szCs w:val="18"/>
          <w:color w:val="auto"/>
        </w:rPr>
        <w:t>Our executive compensation programs are designed to reward performance, and 2017 was a strong year, with revenue growth in constant currency in most of our major markets. Management continued to focus on improving our operating leverage and operational efficiency. We enjoyed strong results in our key performance metrics of Earnings Per Share, Return on Invested Capital and Operating Profit Margin Percent, as shown below. The Committee determined the compensation of our NEOs for 2017 based on our results on these three metrics, as further described in this CD&amp;A.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140970</wp:posOffset>
            </wp:positionV>
            <wp:extent cx="5196840" cy="15951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9684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right="80"/>
        <w:spacing w:after="0" w:line="245" w:lineRule="auto"/>
        <w:rPr>
          <w:sz w:val="20"/>
          <w:szCs w:val="20"/>
          <w:color w:val="auto"/>
        </w:rPr>
      </w:pPr>
      <w:r>
        <w:rPr>
          <w:rFonts w:ascii="Arial" w:cs="Arial" w:eastAsia="Arial" w:hAnsi="Arial"/>
          <w:sz w:val="18"/>
          <w:szCs w:val="18"/>
          <w:u w:val="single" w:color="auto"/>
          <w:color w:val="auto"/>
        </w:rPr>
        <w:t>Constant Currency.</w:t>
      </w:r>
      <w:r>
        <w:rPr>
          <w:rFonts w:ascii="Arial" w:cs="Arial" w:eastAsia="Arial" w:hAnsi="Arial"/>
          <w:sz w:val="18"/>
          <w:szCs w:val="18"/>
          <w:color w:val="auto"/>
        </w:rPr>
        <w:t xml:space="preserve"> The Committee has determined that, for purposes of our compensation plans, our key performance metrics of EPS and ROIC should be calculated on a constant currency basis to ensure our annual incentives reflect the underlying performance of our businesses. By eliminating the impact of changes in foreign currency exchange rates, we are better able to capture year-over-year changes in underlying performance. As such, for compensation purposes we used EPS of $7.94 and ROIC of 16.4% which are calculated on a constant currency basis.</w:t>
      </w:r>
    </w:p>
    <w:p>
      <w:pPr>
        <w:spacing w:after="0" w:line="105"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u w:val="single" w:color="auto"/>
          <w:color w:val="auto"/>
        </w:rPr>
        <w:t>Share Repurchases.</w:t>
      </w:r>
      <w:r>
        <w:rPr>
          <w:rFonts w:ascii="Arial" w:cs="Arial" w:eastAsia="Arial" w:hAnsi="Arial"/>
          <w:sz w:val="18"/>
          <w:szCs w:val="18"/>
          <w:color w:val="auto"/>
        </w:rPr>
        <w:t xml:space="preserve"> Additionally, the Committee has also determined that, for purposes of our compensation plans, the EPS calculation should exclude the benefit of share repurchases the company completed in the year, except to the extent necessary to offset dilution resulting from shares issued under equity plans. For 2017, this reduced the constant currency EPS from $7.94 to $7.92 for purposes of the compensation plan.</w:t>
      </w:r>
    </w:p>
    <w:p>
      <w:pPr>
        <w:spacing w:after="0" w:line="90" w:lineRule="exact"/>
        <w:rPr>
          <w:sz w:val="20"/>
          <w:szCs w:val="20"/>
          <w:color w:val="auto"/>
        </w:rPr>
      </w:pPr>
    </w:p>
    <w:p>
      <w:pPr>
        <w:ind w:left="200" w:right="380"/>
        <w:spacing w:after="0" w:line="276" w:lineRule="auto"/>
        <w:rPr>
          <w:sz w:val="20"/>
          <w:szCs w:val="20"/>
          <w:color w:val="auto"/>
        </w:rPr>
      </w:pPr>
      <w:r>
        <w:rPr>
          <w:rFonts w:ascii="Arial" w:cs="Arial" w:eastAsia="Arial" w:hAnsi="Arial"/>
          <w:sz w:val="18"/>
          <w:szCs w:val="18"/>
          <w:u w:val="single" w:color="auto"/>
          <w:color w:val="auto"/>
        </w:rPr>
        <w:t>Tax Reform.</w:t>
      </w:r>
      <w:r>
        <w:rPr>
          <w:rFonts w:ascii="Arial" w:cs="Arial" w:eastAsia="Arial" w:hAnsi="Arial"/>
          <w:sz w:val="18"/>
          <w:szCs w:val="18"/>
          <w:color w:val="auto"/>
        </w:rPr>
        <w:t xml:space="preserve"> For 2017, the Committee further excluded from the EPS and ROIC calculations one-time benefits resulting from U.S. and French tax reform. This further reduced EPS by $1.09 to $6.83 and ROIC by 2.2% to 14.2%.</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25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right="20"/>
        <w:spacing w:after="0" w:line="245" w:lineRule="auto"/>
        <w:rPr>
          <w:sz w:val="20"/>
          <w:szCs w:val="20"/>
          <w:color w:val="auto"/>
        </w:rPr>
      </w:pPr>
      <w:r>
        <w:rPr>
          <w:rFonts w:ascii="Arial" w:cs="Arial" w:eastAsia="Arial" w:hAnsi="Arial"/>
          <w:sz w:val="18"/>
          <w:szCs w:val="18"/>
          <w:u w:val="single" w:color="auto"/>
          <w:color w:val="auto"/>
        </w:rPr>
        <w:t>Restructuring Costs.</w:t>
      </w:r>
      <w:r>
        <w:rPr>
          <w:rFonts w:ascii="Arial" w:cs="Arial" w:eastAsia="Arial" w:hAnsi="Arial"/>
          <w:sz w:val="18"/>
          <w:szCs w:val="18"/>
          <w:color w:val="auto"/>
        </w:rPr>
        <w:t xml:space="preserve"> Lastly, for 2017 the Committee determined that, for purposes of our compensation plans, the EPS and ROIC calculations should exclude restructuring costs, net of the savings related to these costs, as this better reflects the Company’s performance for the year. This adjustment increased EPS by $ 0.13 and resulted in an EPS figure for 2017 of $6.96 under our compensation plans. ROIC increased by 0.2% and resulted in an ROIC figure for 2017 of 14.4% under our compensation plans</w:t>
      </w:r>
      <w:r>
        <w:rPr>
          <w:rFonts w:ascii="Arial" w:cs="Arial" w:eastAsia="Arial" w:hAnsi="Arial"/>
          <w:sz w:val="18"/>
          <w:szCs w:val="18"/>
          <w:b w:val="1"/>
          <w:bCs w:val="1"/>
          <w:color w:val="auto"/>
        </w:rPr>
        <w:t>.</w:t>
      </w:r>
      <w:r>
        <w:rPr>
          <w:rFonts w:ascii="Arial" w:cs="Arial" w:eastAsia="Arial" w:hAnsi="Arial"/>
          <w:sz w:val="18"/>
          <w:szCs w:val="18"/>
          <w:color w:val="auto"/>
        </w:rPr>
        <w:t xml:space="preserve"> For 2017, the Committee determined OPMP would exclude all restructuring charges, which increased OPMP from 3.75% to 3.92%.</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key performance metrics, as calculated under our compensation plans for 2017 and 2016 in constant currency,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166370</wp:posOffset>
            </wp:positionV>
            <wp:extent cx="5385435" cy="15951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8543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 41 for an explanation of the calculations for EPS and ROIC and page 46 for OPMP.</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We Manage Our Business in Light of Global Macroeconomic Forces, Business Cycles and Complexity</w:t>
      </w:r>
    </w:p>
    <w:p>
      <w:pPr>
        <w:spacing w:after="0" w:line="144" w:lineRule="exact"/>
        <w:rPr>
          <w:sz w:val="20"/>
          <w:szCs w:val="20"/>
          <w:color w:val="auto"/>
        </w:rPr>
      </w:pPr>
    </w:p>
    <w:p>
      <w:pPr>
        <w:ind w:left="200"/>
        <w:spacing w:after="0" w:line="245" w:lineRule="auto"/>
        <w:rPr>
          <w:sz w:val="20"/>
          <w:szCs w:val="20"/>
          <w:color w:val="auto"/>
        </w:rPr>
      </w:pPr>
      <w:r>
        <w:rPr>
          <w:rFonts w:ascii="Arial" w:cs="Arial" w:eastAsia="Arial" w:hAnsi="Arial"/>
          <w:sz w:val="18"/>
          <w:szCs w:val="18"/>
          <w:color w:val="auto"/>
        </w:rPr>
        <w:t>We derive approximately 87% of our revenue from outside the United States, with the largest portions coming from our operating segments in Southern Europe (41%), Northern Europe (25%) and Asia Pacific Middle East (13%). Our business is truly global in nature and complexity. Through our global network of nearly 2,700 offices in 80 countries and territories, we put millions of people to work in 2017 with our global, multinational and local clients across all major industry segments and provided a broad range of workforce solutions including recruitment and assessment, training and development, career management, outsourcing and workforce consulting.</w:t>
      </w:r>
    </w:p>
    <w:p>
      <w:pPr>
        <w:spacing w:after="0" w:line="105" w:lineRule="exact"/>
        <w:rPr>
          <w:sz w:val="20"/>
          <w:szCs w:val="20"/>
          <w:color w:val="auto"/>
        </w:rPr>
      </w:pPr>
    </w:p>
    <w:p>
      <w:pPr>
        <w:ind w:left="200" w:right="40"/>
        <w:spacing w:after="0" w:line="241" w:lineRule="auto"/>
        <w:rPr>
          <w:sz w:val="20"/>
          <w:szCs w:val="20"/>
          <w:color w:val="auto"/>
        </w:rPr>
      </w:pPr>
      <w:r>
        <w:rPr>
          <w:rFonts w:ascii="Arial" w:cs="Arial" w:eastAsia="Arial" w:hAnsi="Arial"/>
          <w:sz w:val="18"/>
          <w:szCs w:val="18"/>
          <w:color w:val="auto"/>
        </w:rPr>
        <w:t>Our results are highly dependent on labor market conditions, business cycles and other macroeconomic forces. During periods of recovery, we typically expect to see improvements in revenue, operating profit margin, and ROIC. During declines in the economic cycle, or periods of economic uncertainty, our revenue will often decline as our clients scale back use of our services due to reduced demand for their products and services. We have used periods of economic weakness and uncertainty to streamline our cost structure, focusing on enhancing productivity and efficiency throughout our business. Strong revenue growth and our continued operating discipline contributed to an increase in earnings of 22.9% as reported, or 21.3% in constant currency, for ManpowerGroup in 2017. Excluding the one-time benefit resulting from U.S. and French tax reform, earnings increased 6.3% or 4.7% in constant currency in 2017.</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Our Executive Pay is Designed to be Variable and Affordable</w:t>
      </w:r>
    </w:p>
    <w:p>
      <w:pPr>
        <w:spacing w:after="0" w:line="144" w:lineRule="exact"/>
        <w:rPr>
          <w:sz w:val="20"/>
          <w:szCs w:val="20"/>
          <w:color w:val="auto"/>
        </w:rPr>
      </w:pPr>
    </w:p>
    <w:p>
      <w:pPr>
        <w:ind w:left="200" w:right="160"/>
        <w:spacing w:after="0" w:line="245" w:lineRule="auto"/>
        <w:rPr>
          <w:sz w:val="20"/>
          <w:szCs w:val="20"/>
          <w:color w:val="auto"/>
        </w:rPr>
      </w:pPr>
      <w:r>
        <w:rPr>
          <w:rFonts w:ascii="Arial" w:cs="Arial" w:eastAsia="Arial" w:hAnsi="Arial"/>
          <w:sz w:val="18"/>
          <w:szCs w:val="18"/>
          <w:color w:val="auto"/>
        </w:rPr>
        <w:t>We believe the interests of our shareholders are served when strong operating performance drives enhanced financial performance. Therefore, the pay for our CEO and our other senior executives is closely aligned with our results, and their compensation varies year-over-year based on whether they have achieved collective and individual performance goals set by our Committee. This also reflects our philosophy of affordability — compensation is higher when our executives have delivered financial results that make it affordable for the Company and lower when financial results decline and make it less affordable for the Company.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26</w:t>
      </w:r>
    </w:p>
    <w:p>
      <w:pPr>
        <w:sectPr>
          <w:pgSz w:w="11900" w:h="16838" w:orient="portrait"/>
          <w:cols w:equalWidth="0" w:num="1">
            <w:col w:w="11200"/>
          </w:cols>
          <w:pgMar w:left="24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We Focus on Three Key Performance Metrics</w:t>
      </w:r>
    </w:p>
    <w:p>
      <w:pPr>
        <w:spacing w:after="0" w:line="144" w:lineRule="exact"/>
        <w:rPr>
          <w:sz w:val="20"/>
          <w:szCs w:val="20"/>
          <w:color w:val="auto"/>
        </w:rPr>
      </w:pPr>
    </w:p>
    <w:p>
      <w:pPr>
        <w:ind w:left="200" w:right="180"/>
        <w:spacing w:after="0" w:line="276" w:lineRule="auto"/>
        <w:rPr>
          <w:sz w:val="20"/>
          <w:szCs w:val="20"/>
          <w:color w:val="auto"/>
        </w:rPr>
      </w:pPr>
      <w:r>
        <w:rPr>
          <w:rFonts w:ascii="Arial" w:cs="Arial" w:eastAsia="Arial" w:hAnsi="Arial"/>
          <w:sz w:val="18"/>
          <w:szCs w:val="18"/>
          <w:color w:val="auto"/>
        </w:rPr>
        <w:t>In 2017, we continued to focus on three performance metrics that we believe reflect whether we are running our businesses successfully for our shareholders.</w:t>
      </w:r>
    </w:p>
    <w:p>
      <w:pPr>
        <w:spacing w:after="0" w:line="78" w:lineRule="exact"/>
        <w:rPr>
          <w:sz w:val="20"/>
          <w:szCs w:val="20"/>
          <w:color w:val="auto"/>
        </w:rPr>
      </w:pPr>
    </w:p>
    <w:p>
      <w:pPr>
        <w:ind w:left="640" w:right="240" w:hanging="328"/>
        <w:spacing w:after="0" w:line="276" w:lineRule="auto"/>
        <w:tabs>
          <w:tab w:leader="none" w:pos="640" w:val="left"/>
        </w:tabs>
        <w:numPr>
          <w:ilvl w:val="0"/>
          <w:numId w:val="32"/>
        </w:numPr>
        <w:rPr>
          <w:rFonts w:ascii="Arial" w:cs="Arial" w:eastAsia="Arial" w:hAnsi="Arial"/>
          <w:sz w:val="18"/>
          <w:szCs w:val="18"/>
          <w:color w:val="5D89B4"/>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Focuses our NEOs on producing financial results that align with the interests of our shareholders. We believe this metric is a critical measure of executive performance.</w:t>
      </w:r>
    </w:p>
    <w:p>
      <w:pPr>
        <w:spacing w:after="0" w:line="10" w:lineRule="exact"/>
        <w:rPr>
          <w:rFonts w:ascii="Arial" w:cs="Arial" w:eastAsia="Arial" w:hAnsi="Arial"/>
          <w:sz w:val="18"/>
          <w:szCs w:val="18"/>
          <w:color w:val="5D89B4"/>
        </w:rPr>
      </w:pPr>
    </w:p>
    <w:p>
      <w:pPr>
        <w:jc w:val="both"/>
        <w:ind w:left="640" w:right="440" w:hanging="328"/>
        <w:spacing w:after="0" w:line="255" w:lineRule="auto"/>
        <w:tabs>
          <w:tab w:leader="none" w:pos="640" w:val="left"/>
        </w:tabs>
        <w:numPr>
          <w:ilvl w:val="0"/>
          <w:numId w:val="32"/>
        </w:numPr>
        <w:rPr>
          <w:rFonts w:ascii="Arial" w:cs="Arial" w:eastAsia="Arial" w:hAnsi="Arial"/>
          <w:sz w:val="18"/>
          <w:szCs w:val="18"/>
          <w:color w:val="5D89B4"/>
        </w:rPr>
      </w:pPr>
      <w:r>
        <w:rPr>
          <w:rFonts w:ascii="Arial" w:cs="Arial" w:eastAsia="Arial" w:hAnsi="Arial"/>
          <w:sz w:val="18"/>
          <w:szCs w:val="18"/>
          <w:u w:val="single" w:color="auto"/>
          <w:color w:val="auto"/>
        </w:rPr>
        <w:t>Return on Invested Capital</w:t>
      </w:r>
      <w:r>
        <w:rPr>
          <w:rFonts w:ascii="Arial" w:cs="Arial" w:eastAsia="Arial" w:hAnsi="Arial"/>
          <w:sz w:val="18"/>
          <w:szCs w:val="18"/>
          <w:color w:val="auto"/>
        </w:rPr>
        <w:t>. Even though we operate in the services industry, our business is capital intensive. We must pay our associates and consultants before we typically bill and collect from our clients. Our “ROIC” metric measures how efficiently and quickly we are converting our services into cash.</w:t>
      </w:r>
    </w:p>
    <w:p>
      <w:pPr>
        <w:spacing w:after="0" w:line="29" w:lineRule="exact"/>
        <w:rPr>
          <w:rFonts w:ascii="Arial" w:cs="Arial" w:eastAsia="Arial" w:hAnsi="Arial"/>
          <w:sz w:val="18"/>
          <w:szCs w:val="18"/>
          <w:color w:val="5D89B4"/>
        </w:rPr>
      </w:pPr>
    </w:p>
    <w:p>
      <w:pPr>
        <w:ind w:left="640" w:right="40" w:hanging="328"/>
        <w:spacing w:after="0" w:line="276" w:lineRule="auto"/>
        <w:tabs>
          <w:tab w:leader="none" w:pos="640" w:val="left"/>
        </w:tabs>
        <w:numPr>
          <w:ilvl w:val="0"/>
          <w:numId w:val="32"/>
        </w:numPr>
        <w:rPr>
          <w:rFonts w:ascii="Arial" w:cs="Arial" w:eastAsia="Arial" w:hAnsi="Arial"/>
          <w:sz w:val="18"/>
          <w:szCs w:val="18"/>
          <w:color w:val="5D89B4"/>
        </w:rPr>
      </w:pPr>
      <w:r>
        <w:rPr>
          <w:rFonts w:ascii="Arial" w:cs="Arial" w:eastAsia="Arial" w:hAnsi="Arial"/>
          <w:sz w:val="18"/>
          <w:szCs w:val="18"/>
          <w:u w:val="single" w:color="auto"/>
          <w:color w:val="auto"/>
        </w:rPr>
        <w:t>Operating Profit Margin Percent</w:t>
      </w:r>
      <w:r>
        <w:rPr>
          <w:rFonts w:ascii="Arial" w:cs="Arial" w:eastAsia="Arial" w:hAnsi="Arial"/>
          <w:sz w:val="18"/>
          <w:szCs w:val="18"/>
          <w:color w:val="auto"/>
        </w:rPr>
        <w:t>. Measures how efficiently our NEOs have deployed our operating resources to generate a profit. We believe using this metric drives a long-term focus on achieving sustainable profits.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to these three metrics, the Committee also sets individual operating objectives for each executive officer.</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We Utilize a Broad Group of Comparators for Compensation</w:t>
      </w:r>
    </w:p>
    <w:p>
      <w:pPr>
        <w:spacing w:after="0" w:line="144"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It is difficult to find an industry-specific group of peer companies for benchmarking our executive compensation. We are significantly larger than other U.S. listed companies in our industry (with $21.0 billion in revenue in 2017, compared to $5.4 billion of our nearest U.S.-listed competitor). Our two largest competitors, Adecco and Randstad, are based in Europe, and although the Committee reviews available compensation data for these two companies, their pay practices are different, and full compensation information is not disclosed. To ensure that we are utilizing meaningful data, the Committee’s independent compensation consultant, Mercer, has customized a peer group, which consists of 89 companies within the S&amp;P 500 and is designed to properly benchmark our NEOs’ compensation against the relevant talent marketplace. The Committee believes that using this group provides a robust basis for comparing us to companies of similar scale and also represents the universe of top-tier companies we consider when looking for executive talent. The median revenue of the peers approximates that of ManpowerGroup, with a range of approximately 70% to approximately 200% of our revenue.</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27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Key Compensation and Governance Policies</w:t>
      </w:r>
    </w:p>
    <w:p>
      <w:pPr>
        <w:spacing w:after="0" w:line="104" w:lineRule="exact"/>
        <w:rPr>
          <w:sz w:val="20"/>
          <w:szCs w:val="20"/>
          <w:color w:val="auto"/>
        </w:rPr>
      </w:pPr>
    </w:p>
    <w:p>
      <w:pPr>
        <w:ind w:left="200" w:right="160"/>
        <w:spacing w:after="0" w:line="276" w:lineRule="auto"/>
        <w:rPr>
          <w:sz w:val="20"/>
          <w:szCs w:val="20"/>
          <w:color w:val="auto"/>
        </w:rPr>
      </w:pPr>
      <w:r>
        <w:rPr>
          <w:rFonts w:ascii="Arial" w:cs="Arial" w:eastAsia="Arial" w:hAnsi="Arial"/>
          <w:sz w:val="18"/>
          <w:szCs w:val="18"/>
          <w:color w:val="auto"/>
        </w:rPr>
        <w:t>The Committee continually reviews the Company’s executive compensation program to maintain compensation practices that are in the best interests of our shareholders. Some of our key policies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123825</wp:posOffset>
            </wp:positionV>
            <wp:extent cx="700659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06590" cy="163195"/>
                    </a:xfrm>
                    <a:prstGeom prst="rect">
                      <a:avLst/>
                    </a:prstGeom>
                    <a:noFill/>
                  </pic:spPr>
                </pic:pic>
              </a:graphicData>
            </a:graphic>
          </wp:anchor>
        </w:drawing>
      </w:r>
    </w:p>
    <w:p>
      <w:pPr>
        <w:sectPr>
          <w:pgSz w:w="11900" w:h="16838" w:orient="portrait"/>
          <w:cols w:equalWidth="0" w:num="1">
            <w:col w:w="11120"/>
          </w:cols>
          <w:pgMar w:left="240" w:top="455" w:right="539" w:bottom="1440" w:gutter="0" w:footer="0" w:header="0"/>
        </w:sectPr>
      </w:pPr>
    </w:p>
    <w:p>
      <w:pPr>
        <w:spacing w:after="0" w:line="19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5D89B4"/>
        </w:rPr>
        <w:t>WHAT WE DO:</w:t>
      </w:r>
    </w:p>
    <w:p>
      <w:pPr>
        <w:spacing w:after="0" w:line="46" w:lineRule="exact"/>
        <w:rPr>
          <w:sz w:val="20"/>
          <w:szCs w:val="20"/>
          <w:color w:val="auto"/>
        </w:rPr>
      </w:pPr>
    </w:p>
    <w:p>
      <w:pPr>
        <w:ind w:left="780" w:right="60" w:hanging="576"/>
        <w:spacing w:after="0" w:line="183" w:lineRule="auto"/>
        <w:tabs>
          <w:tab w:leader="none" w:pos="780" w:val="left"/>
        </w:tabs>
        <w:numPr>
          <w:ilvl w:val="0"/>
          <w:numId w:val="33"/>
        </w:numPr>
        <w:rPr>
          <w:rFonts w:ascii="MS PGothic" w:cs="MS PGothic" w:eastAsia="MS PGothic" w:hAnsi="MS PGothic"/>
          <w:sz w:val="45"/>
          <w:szCs w:val="45"/>
          <w:color w:val="5D89B4"/>
          <w:vertAlign w:val="subscript"/>
        </w:rPr>
      </w:pPr>
      <w:r>
        <w:rPr>
          <w:rFonts w:ascii="Arial" w:cs="Arial" w:eastAsia="Arial" w:hAnsi="Arial"/>
          <w:sz w:val="16"/>
          <w:szCs w:val="16"/>
          <w:color w:val="auto"/>
        </w:rPr>
        <w:t>We tie pay to performance, including the use of performance share units. The majority of executive pay is performance-based and variable.</w:t>
      </w:r>
    </w:p>
    <w:p>
      <w:pPr>
        <w:spacing w:after="0" w:line="200" w:lineRule="exact"/>
        <w:rPr>
          <w:rFonts w:ascii="MS PGothic" w:cs="MS PGothic" w:eastAsia="MS PGothic" w:hAnsi="MS PGothic"/>
          <w:sz w:val="45"/>
          <w:szCs w:val="45"/>
          <w:color w:val="5D89B4"/>
          <w:vertAlign w:val="subscript"/>
        </w:rPr>
      </w:pPr>
    </w:p>
    <w:p>
      <w:pPr>
        <w:spacing w:after="0" w:line="200" w:lineRule="exact"/>
        <w:rPr>
          <w:rFonts w:ascii="MS PGothic" w:cs="MS PGothic" w:eastAsia="MS PGothic" w:hAnsi="MS PGothic"/>
          <w:sz w:val="45"/>
          <w:szCs w:val="45"/>
          <w:color w:val="5D89B4"/>
          <w:vertAlign w:val="subscript"/>
        </w:rPr>
      </w:pPr>
    </w:p>
    <w:p>
      <w:pPr>
        <w:spacing w:after="0" w:line="200" w:lineRule="exact"/>
        <w:rPr>
          <w:rFonts w:ascii="MS PGothic" w:cs="MS PGothic" w:eastAsia="MS PGothic" w:hAnsi="MS PGothic"/>
          <w:sz w:val="45"/>
          <w:szCs w:val="45"/>
          <w:color w:val="5D89B4"/>
          <w:vertAlign w:val="subscript"/>
        </w:rPr>
      </w:pPr>
    </w:p>
    <w:p>
      <w:pPr>
        <w:spacing w:after="0" w:line="241" w:lineRule="exact"/>
        <w:rPr>
          <w:rFonts w:ascii="MS PGothic" w:cs="MS PGothic" w:eastAsia="MS PGothic" w:hAnsi="MS PGothic"/>
          <w:sz w:val="45"/>
          <w:szCs w:val="45"/>
          <w:color w:val="5D89B4"/>
          <w:vertAlign w:val="subscript"/>
        </w:rPr>
      </w:pPr>
    </w:p>
    <w:p>
      <w:pPr>
        <w:ind w:left="780" w:hanging="576"/>
        <w:spacing w:after="0"/>
        <w:tabs>
          <w:tab w:leader="none" w:pos="780" w:val="left"/>
        </w:tabs>
        <w:numPr>
          <w:ilvl w:val="0"/>
          <w:numId w:val="33"/>
        </w:numPr>
        <w:rPr>
          <w:rFonts w:ascii="MS PGothic" w:cs="MS PGothic" w:eastAsia="MS PGothic" w:hAnsi="MS PGothic"/>
          <w:sz w:val="58"/>
          <w:szCs w:val="58"/>
          <w:color w:val="5D89B4"/>
          <w:vertAlign w:val="subscript"/>
          <w:shd w:val="clear" w:color="auto" w:fill="E6EDF3"/>
        </w:rPr>
      </w:pPr>
      <w:r>
        <w:rPr>
          <w:rFonts w:ascii="Arial" w:cs="Arial" w:eastAsia="Arial" w:hAnsi="Arial"/>
          <w:sz w:val="18"/>
          <w:szCs w:val="18"/>
          <w:color w:val="auto"/>
        </w:rPr>
        <w:t>We set challenging performance objectives.</w:t>
      </w:r>
    </w:p>
    <w:p>
      <w:pPr>
        <w:spacing w:after="0" w:line="168" w:lineRule="exact"/>
        <w:rPr>
          <w:rFonts w:ascii="MS PGothic" w:cs="MS PGothic" w:eastAsia="MS PGothic" w:hAnsi="MS PGothic"/>
          <w:sz w:val="58"/>
          <w:szCs w:val="58"/>
          <w:color w:val="5D89B4"/>
          <w:vertAlign w:val="subscript"/>
          <w:shd w:val="clear" w:color="auto" w:fill="E6EDF3"/>
        </w:rPr>
      </w:pPr>
    </w:p>
    <w:p>
      <w:pPr>
        <w:ind w:left="780" w:right="560" w:hanging="576"/>
        <w:spacing w:after="0" w:line="183" w:lineRule="auto"/>
        <w:tabs>
          <w:tab w:leader="none" w:pos="780" w:val="left"/>
        </w:tabs>
        <w:numPr>
          <w:ilvl w:val="0"/>
          <w:numId w:val="33"/>
        </w:numPr>
        <w:rPr>
          <w:rFonts w:ascii="MS PGothic" w:cs="MS PGothic" w:eastAsia="MS PGothic" w:hAnsi="MS PGothic"/>
          <w:sz w:val="38"/>
          <w:szCs w:val="38"/>
          <w:color w:val="5D89B4"/>
          <w:vertAlign w:val="subscript"/>
        </w:rPr>
      </w:pPr>
      <w:r>
        <w:rPr>
          <w:rFonts w:ascii="Arial" w:cs="Arial" w:eastAsia="Arial" w:hAnsi="Arial"/>
          <w:sz w:val="15"/>
          <w:szCs w:val="15"/>
          <w:color w:val="auto"/>
        </w:rPr>
        <w:t>We appropriately balance short-term and long-term incentives.</w:t>
      </w:r>
    </w:p>
    <w:p>
      <w:pPr>
        <w:ind w:left="780" w:right="40" w:hanging="576"/>
        <w:spacing w:after="0" w:line="183" w:lineRule="auto"/>
        <w:tabs>
          <w:tab w:leader="none" w:pos="780" w:val="left"/>
        </w:tabs>
        <w:numPr>
          <w:ilvl w:val="0"/>
          <w:numId w:val="33"/>
        </w:numPr>
        <w:rPr>
          <w:rFonts w:ascii="MS PGothic" w:cs="MS PGothic" w:eastAsia="MS PGothic" w:hAnsi="MS PGothic"/>
          <w:sz w:val="38"/>
          <w:szCs w:val="38"/>
          <w:color w:val="5D89B4"/>
          <w:vertAlign w:val="subscript"/>
        </w:rPr>
      </w:pPr>
      <w:r>
        <w:rPr>
          <w:rFonts w:ascii="Arial" w:cs="Arial" w:eastAsia="Arial" w:hAnsi="Arial"/>
          <w:sz w:val="15"/>
          <w:szCs w:val="15"/>
          <w:color w:val="auto"/>
        </w:rPr>
        <w:t>We use double triggers in our severance agreements and our equity awards.</w:t>
      </w:r>
    </w:p>
    <w:p>
      <w:pPr>
        <w:spacing w:after="0" w:line="164" w:lineRule="exact"/>
        <w:rPr>
          <w:rFonts w:ascii="MS PGothic" w:cs="MS PGothic" w:eastAsia="MS PGothic" w:hAnsi="MS PGothic"/>
          <w:sz w:val="38"/>
          <w:szCs w:val="38"/>
          <w:color w:val="5D89B4"/>
          <w:vertAlign w:val="subscript"/>
        </w:rPr>
      </w:pPr>
    </w:p>
    <w:p>
      <w:pPr>
        <w:ind w:left="780" w:hanging="576"/>
        <w:spacing w:after="0"/>
        <w:tabs>
          <w:tab w:leader="none" w:pos="780" w:val="left"/>
        </w:tabs>
        <w:numPr>
          <w:ilvl w:val="0"/>
          <w:numId w:val="33"/>
        </w:numPr>
        <w:rPr>
          <w:rFonts w:ascii="MS PGothic" w:cs="MS PGothic" w:eastAsia="MS PGothic" w:hAnsi="MS PGothic"/>
          <w:sz w:val="38"/>
          <w:szCs w:val="38"/>
          <w:color w:val="5D89B4"/>
          <w:vertAlign w:val="subscript"/>
        </w:rPr>
      </w:pPr>
      <w:r>
        <w:rPr>
          <w:rFonts w:ascii="Arial" w:cs="Arial" w:eastAsia="Arial" w:hAnsi="Arial"/>
          <w:sz w:val="15"/>
          <w:szCs w:val="15"/>
          <w:color w:val="auto"/>
        </w:rPr>
        <w:t>We maintain significant stock ownership guidelines for our NEOs.</w:t>
      </w:r>
    </w:p>
    <w:p>
      <w:pPr>
        <w:spacing w:after="0" w:line="47" w:lineRule="exact"/>
        <w:rPr>
          <w:rFonts w:ascii="MS PGothic" w:cs="MS PGothic" w:eastAsia="MS PGothic" w:hAnsi="MS PGothic"/>
          <w:sz w:val="38"/>
          <w:szCs w:val="38"/>
          <w:color w:val="5D89B4"/>
          <w:vertAlign w:val="subscript"/>
        </w:rPr>
      </w:pPr>
    </w:p>
    <w:p>
      <w:pPr>
        <w:ind w:left="780" w:right="120" w:hanging="576"/>
        <w:spacing w:after="0" w:line="182" w:lineRule="auto"/>
        <w:tabs>
          <w:tab w:leader="none" w:pos="780" w:val="left"/>
        </w:tabs>
        <w:numPr>
          <w:ilvl w:val="0"/>
          <w:numId w:val="33"/>
        </w:numPr>
        <w:rPr>
          <w:rFonts w:ascii="MS PGothic" w:cs="MS PGothic" w:eastAsia="MS PGothic" w:hAnsi="MS PGothic"/>
          <w:sz w:val="36"/>
          <w:szCs w:val="36"/>
          <w:color w:val="5D89B4"/>
          <w:vertAlign w:val="subscript"/>
          <w:shd w:val="clear" w:color="auto" w:fill="E6EDF3"/>
        </w:rPr>
      </w:pPr>
      <w:r>
        <w:rPr>
          <w:rFonts w:ascii="Arial" w:cs="Arial" w:eastAsia="Arial" w:hAnsi="Arial"/>
          <w:sz w:val="15"/>
          <w:szCs w:val="15"/>
          <w:color w:val="auto"/>
        </w:rPr>
        <w:t>The Committee engages an independent compensation consultant that works solely in support of the Committee.</w:t>
      </w:r>
    </w:p>
    <w:p>
      <w:pPr>
        <w:spacing w:after="0" w:line="1" w:lineRule="exact"/>
        <w:rPr>
          <w:rFonts w:ascii="MS PGothic" w:cs="MS PGothic" w:eastAsia="MS PGothic" w:hAnsi="MS PGothic"/>
          <w:sz w:val="36"/>
          <w:szCs w:val="36"/>
          <w:color w:val="5D89B4"/>
          <w:vertAlign w:val="subscript"/>
          <w:shd w:val="clear" w:color="auto" w:fill="E6EDF3"/>
        </w:rPr>
      </w:pPr>
    </w:p>
    <w:p>
      <w:pPr>
        <w:ind w:left="780" w:right="560" w:hanging="576"/>
        <w:spacing w:after="0" w:line="182" w:lineRule="auto"/>
        <w:tabs>
          <w:tab w:leader="none" w:pos="780" w:val="left"/>
        </w:tabs>
        <w:numPr>
          <w:ilvl w:val="0"/>
          <w:numId w:val="33"/>
        </w:numPr>
        <w:rPr>
          <w:rFonts w:ascii="MS PGothic" w:cs="MS PGothic" w:eastAsia="MS PGothic" w:hAnsi="MS PGothic"/>
          <w:sz w:val="36"/>
          <w:szCs w:val="36"/>
          <w:color w:val="5D89B4"/>
          <w:vertAlign w:val="subscript"/>
        </w:rPr>
      </w:pPr>
      <w:r>
        <w:rPr>
          <w:rFonts w:ascii="Arial" w:cs="Arial" w:eastAsia="Arial" w:hAnsi="Arial"/>
          <w:sz w:val="15"/>
          <w:szCs w:val="15"/>
          <w:color w:val="auto"/>
        </w:rPr>
        <w:t>We use appropriate peer groups when establishing compensation.</w:t>
      </w:r>
    </w:p>
    <w:p>
      <w:pPr>
        <w:spacing w:after="0" w:line="1" w:lineRule="exact"/>
        <w:rPr>
          <w:rFonts w:ascii="MS PGothic" w:cs="MS PGothic" w:eastAsia="MS PGothic" w:hAnsi="MS PGothic"/>
          <w:sz w:val="36"/>
          <w:szCs w:val="36"/>
          <w:color w:val="5D89B4"/>
          <w:vertAlign w:val="subscript"/>
        </w:rPr>
      </w:pPr>
    </w:p>
    <w:p>
      <w:pPr>
        <w:ind w:left="780" w:right="20" w:hanging="576"/>
        <w:spacing w:after="0" w:line="186" w:lineRule="auto"/>
        <w:tabs>
          <w:tab w:leader="none" w:pos="780" w:val="left"/>
        </w:tabs>
        <w:numPr>
          <w:ilvl w:val="0"/>
          <w:numId w:val="33"/>
        </w:numPr>
        <w:rPr>
          <w:rFonts w:ascii="MS PGothic" w:cs="MS PGothic" w:eastAsia="MS PGothic" w:hAnsi="MS PGothic"/>
          <w:sz w:val="58"/>
          <w:szCs w:val="58"/>
          <w:color w:val="5D89B4"/>
          <w:vertAlign w:val="subscript"/>
        </w:rPr>
      </w:pPr>
      <w:r>
        <w:rPr>
          <w:rFonts w:ascii="Arial" w:cs="Arial" w:eastAsia="Arial" w:hAnsi="Arial"/>
          <w:sz w:val="18"/>
          <w:szCs w:val="18"/>
          <w:color w:val="auto"/>
        </w:rPr>
        <w:t>We listen to our shareholders. In addition to an annual “say-on-pay” advisory vote, we regularly reach out to leading shareholders and their advisory firms to discuss our governance and executive compensation. In 2017, we continued to meet with our shareholders to review these topics and ensure our programs are well-understood and consistent with their expectations.</w:t>
      </w:r>
    </w:p>
    <w:p>
      <w:pPr>
        <w:spacing w:after="0" w:line="6" w:lineRule="exact"/>
        <w:rPr>
          <w:rFonts w:ascii="MS PGothic" w:cs="MS PGothic" w:eastAsia="MS PGothic" w:hAnsi="MS PGothic"/>
          <w:sz w:val="58"/>
          <w:szCs w:val="58"/>
          <w:color w:val="5D89B4"/>
          <w:vertAlign w:val="subscript"/>
        </w:rPr>
      </w:pPr>
    </w:p>
    <w:p>
      <w:pPr>
        <w:ind w:left="780" w:right="40" w:hanging="576"/>
        <w:spacing w:after="0" w:line="189" w:lineRule="auto"/>
        <w:tabs>
          <w:tab w:leader="none" w:pos="780" w:val="left"/>
        </w:tabs>
        <w:numPr>
          <w:ilvl w:val="0"/>
          <w:numId w:val="33"/>
        </w:numPr>
        <w:rPr>
          <w:rFonts w:ascii="MS PGothic" w:cs="MS PGothic" w:eastAsia="MS PGothic" w:hAnsi="MS PGothic"/>
          <w:sz w:val="58"/>
          <w:szCs w:val="58"/>
          <w:color w:val="5D89B4"/>
          <w:vertAlign w:val="subscript"/>
        </w:rPr>
      </w:pPr>
      <w:r>
        <w:rPr>
          <w:rFonts w:ascii="Arial" w:cs="Arial" w:eastAsia="Arial" w:hAnsi="Arial"/>
          <w:sz w:val="18"/>
          <w:szCs w:val="18"/>
          <w:color w:val="auto"/>
        </w:rPr>
        <w:t>We adjust our programs based on shareholder input. For example, in the past, we received comments that the performance period we utilized in our performance share unit program was too short. In response, the Committee moved the performance period for our performance share units to a 3-year, rather than a 1-year,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-3482340</wp:posOffset>
            </wp:positionV>
            <wp:extent cx="3070225" cy="257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70225" cy="2571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-2967990</wp:posOffset>
            </wp:positionV>
            <wp:extent cx="3361690" cy="386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1690" cy="38608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-2324735</wp:posOffset>
            </wp:positionV>
            <wp:extent cx="3070225" cy="257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70225" cy="2571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-1810385</wp:posOffset>
            </wp:positionV>
            <wp:extent cx="3361690" cy="900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1690" cy="900430"/>
                    </a:xfrm>
                    <a:prstGeom prst="rect">
                      <a:avLst/>
                    </a:prstGeom>
                    <a:noFill/>
                  </pic:spPr>
                </pic:pic>
              </a:graphicData>
            </a:graphic>
          </wp:anchor>
        </w:drawing>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28</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058"/>
        <w:spacing w:after="0"/>
        <w:rPr>
          <w:sz w:val="20"/>
          <w:szCs w:val="20"/>
          <w:color w:val="auto"/>
        </w:rPr>
      </w:pPr>
      <w:r>
        <w:rPr>
          <w:rFonts w:ascii="Arial" w:cs="Arial" w:eastAsia="Arial" w:hAnsi="Arial"/>
          <w:sz w:val="18"/>
          <w:szCs w:val="18"/>
          <w:b w:val="1"/>
          <w:bCs w:val="1"/>
          <w:color w:val="5D89B4"/>
        </w:rPr>
        <w:t>WHAT WE DON’T DO:</w:t>
      </w:r>
    </w:p>
    <w:p>
      <w:pPr>
        <w:spacing w:after="0" w:line="46" w:lineRule="exact"/>
        <w:rPr>
          <w:sz w:val="20"/>
          <w:szCs w:val="20"/>
          <w:color w:val="auto"/>
        </w:rPr>
      </w:pPr>
    </w:p>
    <w:p>
      <w:pPr>
        <w:ind w:left="558" w:right="100" w:hanging="558"/>
        <w:spacing w:after="0" w:line="201" w:lineRule="auto"/>
        <w:tabs>
          <w:tab w:leader="none" w:pos="558" w:val="left"/>
        </w:tabs>
        <w:numPr>
          <w:ilvl w:val="0"/>
          <w:numId w:val="34"/>
        </w:numPr>
        <w:rPr>
          <w:rFonts w:ascii="Times New Roman" w:cs="Times New Roman" w:eastAsia="Times New Roman" w:hAnsi="Times New Roman"/>
          <w:sz w:val="53"/>
          <w:szCs w:val="53"/>
          <w:b w:val="1"/>
          <w:bCs w:val="1"/>
          <w:i w:val="1"/>
          <w:iCs w:val="1"/>
          <w:color w:val="5D89B4"/>
          <w:vertAlign w:val="subscript"/>
        </w:rPr>
      </w:pPr>
      <w:r>
        <w:rPr>
          <w:rFonts w:ascii="Arial" w:cs="Arial" w:eastAsia="Arial" w:hAnsi="Arial"/>
          <w:sz w:val="17"/>
          <w:szCs w:val="17"/>
          <w:color w:val="auto"/>
        </w:rPr>
        <w:t>We do not reward our NEOs on Total Shareholder Return (“TSR”) as a performance metric. In our experience, our stock price can rise or fall quickly, often in advance of perceived changes in the global business climate. These fluctuations are often de-coupled from the fundamentals of our business. We believe other performance metrics are more effective at incenting executive performance, and we do not make use of TSR. Instead, our Committee sets meaningful targets each year for our three key metrics.</w:t>
      </w:r>
    </w:p>
    <w:p>
      <w:pPr>
        <w:spacing w:after="0" w:line="3" w:lineRule="exact"/>
        <w:rPr>
          <w:rFonts w:ascii="Times New Roman" w:cs="Times New Roman" w:eastAsia="Times New Roman" w:hAnsi="Times New Roman"/>
          <w:sz w:val="53"/>
          <w:szCs w:val="53"/>
          <w:b w:val="1"/>
          <w:bCs w:val="1"/>
          <w:i w:val="1"/>
          <w:iCs w:val="1"/>
          <w:color w:val="5D89B4"/>
          <w:vertAlign w:val="subscript"/>
        </w:rPr>
      </w:pPr>
    </w:p>
    <w:p>
      <w:pPr>
        <w:ind w:left="558" w:right="80" w:hanging="558"/>
        <w:spacing w:after="0" w:line="187" w:lineRule="auto"/>
        <w:tabs>
          <w:tab w:leader="none" w:pos="558" w:val="left"/>
        </w:tabs>
        <w:numPr>
          <w:ilvl w:val="0"/>
          <w:numId w:val="34"/>
        </w:numPr>
        <w:rPr>
          <w:rFonts w:ascii="Times New Roman" w:cs="Times New Roman" w:eastAsia="Times New Roman" w:hAnsi="Times New Roman"/>
          <w:sz w:val="31"/>
          <w:szCs w:val="31"/>
          <w:b w:val="1"/>
          <w:bCs w:val="1"/>
          <w:i w:val="1"/>
          <w:iCs w:val="1"/>
          <w:color w:val="5D89B4"/>
          <w:vertAlign w:val="subscript"/>
        </w:rPr>
      </w:pPr>
      <w:r>
        <w:rPr>
          <w:rFonts w:ascii="Arial" w:cs="Arial" w:eastAsia="Arial" w:hAnsi="Arial"/>
          <w:sz w:val="14"/>
          <w:szCs w:val="14"/>
          <w:color w:val="auto"/>
        </w:rPr>
        <w:t>We do not provide tax gross up payments for any amounts considered excess parachute payments.</w:t>
      </w:r>
    </w:p>
    <w:p>
      <w:pPr>
        <w:spacing w:after="0" w:line="1" w:lineRule="exact"/>
        <w:rPr>
          <w:rFonts w:ascii="Times New Roman" w:cs="Times New Roman" w:eastAsia="Times New Roman" w:hAnsi="Times New Roman"/>
          <w:sz w:val="31"/>
          <w:szCs w:val="31"/>
          <w:b w:val="1"/>
          <w:bCs w:val="1"/>
          <w:i w:val="1"/>
          <w:iCs w:val="1"/>
          <w:color w:val="5D89B4"/>
          <w:vertAlign w:val="subscript"/>
        </w:rPr>
      </w:pPr>
    </w:p>
    <w:p>
      <w:pPr>
        <w:ind w:left="558" w:hanging="558"/>
        <w:spacing w:after="0" w:line="184" w:lineRule="auto"/>
        <w:tabs>
          <w:tab w:leader="none" w:pos="558" w:val="left"/>
        </w:tabs>
        <w:numPr>
          <w:ilvl w:val="0"/>
          <w:numId w:val="34"/>
        </w:numPr>
        <w:rPr>
          <w:rFonts w:ascii="Times New Roman" w:cs="Times New Roman" w:eastAsia="Times New Roman" w:hAnsi="Times New Roman"/>
          <w:sz w:val="25"/>
          <w:szCs w:val="25"/>
          <w:b w:val="1"/>
          <w:bCs w:val="1"/>
          <w:i w:val="1"/>
          <w:iCs w:val="1"/>
          <w:color w:val="5D89B4"/>
          <w:vertAlign w:val="subscript"/>
        </w:rPr>
      </w:pPr>
      <w:r>
        <w:rPr>
          <w:rFonts w:ascii="Arial" w:cs="Arial" w:eastAsia="Arial" w:hAnsi="Arial"/>
          <w:sz w:val="14"/>
          <w:szCs w:val="14"/>
          <w:color w:val="auto"/>
        </w:rPr>
        <w:t>We do not pay dividends on performance share units.</w:t>
      </w:r>
    </w:p>
    <w:p>
      <w:pPr>
        <w:spacing w:after="0" w:line="162" w:lineRule="exact"/>
        <w:rPr>
          <w:rFonts w:ascii="Times New Roman" w:cs="Times New Roman" w:eastAsia="Times New Roman" w:hAnsi="Times New Roman"/>
          <w:sz w:val="25"/>
          <w:szCs w:val="25"/>
          <w:b w:val="1"/>
          <w:bCs w:val="1"/>
          <w:i w:val="1"/>
          <w:iCs w:val="1"/>
          <w:color w:val="5D89B4"/>
          <w:vertAlign w:val="subscript"/>
        </w:rPr>
      </w:pPr>
    </w:p>
    <w:p>
      <w:pPr>
        <w:ind w:left="558" w:hanging="558"/>
        <w:spacing w:after="0" w:line="187" w:lineRule="auto"/>
        <w:tabs>
          <w:tab w:leader="none" w:pos="558" w:val="left"/>
        </w:tabs>
        <w:numPr>
          <w:ilvl w:val="0"/>
          <w:numId w:val="34"/>
        </w:numPr>
        <w:rPr>
          <w:rFonts w:ascii="Times New Roman" w:cs="Times New Roman" w:eastAsia="Times New Roman" w:hAnsi="Times New Roman"/>
          <w:sz w:val="53"/>
          <w:szCs w:val="53"/>
          <w:b w:val="1"/>
          <w:bCs w:val="1"/>
          <w:i w:val="1"/>
          <w:iCs w:val="1"/>
          <w:color w:val="5D89B4"/>
          <w:vertAlign w:val="subscript"/>
        </w:rPr>
      </w:pPr>
      <w:r>
        <w:rPr>
          <w:rFonts w:ascii="Arial" w:cs="Arial" w:eastAsia="Arial" w:hAnsi="Arial"/>
          <w:sz w:val="17"/>
          <w:szCs w:val="17"/>
          <w:color w:val="auto"/>
        </w:rPr>
        <w:t>We do not permit the repricing of stock options without prior shareholder approval, except in connection with a transaction.</w:t>
      </w:r>
    </w:p>
    <w:p>
      <w:pPr>
        <w:spacing w:after="0" w:line="2" w:lineRule="exact"/>
        <w:rPr>
          <w:rFonts w:ascii="Times New Roman" w:cs="Times New Roman" w:eastAsia="Times New Roman" w:hAnsi="Times New Roman"/>
          <w:sz w:val="53"/>
          <w:szCs w:val="53"/>
          <w:b w:val="1"/>
          <w:bCs w:val="1"/>
          <w:i w:val="1"/>
          <w:iCs w:val="1"/>
          <w:color w:val="5D89B4"/>
          <w:vertAlign w:val="subscript"/>
        </w:rPr>
      </w:pPr>
    </w:p>
    <w:p>
      <w:pPr>
        <w:ind w:left="558" w:right="240" w:hanging="558"/>
        <w:spacing w:after="0" w:line="187" w:lineRule="auto"/>
        <w:tabs>
          <w:tab w:leader="none" w:pos="558" w:val="left"/>
        </w:tabs>
        <w:numPr>
          <w:ilvl w:val="0"/>
          <w:numId w:val="34"/>
        </w:numPr>
        <w:rPr>
          <w:rFonts w:ascii="Times New Roman" w:cs="Times New Roman" w:eastAsia="Times New Roman" w:hAnsi="Times New Roman"/>
          <w:sz w:val="45"/>
          <w:szCs w:val="45"/>
          <w:b w:val="1"/>
          <w:bCs w:val="1"/>
          <w:i w:val="1"/>
          <w:iCs w:val="1"/>
          <w:color w:val="5D89B4"/>
          <w:vertAlign w:val="subscript"/>
        </w:rPr>
      </w:pPr>
      <w:r>
        <w:rPr>
          <w:rFonts w:ascii="Arial" w:cs="Arial" w:eastAsia="Arial" w:hAnsi="Arial"/>
          <w:sz w:val="16"/>
          <w:szCs w:val="16"/>
          <w:color w:val="auto"/>
        </w:rPr>
        <w:t>We do not allow hedging or pledging of ManpowerGroup stock.</w:t>
      </w:r>
    </w:p>
    <w:p>
      <w:pPr>
        <w:spacing w:after="0" w:line="1" w:lineRule="exact"/>
        <w:rPr>
          <w:rFonts w:ascii="Times New Roman" w:cs="Times New Roman" w:eastAsia="Times New Roman" w:hAnsi="Times New Roman"/>
          <w:sz w:val="45"/>
          <w:szCs w:val="45"/>
          <w:b w:val="1"/>
          <w:bCs w:val="1"/>
          <w:i w:val="1"/>
          <w:iCs w:val="1"/>
          <w:color w:val="5D89B4"/>
          <w:vertAlign w:val="subscript"/>
        </w:rPr>
      </w:pPr>
    </w:p>
    <w:p>
      <w:pPr>
        <w:ind w:left="558" w:hanging="558"/>
        <w:spacing w:after="0" w:line="184" w:lineRule="auto"/>
        <w:tabs>
          <w:tab w:leader="none" w:pos="558" w:val="left"/>
        </w:tabs>
        <w:numPr>
          <w:ilvl w:val="0"/>
          <w:numId w:val="34"/>
        </w:numPr>
        <w:rPr>
          <w:rFonts w:ascii="Times New Roman" w:cs="Times New Roman" w:eastAsia="Times New Roman" w:hAnsi="Times New Roman"/>
          <w:sz w:val="25"/>
          <w:szCs w:val="25"/>
          <w:b w:val="1"/>
          <w:bCs w:val="1"/>
          <w:i w:val="1"/>
          <w:iCs w:val="1"/>
          <w:color w:val="5D89B4"/>
          <w:vertAlign w:val="subscript"/>
        </w:rPr>
      </w:pPr>
      <w:r>
        <w:rPr>
          <w:rFonts w:ascii="Arial" w:cs="Arial" w:eastAsia="Arial" w:hAnsi="Arial"/>
          <w:sz w:val="14"/>
          <w:szCs w:val="14"/>
          <w:color w:val="auto"/>
        </w:rPr>
        <w:t>We do not provide excessive perquisites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-1296670</wp:posOffset>
            </wp:positionV>
            <wp:extent cx="3498850" cy="257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98850" cy="25717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-781685</wp:posOffset>
            </wp:positionV>
            <wp:extent cx="3498850" cy="386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98850" cy="38608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-139065</wp:posOffset>
            </wp:positionV>
            <wp:extent cx="3498850" cy="257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98850" cy="257175"/>
                    </a:xfrm>
                    <a:prstGeom prst="rect">
                      <a:avLst/>
                    </a:prstGeom>
                    <a:noFill/>
                  </pic:spPr>
                </pic:pic>
              </a:graphicData>
            </a:graphic>
          </wp:anchor>
        </w:drawing>
      </w:r>
    </w:p>
    <w:p>
      <w:pPr>
        <w:sectPr>
          <w:pgSz w:w="11900" w:h="16838" w:orient="portrait"/>
          <w:cols w:equalWidth="0" w:num="2">
            <w:col w:w="5400" w:space="422"/>
            <w:col w:w="5298"/>
          </w:cols>
          <w:pgMar w:left="240" w:top="455" w:right="5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320675</wp:posOffset>
            </wp:positionV>
            <wp:extent cx="700659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06590" cy="20574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5D89B4"/>
        </w:rPr>
        <w:t>WE MAINTAIN STRONG COMPENSATION AND CORPORATE GOVERNANCE PRACTICES: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 the years we have continued to enhance our compensation and corporate governance practices:</w:t>
      </w:r>
    </w:p>
    <w:p>
      <w:pPr>
        <w:spacing w:after="0" w:line="33" w:lineRule="exact"/>
        <w:rPr>
          <w:sz w:val="20"/>
          <w:szCs w:val="20"/>
          <w:color w:val="auto"/>
        </w:rPr>
      </w:pPr>
    </w:p>
    <w:p>
      <w:pPr>
        <w:ind w:left="760" w:right="260" w:hanging="556"/>
        <w:spacing w:after="0"/>
        <w:tabs>
          <w:tab w:leader="none" w:pos="760" w:val="left"/>
        </w:tabs>
        <w:numPr>
          <w:ilvl w:val="0"/>
          <w:numId w:val="35"/>
        </w:numPr>
        <w:rPr>
          <w:rFonts w:ascii="MS PGothic" w:cs="MS PGothic" w:eastAsia="MS PGothic" w:hAnsi="MS PGothic"/>
          <w:sz w:val="38"/>
          <w:szCs w:val="38"/>
          <w:color w:val="5D89B4"/>
          <w:vertAlign w:val="subscript"/>
        </w:rPr>
      </w:pPr>
      <w:r>
        <w:rPr>
          <w:rFonts w:ascii="Arial" w:cs="Arial" w:eastAsia="Arial" w:hAnsi="Arial"/>
          <w:sz w:val="15"/>
          <w:szCs w:val="15"/>
          <w:u w:val="single" w:color="auto"/>
          <w:color w:val="auto"/>
        </w:rPr>
        <w:t>Use ROIC as a key performance metric</w:t>
      </w:r>
      <w:r>
        <w:rPr>
          <w:rFonts w:ascii="Arial" w:cs="Arial" w:eastAsia="Arial" w:hAnsi="Arial"/>
          <w:sz w:val="15"/>
          <w:szCs w:val="15"/>
          <w:color w:val="auto"/>
        </w:rPr>
        <w:t>: We replaced Economic Profit with ROIC to more clearly measure how effectively we are using our capital.</w:t>
      </w:r>
    </w:p>
    <w:p>
      <w:pPr>
        <w:spacing w:after="0" w:line="70" w:lineRule="exact"/>
        <w:rPr>
          <w:rFonts w:ascii="MS PGothic" w:cs="MS PGothic" w:eastAsia="MS PGothic" w:hAnsi="MS PGothic"/>
          <w:sz w:val="38"/>
          <w:szCs w:val="38"/>
          <w:color w:val="5D89B4"/>
          <w:vertAlign w:val="subscript"/>
        </w:rPr>
      </w:pPr>
    </w:p>
    <w:p>
      <w:pPr>
        <w:ind w:left="760" w:right="400" w:hanging="556"/>
        <w:spacing w:after="0" w:line="180" w:lineRule="auto"/>
        <w:tabs>
          <w:tab w:leader="none" w:pos="760" w:val="left"/>
        </w:tabs>
        <w:numPr>
          <w:ilvl w:val="0"/>
          <w:numId w:val="35"/>
        </w:numPr>
        <w:rPr>
          <w:rFonts w:ascii="MS PGothic" w:cs="MS PGothic" w:eastAsia="MS PGothic" w:hAnsi="MS PGothic"/>
          <w:sz w:val="41"/>
          <w:szCs w:val="41"/>
          <w:color w:val="5D89B4"/>
          <w:vertAlign w:val="subscript"/>
          <w:shd w:val="clear" w:color="auto" w:fill="E6EDF3"/>
        </w:rPr>
      </w:pPr>
      <w:r>
        <w:rPr>
          <w:rFonts w:ascii="Arial" w:cs="Arial" w:eastAsia="Arial" w:hAnsi="Arial"/>
          <w:sz w:val="16"/>
          <w:szCs w:val="16"/>
          <w:u w:val="single" w:color="auto"/>
          <w:color w:val="auto"/>
        </w:rPr>
        <w:t>Return to 3-year performance period for performance share units</w:t>
      </w:r>
      <w:r>
        <w:rPr>
          <w:rFonts w:ascii="Arial" w:cs="Arial" w:eastAsia="Arial" w:hAnsi="Arial"/>
          <w:sz w:val="16"/>
          <w:szCs w:val="16"/>
          <w:color w:val="auto"/>
        </w:rPr>
        <w:t>: We returned to a 3-year performance period for performance share units to better align the interests of executive officers with long-term shareholder value.</w:t>
      </w:r>
    </w:p>
    <w:p>
      <w:pPr>
        <w:spacing w:after="0" w:line="27" w:lineRule="exact"/>
        <w:rPr>
          <w:rFonts w:ascii="MS PGothic" w:cs="MS PGothic" w:eastAsia="MS PGothic" w:hAnsi="MS PGothic"/>
          <w:sz w:val="41"/>
          <w:szCs w:val="41"/>
          <w:color w:val="5D89B4"/>
          <w:vertAlign w:val="subscript"/>
          <w:shd w:val="clear" w:color="auto" w:fill="E6EDF3"/>
        </w:rPr>
      </w:pPr>
    </w:p>
    <w:p>
      <w:pPr>
        <w:ind w:left="760" w:right="900" w:hanging="556"/>
        <w:spacing w:after="0" w:line="180" w:lineRule="auto"/>
        <w:tabs>
          <w:tab w:leader="none" w:pos="760" w:val="left"/>
        </w:tabs>
        <w:numPr>
          <w:ilvl w:val="0"/>
          <w:numId w:val="35"/>
        </w:numPr>
        <w:rPr>
          <w:rFonts w:ascii="MS PGothic" w:cs="MS PGothic" w:eastAsia="MS PGothic" w:hAnsi="MS PGothic"/>
          <w:sz w:val="41"/>
          <w:szCs w:val="41"/>
          <w:color w:val="5D89B4"/>
          <w:vertAlign w:val="subscript"/>
        </w:rPr>
      </w:pPr>
      <w:r>
        <w:rPr>
          <w:rFonts w:ascii="Arial" w:cs="Arial" w:eastAsia="Arial" w:hAnsi="Arial"/>
          <w:sz w:val="16"/>
          <w:szCs w:val="16"/>
          <w:u w:val="single" w:color="auto"/>
          <w:color w:val="auto"/>
        </w:rPr>
        <w:t>Further expanded use of performance-based equity</w:t>
      </w:r>
      <w:r>
        <w:rPr>
          <w:rFonts w:ascii="Arial" w:cs="Arial" w:eastAsia="Arial" w:hAnsi="Arial"/>
          <w:sz w:val="16"/>
          <w:szCs w:val="16"/>
          <w:color w:val="auto"/>
        </w:rPr>
        <w:t>: We modified our long-term incentive program to increase our use of performance share units to represent approximately 60% of long-term equity grants.</w:t>
      </w:r>
    </w:p>
    <w:p>
      <w:pPr>
        <w:ind w:left="760" w:hanging="556"/>
        <w:spacing w:after="0" w:line="180" w:lineRule="auto"/>
        <w:tabs>
          <w:tab w:leader="none" w:pos="760" w:val="left"/>
        </w:tabs>
        <w:numPr>
          <w:ilvl w:val="0"/>
          <w:numId w:val="35"/>
        </w:numPr>
        <w:rPr>
          <w:rFonts w:ascii="MS PGothic" w:cs="MS PGothic" w:eastAsia="MS PGothic" w:hAnsi="MS PGothic"/>
          <w:sz w:val="36"/>
          <w:szCs w:val="36"/>
          <w:color w:val="5D89B4"/>
          <w:vertAlign w:val="subscript"/>
          <w:shd w:val="clear" w:color="auto" w:fill="E6EDF3"/>
        </w:rPr>
      </w:pPr>
      <w:r>
        <w:rPr>
          <w:rFonts w:ascii="Arial" w:cs="Arial" w:eastAsia="Arial" w:hAnsi="Arial"/>
          <w:sz w:val="15"/>
          <w:szCs w:val="15"/>
          <w:u w:val="single" w:color="auto"/>
          <w:color w:val="auto"/>
        </w:rPr>
        <w:t>Elimination of classified board</w:t>
      </w:r>
      <w:r>
        <w:rPr>
          <w:rFonts w:ascii="Arial" w:cs="Arial" w:eastAsia="Arial" w:hAnsi="Arial"/>
          <w:sz w:val="15"/>
          <w:szCs w:val="15"/>
          <w:color w:val="auto"/>
        </w:rPr>
        <w:t>: We eliminated our classified board structure and hold annual elections of directors.</w:t>
      </w:r>
    </w:p>
    <w:p>
      <w:pPr>
        <w:spacing w:after="0" w:line="157" w:lineRule="exact"/>
        <w:rPr>
          <w:rFonts w:ascii="MS PGothic" w:cs="MS PGothic" w:eastAsia="MS PGothic" w:hAnsi="MS PGothic"/>
          <w:sz w:val="36"/>
          <w:szCs w:val="36"/>
          <w:color w:val="5D89B4"/>
          <w:vertAlign w:val="subscript"/>
          <w:shd w:val="clear" w:color="auto" w:fill="E6EDF3"/>
        </w:rPr>
      </w:pPr>
    </w:p>
    <w:p>
      <w:pPr>
        <w:ind w:left="760" w:right="40" w:hanging="556"/>
        <w:spacing w:after="0" w:line="183" w:lineRule="auto"/>
        <w:tabs>
          <w:tab w:leader="none" w:pos="760" w:val="left"/>
        </w:tabs>
        <w:numPr>
          <w:ilvl w:val="0"/>
          <w:numId w:val="35"/>
        </w:numPr>
        <w:rPr>
          <w:rFonts w:ascii="MS PGothic" w:cs="MS PGothic" w:eastAsia="MS PGothic" w:hAnsi="MS PGothic"/>
          <w:sz w:val="45"/>
          <w:szCs w:val="45"/>
          <w:color w:val="5D89B4"/>
          <w:vertAlign w:val="subscript"/>
        </w:rPr>
      </w:pPr>
      <w:r>
        <w:rPr>
          <w:rFonts w:ascii="Arial" w:cs="Arial" w:eastAsia="Arial" w:hAnsi="Arial"/>
          <w:sz w:val="16"/>
          <w:szCs w:val="16"/>
          <w:u w:val="single" w:color="auto"/>
          <w:color w:val="auto"/>
        </w:rPr>
        <w:t>Strengthened role of lead director</w:t>
      </w:r>
      <w:r>
        <w:rPr>
          <w:rFonts w:ascii="Arial" w:cs="Arial" w:eastAsia="Arial" w:hAnsi="Arial"/>
          <w:sz w:val="16"/>
          <w:szCs w:val="16"/>
          <w:color w:val="auto"/>
        </w:rPr>
        <w:t>: We eliminated a practice in which we rotated our lead director annually. Today, our board appoints a lead director with the intent that the individual will serve for at least three years. The roles and responsibilities of the lead director have been clarified, and the lead director receives additional compensation for serving in this role.</w:t>
      </w:r>
    </w:p>
    <w:p>
      <w:pPr>
        <w:spacing w:after="0" w:line="29" w:lineRule="exact"/>
        <w:rPr>
          <w:rFonts w:ascii="MS PGothic" w:cs="MS PGothic" w:eastAsia="MS PGothic" w:hAnsi="MS PGothic"/>
          <w:sz w:val="45"/>
          <w:szCs w:val="45"/>
          <w:color w:val="5D89B4"/>
          <w:vertAlign w:val="subscript"/>
        </w:rPr>
      </w:pPr>
    </w:p>
    <w:p>
      <w:pPr>
        <w:ind w:left="760" w:right="100" w:hanging="556"/>
        <w:spacing w:after="0" w:line="180" w:lineRule="auto"/>
        <w:tabs>
          <w:tab w:leader="none" w:pos="760" w:val="left"/>
        </w:tabs>
        <w:numPr>
          <w:ilvl w:val="0"/>
          <w:numId w:val="35"/>
        </w:numPr>
        <w:rPr>
          <w:rFonts w:ascii="MS PGothic" w:cs="MS PGothic" w:eastAsia="MS PGothic" w:hAnsi="MS PGothic"/>
          <w:sz w:val="47"/>
          <w:szCs w:val="47"/>
          <w:color w:val="5D89B4"/>
          <w:vertAlign w:val="subscript"/>
        </w:rPr>
      </w:pPr>
      <w:r>
        <w:rPr>
          <w:rFonts w:ascii="Arial" w:cs="Arial" w:eastAsia="Arial" w:hAnsi="Arial"/>
          <w:sz w:val="17"/>
          <w:szCs w:val="17"/>
          <w:u w:val="single" w:color="auto"/>
          <w:color w:val="auto"/>
        </w:rPr>
        <w:t>Adoption of clawback policy</w:t>
      </w:r>
      <w:r>
        <w:rPr>
          <w:rFonts w:ascii="Arial" w:cs="Arial" w:eastAsia="Arial" w:hAnsi="Arial"/>
          <w:sz w:val="17"/>
          <w:szCs w:val="17"/>
          <w:color w:val="auto"/>
        </w:rPr>
        <w:t>: Under our clawback policy, if the Committee determines an employee engaged in intentional misconduct that causes a financial restatement, it may revoke any outstanding awards, including cash incentives or equity awards, that were received as a result of the misconduct.</w:t>
      </w:r>
    </w:p>
    <w:p>
      <w:pPr>
        <w:spacing w:after="0" w:line="29" w:lineRule="exact"/>
        <w:rPr>
          <w:rFonts w:ascii="MS PGothic" w:cs="MS PGothic" w:eastAsia="MS PGothic" w:hAnsi="MS PGothic"/>
          <w:sz w:val="47"/>
          <w:szCs w:val="47"/>
          <w:color w:val="5D89B4"/>
          <w:vertAlign w:val="subscript"/>
        </w:rPr>
      </w:pPr>
    </w:p>
    <w:p>
      <w:pPr>
        <w:ind w:left="760" w:right="180" w:hanging="556"/>
        <w:spacing w:after="0" w:line="180" w:lineRule="auto"/>
        <w:tabs>
          <w:tab w:leader="none" w:pos="760" w:val="left"/>
        </w:tabs>
        <w:numPr>
          <w:ilvl w:val="0"/>
          <w:numId w:val="35"/>
        </w:numPr>
        <w:rPr>
          <w:rFonts w:ascii="MS PGothic" w:cs="MS PGothic" w:eastAsia="MS PGothic" w:hAnsi="MS PGothic"/>
          <w:sz w:val="41"/>
          <w:szCs w:val="41"/>
          <w:color w:val="5D89B4"/>
          <w:vertAlign w:val="subscript"/>
        </w:rPr>
      </w:pPr>
      <w:r>
        <w:rPr>
          <w:rFonts w:ascii="Arial" w:cs="Arial" w:eastAsia="Arial" w:hAnsi="Arial"/>
          <w:sz w:val="16"/>
          <w:szCs w:val="16"/>
          <w:u w:val="single" w:color="auto"/>
          <w:color w:val="auto"/>
        </w:rPr>
        <w:t>Tightened stock ownership guidelines</w:t>
      </w:r>
      <w:r>
        <w:rPr>
          <w:rFonts w:ascii="Arial" w:cs="Arial" w:eastAsia="Arial" w:hAnsi="Arial"/>
          <w:sz w:val="16"/>
          <w:szCs w:val="16"/>
          <w:color w:val="auto"/>
        </w:rPr>
        <w:t>: Senior executives who have not met their individual ownership requirement must hold 50% of any of the shares they receive from an exercise or vesting of awards until the requirement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-1974215</wp:posOffset>
            </wp:positionV>
            <wp:extent cx="6706235" cy="3003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06235" cy="3003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-1374140</wp:posOffset>
            </wp:positionV>
            <wp:extent cx="6706235" cy="2400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06235" cy="24003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-704850</wp:posOffset>
            </wp:positionV>
            <wp:extent cx="6997700" cy="4286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7700" cy="428625"/>
                    </a:xfrm>
                    <a:prstGeom prst="rect">
                      <a:avLst/>
                    </a:prstGeom>
                    <a:noFill/>
                  </pic:spPr>
                </pic:pic>
              </a:graphicData>
            </a:graphic>
          </wp:anchor>
        </w:drawing>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CEO Compensation Continues to Follow our Guiding Principle of Pay-For-Performance</w:t>
      </w:r>
    </w:p>
    <w:p>
      <w:pPr>
        <w:spacing w:after="0" w:line="144" w:lineRule="exact"/>
        <w:rPr>
          <w:sz w:val="20"/>
          <w:szCs w:val="20"/>
          <w:color w:val="auto"/>
        </w:rPr>
      </w:pPr>
    </w:p>
    <w:p>
      <w:pPr>
        <w:ind w:left="200" w:right="300"/>
        <w:spacing w:after="0" w:line="277" w:lineRule="auto"/>
        <w:rPr>
          <w:sz w:val="20"/>
          <w:szCs w:val="20"/>
          <w:color w:val="auto"/>
        </w:rPr>
      </w:pPr>
      <w:r>
        <w:rPr>
          <w:rFonts w:ascii="Arial" w:cs="Arial" w:eastAsia="Arial" w:hAnsi="Arial"/>
          <w:sz w:val="17"/>
          <w:szCs w:val="17"/>
          <w:color w:val="auto"/>
        </w:rPr>
        <w:t>We remain committed to performance-based compensation. Approximately 75% of Mr. Prising’s 2017 target compensation was tied to Company performance and 89% of his total pay was variable. As a result of our strong financial performance in 2017, Mr. Prising’s total compensation in 2017 was 103% of target. The discussion below highlights each component of Mr. Prising’s compensation in 2017.</w:t>
      </w:r>
    </w:p>
    <w:p>
      <w:pPr>
        <w:spacing w:after="0" w:line="79" w:lineRule="exact"/>
        <w:rPr>
          <w:sz w:val="20"/>
          <w:szCs w:val="20"/>
          <w:color w:val="auto"/>
        </w:rPr>
      </w:pPr>
    </w:p>
    <w:p>
      <w:pPr>
        <w:ind w:left="200" w:right="460"/>
        <w:spacing w:after="0" w:line="255" w:lineRule="auto"/>
        <w:rPr>
          <w:sz w:val="20"/>
          <w:szCs w:val="20"/>
          <w:color w:val="auto"/>
        </w:rPr>
      </w:pPr>
      <w:r>
        <w:rPr>
          <w:rFonts w:ascii="Arial" w:cs="Arial" w:eastAsia="Arial" w:hAnsi="Arial"/>
          <w:sz w:val="18"/>
          <w:szCs w:val="18"/>
          <w:u w:val="single" w:color="auto"/>
          <w:color w:val="auto"/>
        </w:rPr>
        <w:t>Annual Cash Incentive: Payout Was 119% of Target</w:t>
      </w:r>
      <w:r>
        <w:rPr>
          <w:rFonts w:ascii="Arial" w:cs="Arial" w:eastAsia="Arial" w:hAnsi="Arial"/>
          <w:sz w:val="18"/>
          <w:szCs w:val="18"/>
          <w:color w:val="auto"/>
        </w:rPr>
        <w:t>. In light of the financial performance of the Company and the Committee’s assessment of Mr. Prising’s achievement of his operating objectives as CEO, Mr. Prising’s annual cash incentive payout was 119% of target.</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actual cash incentive payout to Mr. Prising for 2017:</w:t>
      </w:r>
    </w:p>
    <w:p>
      <w:pPr>
        <w:spacing w:after="0" w:line="147"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7520" w:type="dxa"/>
            <w:vAlign w:val="bottom"/>
            <w:tcBorders>
              <w:top w:val="single" w:sz="8" w:color="auto"/>
            </w:tcBorders>
            <w:shd w:val="clear" w:color="auto" w:fill="9DB8D2"/>
          </w:tcPr>
          <w:p>
            <w:pPr>
              <w:spacing w:after="0"/>
              <w:rPr>
                <w:sz w:val="22"/>
                <w:szCs w:val="22"/>
                <w:color w:val="auto"/>
              </w:rPr>
            </w:pPr>
          </w:p>
        </w:tc>
        <w:tc>
          <w:tcPr>
            <w:tcW w:w="1960" w:type="dxa"/>
            <w:vAlign w:val="bottom"/>
            <w:tcBorders>
              <w:top w:val="single" w:sz="8" w:color="auto"/>
            </w:tcBorders>
            <w:shd w:val="clear" w:color="auto" w:fill="9DB8D2"/>
          </w:tcPr>
          <w:p>
            <w:pPr>
              <w:jc w:val="right"/>
              <w:ind w:right="436"/>
              <w:spacing w:after="0"/>
              <w:rPr>
                <w:sz w:val="20"/>
                <w:szCs w:val="20"/>
                <w:color w:val="auto"/>
              </w:rPr>
            </w:pPr>
            <w:r>
              <w:rPr>
                <w:rFonts w:ascii="Arial" w:cs="Arial" w:eastAsia="Arial" w:hAnsi="Arial"/>
                <w:sz w:val="14"/>
                <w:szCs w:val="14"/>
                <w:b w:val="1"/>
                <w:bCs w:val="1"/>
                <w:color w:val="auto"/>
              </w:rPr>
              <w:t>2017 Actual</w:t>
            </w:r>
          </w:p>
        </w:tc>
        <w:tc>
          <w:tcPr>
            <w:tcW w:w="1540" w:type="dxa"/>
            <w:vAlign w:val="bottom"/>
            <w:tcBorders>
              <w:top w:val="single" w:sz="8" w:color="auto"/>
            </w:tcBorders>
            <w:shd w:val="clear" w:color="auto" w:fill="9DB8D2"/>
          </w:tcPr>
          <w:p>
            <w:pPr>
              <w:jc w:val="right"/>
              <w:ind w:right="136"/>
              <w:spacing w:after="0"/>
              <w:rPr>
                <w:sz w:val="20"/>
                <w:szCs w:val="20"/>
                <w:color w:val="auto"/>
              </w:rPr>
            </w:pPr>
            <w:r>
              <w:rPr>
                <w:rFonts w:ascii="Arial" w:cs="Arial" w:eastAsia="Arial" w:hAnsi="Arial"/>
                <w:sz w:val="14"/>
                <w:szCs w:val="14"/>
                <w:b w:val="1"/>
                <w:bCs w:val="1"/>
                <w:color w:val="auto"/>
              </w:rPr>
              <w:t>% Compared</w:t>
            </w:r>
          </w:p>
        </w:tc>
      </w:tr>
      <w:tr>
        <w:trPr>
          <w:trHeight w:val="203"/>
        </w:trPr>
        <w:tc>
          <w:tcPr>
            <w:tcW w:w="7520" w:type="dxa"/>
            <w:vAlign w:val="bottom"/>
            <w:tcBorders>
              <w:bottom w:val="single" w:sz="8" w:color="auto"/>
            </w:tcBorders>
            <w:shd w:val="clear" w:color="auto" w:fill="9DB8D2"/>
          </w:tcPr>
          <w:p>
            <w:pPr>
              <w:spacing w:after="0"/>
              <w:rPr>
                <w:sz w:val="17"/>
                <w:szCs w:val="17"/>
                <w:color w:val="auto"/>
              </w:rPr>
            </w:pPr>
          </w:p>
        </w:tc>
        <w:tc>
          <w:tcPr>
            <w:tcW w:w="1960" w:type="dxa"/>
            <w:vAlign w:val="bottom"/>
            <w:tcBorders>
              <w:bottom w:val="single" w:sz="8" w:color="auto"/>
            </w:tcBorders>
            <w:shd w:val="clear" w:color="auto" w:fill="9DB8D2"/>
          </w:tcPr>
          <w:p>
            <w:pPr>
              <w:jc w:val="right"/>
              <w:ind w:right="536"/>
              <w:spacing w:after="0"/>
              <w:rPr>
                <w:sz w:val="20"/>
                <w:szCs w:val="20"/>
                <w:color w:val="auto"/>
              </w:rPr>
            </w:pPr>
            <w:r>
              <w:rPr>
                <w:rFonts w:ascii="Arial" w:cs="Arial" w:eastAsia="Arial" w:hAnsi="Arial"/>
                <w:sz w:val="14"/>
                <w:szCs w:val="14"/>
                <w:b w:val="1"/>
                <w:bCs w:val="1"/>
                <w:color w:val="auto"/>
              </w:rPr>
              <w:t>Payout $</w:t>
            </w:r>
          </w:p>
        </w:tc>
        <w:tc>
          <w:tcPr>
            <w:tcW w:w="1540" w:type="dxa"/>
            <w:vAlign w:val="bottom"/>
            <w:tcBorders>
              <w:bottom w:val="single" w:sz="8" w:color="auto"/>
            </w:tcBorders>
            <w:shd w:val="clear" w:color="auto" w:fill="9DB8D2"/>
          </w:tcPr>
          <w:p>
            <w:pPr>
              <w:jc w:val="right"/>
              <w:ind w:right="276"/>
              <w:spacing w:after="0"/>
              <w:rPr>
                <w:sz w:val="20"/>
                <w:szCs w:val="20"/>
                <w:color w:val="auto"/>
              </w:rPr>
            </w:pPr>
            <w:r>
              <w:rPr>
                <w:rFonts w:ascii="Arial" w:cs="Arial" w:eastAsia="Arial" w:hAnsi="Arial"/>
                <w:sz w:val="14"/>
                <w:szCs w:val="14"/>
                <w:b w:val="1"/>
                <w:bCs w:val="1"/>
                <w:color w:val="auto"/>
              </w:rPr>
              <w:t>to Target</w:t>
            </w:r>
          </w:p>
        </w:tc>
      </w:tr>
      <w:tr>
        <w:trPr>
          <w:trHeight w:val="197"/>
        </w:trPr>
        <w:tc>
          <w:tcPr>
            <w:tcW w:w="7520" w:type="dxa"/>
            <w:vAlign w:val="bottom"/>
          </w:tcPr>
          <w:p>
            <w:pPr>
              <w:ind w:left="60"/>
              <w:spacing w:after="0" w:line="197" w:lineRule="exact"/>
              <w:rPr>
                <w:sz w:val="20"/>
                <w:szCs w:val="20"/>
                <w:color w:val="auto"/>
              </w:rPr>
            </w:pPr>
            <w:r>
              <w:rPr>
                <w:rFonts w:ascii="Arial" w:cs="Arial" w:eastAsia="Arial" w:hAnsi="Arial"/>
                <w:sz w:val="18"/>
                <w:szCs w:val="18"/>
                <w:color w:val="auto"/>
              </w:rPr>
              <w:t>EPS Goal</w:t>
            </w:r>
          </w:p>
        </w:tc>
        <w:tc>
          <w:tcPr>
            <w:tcW w:w="1960" w:type="dxa"/>
            <w:vAlign w:val="bottom"/>
          </w:tcPr>
          <w:p>
            <w:pPr>
              <w:jc w:val="right"/>
              <w:ind w:right="376"/>
              <w:spacing w:after="0" w:line="197" w:lineRule="exact"/>
              <w:rPr>
                <w:sz w:val="20"/>
                <w:szCs w:val="20"/>
                <w:color w:val="auto"/>
              </w:rPr>
            </w:pPr>
            <w:r>
              <w:rPr>
                <w:rFonts w:ascii="Arial" w:cs="Arial" w:eastAsia="Arial" w:hAnsi="Arial"/>
                <w:sz w:val="18"/>
                <w:szCs w:val="18"/>
                <w:color w:val="auto"/>
              </w:rPr>
              <w:t>821,428</w:t>
            </w:r>
          </w:p>
        </w:tc>
        <w:tc>
          <w:tcPr>
            <w:tcW w:w="1540" w:type="dxa"/>
            <w:vAlign w:val="bottom"/>
          </w:tcPr>
          <w:p>
            <w:pPr>
              <w:jc w:val="right"/>
              <w:ind w:right="236"/>
              <w:spacing w:after="0" w:line="197" w:lineRule="exact"/>
              <w:rPr>
                <w:sz w:val="20"/>
                <w:szCs w:val="20"/>
                <w:color w:val="auto"/>
              </w:rPr>
            </w:pPr>
            <w:r>
              <w:rPr>
                <w:rFonts w:ascii="Arial" w:cs="Arial" w:eastAsia="Arial" w:hAnsi="Arial"/>
                <w:sz w:val="18"/>
                <w:szCs w:val="18"/>
                <w:color w:val="auto"/>
              </w:rPr>
              <w:t>110%</w:t>
            </w:r>
          </w:p>
        </w:tc>
      </w:tr>
      <w:tr>
        <w:trPr>
          <w:trHeight w:val="203"/>
        </w:trPr>
        <w:tc>
          <w:tcPr>
            <w:tcW w:w="752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ROIC Goal</w:t>
            </w:r>
          </w:p>
        </w:tc>
        <w:tc>
          <w:tcPr>
            <w:tcW w:w="1960" w:type="dxa"/>
            <w:vAlign w:val="bottom"/>
            <w:shd w:val="clear" w:color="auto" w:fill="E6EDF3"/>
          </w:tcPr>
          <w:p>
            <w:pPr>
              <w:jc w:val="right"/>
              <w:ind w:right="376"/>
              <w:spacing w:after="0" w:line="202" w:lineRule="exact"/>
              <w:rPr>
                <w:sz w:val="20"/>
                <w:szCs w:val="20"/>
                <w:color w:val="auto"/>
              </w:rPr>
            </w:pPr>
            <w:r>
              <w:rPr>
                <w:rFonts w:ascii="Arial" w:cs="Arial" w:eastAsia="Arial" w:hAnsi="Arial"/>
                <w:sz w:val="18"/>
                <w:szCs w:val="18"/>
                <w:color w:val="auto"/>
              </w:rPr>
              <w:t>794,118</w:t>
            </w:r>
          </w:p>
        </w:tc>
        <w:tc>
          <w:tcPr>
            <w:tcW w:w="1540" w:type="dxa"/>
            <w:vAlign w:val="bottom"/>
            <w:shd w:val="clear" w:color="auto" w:fill="E6EDF3"/>
          </w:tcPr>
          <w:p>
            <w:pPr>
              <w:jc w:val="right"/>
              <w:ind w:right="236"/>
              <w:spacing w:after="0" w:line="202" w:lineRule="exact"/>
              <w:rPr>
                <w:sz w:val="20"/>
                <w:szCs w:val="20"/>
                <w:color w:val="auto"/>
              </w:rPr>
            </w:pPr>
            <w:r>
              <w:rPr>
                <w:rFonts w:ascii="Arial" w:cs="Arial" w:eastAsia="Arial" w:hAnsi="Arial"/>
                <w:sz w:val="18"/>
                <w:szCs w:val="18"/>
                <w:color w:val="auto"/>
              </w:rPr>
              <w:t>106%</w:t>
            </w:r>
          </w:p>
        </w:tc>
      </w:tr>
      <w:tr>
        <w:trPr>
          <w:trHeight w:val="203"/>
        </w:trPr>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Operating Objectives</w:t>
            </w:r>
          </w:p>
        </w:tc>
        <w:tc>
          <w:tcPr>
            <w:tcW w:w="196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625,000</w:t>
            </w:r>
          </w:p>
        </w:tc>
        <w:tc>
          <w:tcPr>
            <w:tcW w:w="154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167%</w:t>
            </w:r>
          </w:p>
        </w:tc>
      </w:tr>
      <w:tr>
        <w:trPr>
          <w:trHeight w:val="203"/>
        </w:trPr>
        <w:tc>
          <w:tcPr>
            <w:tcW w:w="7520" w:type="dxa"/>
            <w:vAlign w:val="bottom"/>
            <w:tcBorders>
              <w:bottom w:val="single" w:sz="8" w:color="auto"/>
            </w:tcBorders>
            <w:shd w:val="clear" w:color="auto" w:fill="E6EDF3"/>
          </w:tcPr>
          <w:p>
            <w:pPr>
              <w:ind w:left="60"/>
              <w:spacing w:after="0" w:line="202" w:lineRule="exact"/>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shd w:val="clear" w:color="auto" w:fill="E6EDF3"/>
          </w:tcPr>
          <w:p>
            <w:pPr>
              <w:jc w:val="right"/>
              <w:ind w:right="376"/>
              <w:spacing w:after="0" w:line="202" w:lineRule="exact"/>
              <w:rPr>
                <w:sz w:val="20"/>
                <w:szCs w:val="20"/>
                <w:color w:val="auto"/>
              </w:rPr>
            </w:pPr>
            <w:r>
              <w:rPr>
                <w:rFonts w:ascii="Arial" w:cs="Arial" w:eastAsia="Arial" w:hAnsi="Arial"/>
                <w:sz w:val="18"/>
                <w:szCs w:val="18"/>
                <w:color w:val="auto"/>
              </w:rPr>
              <w:t>2,240,546</w:t>
            </w:r>
          </w:p>
        </w:tc>
        <w:tc>
          <w:tcPr>
            <w:tcW w:w="1540" w:type="dxa"/>
            <w:vAlign w:val="bottom"/>
            <w:tcBorders>
              <w:bottom w:val="single" w:sz="8" w:color="auto"/>
            </w:tcBorders>
            <w:shd w:val="clear" w:color="auto" w:fill="E6EDF3"/>
          </w:tcPr>
          <w:p>
            <w:pPr>
              <w:jc w:val="right"/>
              <w:ind w:right="236"/>
              <w:spacing w:after="0" w:line="202" w:lineRule="exact"/>
              <w:rPr>
                <w:sz w:val="20"/>
                <w:szCs w:val="20"/>
                <w:color w:val="auto"/>
              </w:rPr>
            </w:pPr>
            <w:r>
              <w:rPr>
                <w:rFonts w:ascii="Arial" w:cs="Arial" w:eastAsia="Arial" w:hAnsi="Arial"/>
                <w:sz w:val="18"/>
                <w:szCs w:val="18"/>
                <w:color w:val="auto"/>
              </w:rPr>
              <w:t>119%</w:t>
            </w:r>
          </w:p>
        </w:tc>
      </w:tr>
    </w:tbl>
    <w:p>
      <w:pPr>
        <w:spacing w:after="0" w:line="126" w:lineRule="exact"/>
        <w:rPr>
          <w:sz w:val="20"/>
          <w:szCs w:val="20"/>
          <w:color w:val="auto"/>
        </w:rPr>
      </w:pPr>
    </w:p>
    <w:p>
      <w:pPr>
        <w:ind w:left="200" w:right="60"/>
        <w:spacing w:after="0" w:line="276" w:lineRule="auto"/>
        <w:rPr>
          <w:sz w:val="20"/>
          <w:szCs w:val="20"/>
          <w:color w:val="auto"/>
        </w:rPr>
      </w:pPr>
      <w:r>
        <w:rPr>
          <w:rFonts w:ascii="Arial" w:cs="Arial" w:eastAsia="Arial" w:hAnsi="Arial"/>
          <w:sz w:val="18"/>
          <w:szCs w:val="18"/>
          <w:u w:val="single" w:color="auto"/>
          <w:color w:val="auto"/>
        </w:rPr>
        <w:t>Long-Term Equity Awards: Approximately 60% are Based on Performance</w:t>
      </w:r>
      <w:r>
        <w:rPr>
          <w:rFonts w:ascii="Arial" w:cs="Arial" w:eastAsia="Arial" w:hAnsi="Arial"/>
          <w:sz w:val="18"/>
          <w:szCs w:val="18"/>
          <w:color w:val="auto"/>
        </w:rPr>
        <w:t>. Mr. Prising’s 2017 compensation package included three long-term equity components:</w:t>
      </w:r>
    </w:p>
    <w:p>
      <w:pPr>
        <w:spacing w:after="0" w:line="78" w:lineRule="exact"/>
        <w:rPr>
          <w:sz w:val="20"/>
          <w:szCs w:val="20"/>
          <w:color w:val="auto"/>
        </w:rPr>
      </w:pPr>
    </w:p>
    <w:p>
      <w:pPr>
        <w:ind w:left="640" w:right="140" w:hanging="328"/>
        <w:spacing w:after="0" w:line="248" w:lineRule="auto"/>
        <w:tabs>
          <w:tab w:leader="none" w:pos="640" w:val="left"/>
        </w:tabs>
        <w:numPr>
          <w:ilvl w:val="0"/>
          <w:numId w:val="36"/>
        </w:numPr>
        <w:rPr>
          <w:rFonts w:ascii="Arial" w:cs="Arial" w:eastAsia="Arial" w:hAnsi="Arial"/>
          <w:sz w:val="18"/>
          <w:szCs w:val="18"/>
          <w:color w:val="5D89B4"/>
        </w:rPr>
      </w:pPr>
      <w:r>
        <w:rPr>
          <w:rFonts w:ascii="Arial" w:cs="Arial" w:eastAsia="Arial" w:hAnsi="Arial"/>
          <w:sz w:val="18"/>
          <w:szCs w:val="18"/>
          <w:color w:val="auto"/>
        </w:rPr>
        <w:t>Approximately 60% of long-term awards were performance share units. Similar to 2016, these performance share units use a three-year performance period. They are calibrated to Operating Profit Margin Percent, which the Committee believes correctly focuses executive officers on long-term profitability. Following completion of the 2017-2019 performance period, the Committee will compare Operating Profit Margin Percent performance against target levels.</w:t>
      </w:r>
    </w:p>
    <w:p>
      <w:pPr>
        <w:spacing w:after="0" w:line="92"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D89B4"/>
        </w:rPr>
        <w:t xml:space="preserve">29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320" w:lineRule="exact"/>
        <w:rPr>
          <w:sz w:val="20"/>
          <w:szCs w:val="20"/>
          <w:color w:val="auto"/>
        </w:rPr>
      </w:pPr>
    </w:p>
    <w:p>
      <w:pPr>
        <w:ind w:left="640" w:hanging="328"/>
        <w:spacing w:after="0"/>
        <w:tabs>
          <w:tab w:leader="none" w:pos="640" w:val="left"/>
        </w:tabs>
        <w:numPr>
          <w:ilvl w:val="0"/>
          <w:numId w:val="37"/>
        </w:numPr>
        <w:rPr>
          <w:rFonts w:ascii="Arial" w:cs="Arial" w:eastAsia="Arial" w:hAnsi="Arial"/>
          <w:sz w:val="18"/>
          <w:szCs w:val="18"/>
          <w:color w:val="5D89B4"/>
        </w:rPr>
      </w:pPr>
      <w:r>
        <w:rPr>
          <w:rFonts w:ascii="Arial" w:cs="Arial" w:eastAsia="Arial" w:hAnsi="Arial"/>
          <w:sz w:val="18"/>
          <w:szCs w:val="18"/>
          <w:color w:val="auto"/>
        </w:rPr>
        <w:t>Approximately 20% of long-term awards were stock options that vest over a four year period.</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37"/>
        </w:numPr>
        <w:rPr>
          <w:rFonts w:ascii="Arial" w:cs="Arial" w:eastAsia="Arial" w:hAnsi="Arial"/>
          <w:sz w:val="18"/>
          <w:szCs w:val="18"/>
          <w:color w:val="5D89B4"/>
        </w:rPr>
      </w:pPr>
      <w:r>
        <w:rPr>
          <w:rFonts w:ascii="Arial" w:cs="Arial" w:eastAsia="Arial" w:hAnsi="Arial"/>
          <w:sz w:val="18"/>
          <w:szCs w:val="18"/>
          <w:color w:val="auto"/>
        </w:rPr>
        <w:t>Approximately 20% of long-term awards were restricted stock units that cliff vest in full after three years.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Realizable Pay Reflected Stock Price Appreciation</w:t>
      </w:r>
      <w:r>
        <w:rPr>
          <w:rFonts w:ascii="Arial" w:cs="Arial" w:eastAsia="Arial" w:hAnsi="Arial"/>
          <w:sz w:val="18"/>
          <w:szCs w:val="18"/>
          <w:color w:val="auto"/>
        </w:rPr>
        <w:t>. Although we do not utilize TSR as a performance metric, we calculated realizable pay for Mr. Prising to show the impact of Company performance and stock price on his compensation granted or awarded during the year. The Company’s stock price appreciated significantly during 2017: from $88.87 on January 1, 2017 to $126.11 as of December 31, 2017. The year-end price of $126.11 as of December 31, 2017 resulted in Mr. Prising’s calculated realizable pay being $14.2 million for 2017, which is substantially greater than the total compensation shown in the Summary Compensation Table using SEC reporting methodology. This is not surprising given the significant equity component of Mr. Prising’s total compensation and the significant return enjoyed by our shareholders in 2017. In 2016 Mr. Prising’s realizable pay was less than his reported compensation, despite strong operating performance, due to the intrinsic value of his stock options. See page 49 for further details.</w:t>
      </w:r>
    </w:p>
    <w:p>
      <w:pPr>
        <w:spacing w:after="0" w:line="113" w:lineRule="exact"/>
        <w:rPr>
          <w:sz w:val="20"/>
          <w:szCs w:val="20"/>
          <w:color w:val="auto"/>
        </w:rPr>
      </w:pPr>
    </w:p>
    <w:p>
      <w:pPr>
        <w:ind w:left="200" w:right="480"/>
        <w:spacing w:after="0" w:line="257" w:lineRule="auto"/>
        <w:rPr>
          <w:sz w:val="20"/>
          <w:szCs w:val="20"/>
          <w:color w:val="auto"/>
        </w:rPr>
      </w:pPr>
      <w:r>
        <w:rPr>
          <w:rFonts w:ascii="Arial" w:cs="Arial" w:eastAsia="Arial" w:hAnsi="Arial"/>
          <w:sz w:val="17"/>
          <w:szCs w:val="17"/>
          <w:u w:val="single" w:color="auto"/>
          <w:color w:val="auto"/>
        </w:rPr>
        <w:t>Other Compensation Was Limited</w:t>
      </w:r>
      <w:r>
        <w:rPr>
          <w:rFonts w:ascii="Arial" w:cs="Arial" w:eastAsia="Arial" w:hAnsi="Arial"/>
          <w:sz w:val="17"/>
          <w:szCs w:val="17"/>
          <w:color w:val="auto"/>
        </w:rPr>
        <w:t>. The level of perquisites provided to Mr. Prising is limited. We reimburse him for financial planning expenses which are capped at $12,000 per year. Prior to 2016, we provided a car lease to Mr. Prising under our broad-based auto program, in which Mr. Prising was responsible for 25% of the lease payments. Mr. Prising no longer participates in that program.</w:t>
      </w:r>
    </w:p>
    <w:p>
      <w:pPr>
        <w:spacing w:after="0" w:line="2" w:lineRule="exact"/>
        <w:rPr>
          <w:sz w:val="20"/>
          <w:szCs w:val="20"/>
          <w:color w:val="auto"/>
        </w:rPr>
      </w:pPr>
    </w:p>
    <w:p>
      <w:pPr>
        <w:ind w:left="200" w:right="100"/>
        <w:spacing w:after="0" w:line="242" w:lineRule="auto"/>
        <w:rPr>
          <w:sz w:val="20"/>
          <w:szCs w:val="20"/>
          <w:color w:val="auto"/>
        </w:rPr>
      </w:pPr>
      <w:r>
        <w:rPr>
          <w:rFonts w:ascii="Arial" w:cs="Arial" w:eastAsia="Arial" w:hAnsi="Arial"/>
          <w:sz w:val="18"/>
          <w:szCs w:val="18"/>
          <w:color w:val="auto"/>
        </w:rPr>
        <w:t>Mr. Prising’s Other Compensation in 2017 also included a company match and profit sharing contribution under our Nonqualified Savings Plan, in which Mr. Prising has elected to participate. Mr. Prising does not have a current pension plan, and is not eligible to participate in the Company’s 401(k) plan.</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Objectives of Compensation Program</w:t>
      </w:r>
    </w:p>
    <w:p>
      <w:pPr>
        <w:spacing w:after="0" w:line="156"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In making decisions regarding compensation elements, program features and compensation award levels, ManpowerGroup is guided by a series of principles, listed below. Within the framework of these principles, ManpowerGroup considers governance trends, the competitive market, corporate, business unit and individual results, and various individual factors.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ManpowerGroup’s executive compensation guiding principles are to:</w:t>
      </w:r>
    </w:p>
    <w:p>
      <w:pPr>
        <w:spacing w:after="0" w:line="117" w:lineRule="exact"/>
        <w:rPr>
          <w:sz w:val="20"/>
          <w:szCs w:val="20"/>
          <w:color w:val="auto"/>
        </w:rPr>
      </w:pPr>
    </w:p>
    <w:p>
      <w:pPr>
        <w:ind w:left="640" w:hanging="328"/>
        <w:spacing w:after="0" w:line="255" w:lineRule="auto"/>
        <w:tabs>
          <w:tab w:leader="none" w:pos="640" w:val="left"/>
        </w:tabs>
        <w:numPr>
          <w:ilvl w:val="0"/>
          <w:numId w:val="38"/>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Pay for results: </w:t>
      </w:r>
      <w:r>
        <w:rPr>
          <w:rFonts w:ascii="Arial" w:cs="Arial" w:eastAsia="Arial" w:hAnsi="Arial"/>
          <w:sz w:val="18"/>
          <w:szCs w:val="18"/>
          <w:color w:val="auto"/>
        </w:rPr>
        <w:t>We tie a significant portion of compensation to the achievement of Company and business unit goals as well as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 individual accomplishments that contribute to ManpowerGroup’s success. For example, in 2017, approximately 60% of the CEO’s and 56% of the CFO’s target compensation, respectively, was tied to short- and long-term financial performance goals.</w:t>
      </w:r>
    </w:p>
    <w:p>
      <w:pPr>
        <w:spacing w:after="0" w:line="27" w:lineRule="exact"/>
        <w:rPr>
          <w:rFonts w:ascii="Arial" w:cs="Arial" w:eastAsia="Arial" w:hAnsi="Arial"/>
          <w:sz w:val="18"/>
          <w:szCs w:val="18"/>
          <w:color w:val="5D89B4"/>
        </w:rPr>
      </w:pPr>
    </w:p>
    <w:p>
      <w:pPr>
        <w:ind w:left="640" w:right="40" w:hanging="328"/>
        <w:spacing w:after="0" w:line="249" w:lineRule="auto"/>
        <w:tabs>
          <w:tab w:leader="none" w:pos="640" w:val="left"/>
        </w:tabs>
        <w:numPr>
          <w:ilvl w:val="0"/>
          <w:numId w:val="38"/>
        </w:numPr>
        <w:rPr>
          <w:rFonts w:ascii="Arial" w:cs="Arial" w:eastAsia="Arial" w:hAnsi="Arial"/>
          <w:sz w:val="18"/>
          <w:szCs w:val="18"/>
          <w:color w:val="5D89B4"/>
        </w:rPr>
      </w:pPr>
      <w:r>
        <w:rPr>
          <w:rFonts w:ascii="Arial" w:cs="Arial" w:eastAsia="Arial" w:hAnsi="Arial"/>
          <w:sz w:val="18"/>
          <w:szCs w:val="18"/>
          <w:b w:val="1"/>
          <w:bCs w:val="1"/>
          <w:i w:val="1"/>
          <w:iCs w:val="1"/>
          <w:color w:val="auto"/>
        </w:rPr>
        <w:t>Not pay for failure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set threshold goals for each performance-based incentive element of our executive compensation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believes these threshold goals are the lowest acceptable levels at which it is appropriate for the NEOs to receive an award. If the threshold level is not met, NEOs do not receive a payout related to that performance measure. In 2017, all of the executives met at least the threshold level for each performance-based incentive element.</w:t>
      </w:r>
    </w:p>
    <w:p>
      <w:pPr>
        <w:spacing w:after="0" w:line="32" w:lineRule="exact"/>
        <w:rPr>
          <w:rFonts w:ascii="Arial" w:cs="Arial" w:eastAsia="Arial" w:hAnsi="Arial"/>
          <w:sz w:val="18"/>
          <w:szCs w:val="18"/>
          <w:color w:val="5D89B4"/>
        </w:rPr>
      </w:pPr>
    </w:p>
    <w:p>
      <w:pPr>
        <w:ind w:left="640" w:right="40" w:hanging="328"/>
        <w:spacing w:after="0" w:line="242" w:lineRule="auto"/>
        <w:tabs>
          <w:tab w:leader="none" w:pos="640" w:val="left"/>
        </w:tabs>
        <w:numPr>
          <w:ilvl w:val="0"/>
          <w:numId w:val="38"/>
        </w:numPr>
        <w:rPr>
          <w:rFonts w:ascii="Arial" w:cs="Arial" w:eastAsia="Arial" w:hAnsi="Arial"/>
          <w:sz w:val="18"/>
          <w:szCs w:val="18"/>
          <w:color w:val="5D89B4"/>
        </w:rPr>
      </w:pPr>
      <w:r>
        <w:rPr>
          <w:rFonts w:ascii="Arial" w:cs="Arial" w:eastAsia="Arial" w:hAnsi="Arial"/>
          <w:sz w:val="18"/>
          <w:szCs w:val="18"/>
          <w:b w:val="1"/>
          <w:bCs w:val="1"/>
          <w:i w:val="1"/>
          <w:iCs w:val="1"/>
          <w:color w:val="auto"/>
        </w:rPr>
        <w:t>Align with shareholder interests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sets performance goals and chooses compensation elements that closely align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interests with those of shareholders. For example, performance share units, which make up approximately 40% of target compensation for both the CEO and CFO, respectively, are tied to operating profit margin, an incentive correlated with shareholder value because the higher the profit margin, the more valuable the Company becomes. Stock options and restricted stock units are directly aligned with shareholders’ economic interests as the ultimate value the NEOs realize is dependent upon the value of our stock. In addition, a substantial portion of the annual cash incentive awards paid to our CEO and CFO are based on achievement of EPS and ROIC goals for the year.</w:t>
      </w:r>
    </w:p>
    <w:p>
      <w:pPr>
        <w:spacing w:after="0" w:line="40" w:lineRule="exact"/>
        <w:rPr>
          <w:rFonts w:ascii="Arial" w:cs="Arial" w:eastAsia="Arial" w:hAnsi="Arial"/>
          <w:sz w:val="18"/>
          <w:szCs w:val="18"/>
          <w:color w:val="5D89B4"/>
        </w:rPr>
      </w:pPr>
    </w:p>
    <w:p>
      <w:pPr>
        <w:ind w:left="640" w:right="100" w:hanging="328"/>
        <w:spacing w:after="0" w:line="255" w:lineRule="auto"/>
        <w:tabs>
          <w:tab w:leader="none" w:pos="640" w:val="left"/>
        </w:tabs>
        <w:numPr>
          <w:ilvl w:val="0"/>
          <w:numId w:val="38"/>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Pay competitively: </w:t>
      </w:r>
      <w:r>
        <w:rPr>
          <w:rFonts w:ascii="Arial" w:cs="Arial" w:eastAsia="Arial" w:hAnsi="Arial"/>
          <w:sz w:val="18"/>
          <w:szCs w:val="18"/>
          <w:color w:val="auto"/>
        </w:rPr>
        <w:t>In order for ManpowerGroup to be successful, we need senior executives who have the capability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to operate in a global and complex environment. The Committee believes it must provide pay opportunities to the NEOs that are competitive in order to attract and retain executives of this caliber.</w:t>
      </w:r>
    </w:p>
    <w:p>
      <w:pPr>
        <w:spacing w:after="0" w:line="29" w:lineRule="exact"/>
        <w:rPr>
          <w:rFonts w:ascii="Arial" w:cs="Arial" w:eastAsia="Arial" w:hAnsi="Arial"/>
          <w:sz w:val="18"/>
          <w:szCs w:val="18"/>
          <w:color w:val="5D89B4"/>
        </w:rPr>
      </w:pPr>
    </w:p>
    <w:p>
      <w:pPr>
        <w:ind w:left="640" w:hanging="328"/>
        <w:spacing w:after="0" w:line="276" w:lineRule="auto"/>
        <w:tabs>
          <w:tab w:leader="none" w:pos="640" w:val="left"/>
        </w:tabs>
        <w:numPr>
          <w:ilvl w:val="0"/>
          <w:numId w:val="38"/>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Balance cash and equity: </w:t>
      </w:r>
      <w:r>
        <w:rPr>
          <w:rFonts w:ascii="Arial" w:cs="Arial" w:eastAsia="Arial" w:hAnsi="Arial"/>
          <w:sz w:val="18"/>
          <w:szCs w:val="18"/>
          <w:color w:val="auto"/>
        </w:rPr>
        <w:t>We balance the mix of cash and equity compensation to align compensation to both long- and short-term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of the Company.</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30</w:t>
      </w:r>
    </w:p>
    <w:p>
      <w:pPr>
        <w:sectPr>
          <w:pgSz w:w="11900" w:h="16838" w:orient="portrait"/>
          <w:cols w:equalWidth="0" w:num="1">
            <w:col w:w="11180"/>
          </w:cols>
          <w:pgMar w:left="24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320" w:lineRule="exact"/>
        <w:rPr>
          <w:sz w:val="20"/>
          <w:szCs w:val="20"/>
          <w:color w:val="auto"/>
        </w:rPr>
      </w:pPr>
    </w:p>
    <w:p>
      <w:pPr>
        <w:ind w:left="640" w:right="360" w:hanging="328"/>
        <w:spacing w:after="0" w:line="255" w:lineRule="auto"/>
        <w:tabs>
          <w:tab w:leader="none" w:pos="640" w:val="left"/>
        </w:tabs>
        <w:numPr>
          <w:ilvl w:val="0"/>
          <w:numId w:val="39"/>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Use internal and external performance reference points: </w:t>
      </w:r>
      <w:r>
        <w:rPr>
          <w:rFonts w:ascii="Arial" w:cs="Arial" w:eastAsia="Arial" w:hAnsi="Arial"/>
          <w:sz w:val="18"/>
          <w:szCs w:val="18"/>
          <w:color w:val="auto"/>
        </w:rPr>
        <w:t>We evaluate the elements of our compensation program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appropriate comparator company practices as well as other executives within the Company. However, identifying our competitive market is a challenge. See page 37 for further information regarding our competitive market.</w:t>
      </w:r>
    </w:p>
    <w:p>
      <w:pPr>
        <w:spacing w:after="0" w:line="29" w:lineRule="exact"/>
        <w:rPr>
          <w:rFonts w:ascii="Arial" w:cs="Arial" w:eastAsia="Arial" w:hAnsi="Arial"/>
          <w:sz w:val="18"/>
          <w:szCs w:val="18"/>
          <w:color w:val="5D89B4"/>
        </w:rPr>
      </w:pPr>
    </w:p>
    <w:p>
      <w:pPr>
        <w:ind w:left="640" w:right="220" w:hanging="328"/>
        <w:spacing w:after="0" w:line="255" w:lineRule="auto"/>
        <w:tabs>
          <w:tab w:leader="none" w:pos="640" w:val="left"/>
        </w:tabs>
        <w:numPr>
          <w:ilvl w:val="0"/>
          <w:numId w:val="39"/>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Recognize the cyclical nature of our business: </w:t>
      </w:r>
      <w:r>
        <w:rPr>
          <w:rFonts w:ascii="Arial" w:cs="Arial" w:eastAsia="Arial" w:hAnsi="Arial"/>
          <w:sz w:val="18"/>
          <w:szCs w:val="18"/>
          <w:color w:val="auto"/>
        </w:rPr>
        <w:t>Our business is highly cyclical and our financial results are impacted by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 cycles, which are difficult to predict. In determining executive compensation, the Committee tries to strike an appropriate balance between fixed and variable pay, and to create meaningful incentives at all points in an economic cycle.</w:t>
      </w:r>
    </w:p>
    <w:p>
      <w:pPr>
        <w:spacing w:after="0" w:line="29" w:lineRule="exact"/>
        <w:rPr>
          <w:rFonts w:ascii="Arial" w:cs="Arial" w:eastAsia="Arial" w:hAnsi="Arial"/>
          <w:sz w:val="18"/>
          <w:szCs w:val="18"/>
          <w:color w:val="5D89B4"/>
        </w:rPr>
      </w:pPr>
    </w:p>
    <w:p>
      <w:pPr>
        <w:ind w:left="640" w:right="40" w:hanging="328"/>
        <w:spacing w:after="0" w:line="255" w:lineRule="auto"/>
        <w:tabs>
          <w:tab w:leader="none" w:pos="640" w:val="left"/>
        </w:tabs>
        <w:numPr>
          <w:ilvl w:val="0"/>
          <w:numId w:val="39"/>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Attract and retain executives: </w:t>
      </w:r>
      <w:r>
        <w:rPr>
          <w:rFonts w:ascii="Arial" w:cs="Arial" w:eastAsia="Arial" w:hAnsi="Arial"/>
          <w:sz w:val="18"/>
          <w:szCs w:val="18"/>
          <w:color w:val="auto"/>
        </w:rPr>
        <w:t>The Company structures its compensation program for the NEOs so that the overall target outcome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falls within the median of the competitive market. The Committee believes this is the appropriate level to provide in order to attract and retain executives with the experience and capabilities we need.</w:t>
      </w:r>
    </w:p>
    <w:p>
      <w:pPr>
        <w:spacing w:after="0" w:line="29" w:lineRule="exact"/>
        <w:rPr>
          <w:rFonts w:ascii="Arial" w:cs="Arial" w:eastAsia="Arial" w:hAnsi="Arial"/>
          <w:sz w:val="18"/>
          <w:szCs w:val="18"/>
          <w:color w:val="5D89B4"/>
        </w:rPr>
      </w:pPr>
    </w:p>
    <w:p>
      <w:pPr>
        <w:ind w:left="640" w:right="80" w:hanging="328"/>
        <w:spacing w:after="0" w:line="245" w:lineRule="auto"/>
        <w:tabs>
          <w:tab w:leader="none" w:pos="640" w:val="left"/>
        </w:tabs>
        <w:numPr>
          <w:ilvl w:val="0"/>
          <w:numId w:val="39"/>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Assure total compensation is affordable: </w:t>
      </w:r>
      <w:r>
        <w:rPr>
          <w:rFonts w:ascii="Arial" w:cs="Arial" w:eastAsia="Arial" w:hAnsi="Arial"/>
          <w:sz w:val="18"/>
          <w:szCs w:val="18"/>
          <w:color w:val="auto"/>
        </w:rPr>
        <w:t>Our NEOs’ compensation is variable year-over-year, which means compensation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when financial objectives are achieved and incremental compensation is more affordable for the Company and compensation is lower when financial results decline and it is less affordable for the Company. In addition, payouts under the annual cash incentive plan and the performance share units are capped at the outstanding performance levels, which make the maximum cost predictable and ensures affordability.</w:t>
      </w:r>
    </w:p>
    <w:p>
      <w:pPr>
        <w:spacing w:after="0" w:line="37" w:lineRule="exact"/>
        <w:rPr>
          <w:rFonts w:ascii="Arial" w:cs="Arial" w:eastAsia="Arial" w:hAnsi="Arial"/>
          <w:sz w:val="18"/>
          <w:szCs w:val="18"/>
          <w:color w:val="5D89B4"/>
        </w:rPr>
      </w:pPr>
    </w:p>
    <w:p>
      <w:pPr>
        <w:jc w:val="both"/>
        <w:ind w:left="640" w:right="100" w:hanging="328"/>
        <w:spacing w:after="0" w:line="255" w:lineRule="auto"/>
        <w:tabs>
          <w:tab w:leader="none" w:pos="640" w:val="left"/>
        </w:tabs>
        <w:numPr>
          <w:ilvl w:val="0"/>
          <w:numId w:val="39"/>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Clearly communicate plans so that they are understood: </w:t>
      </w:r>
      <w:r>
        <w:rPr>
          <w:rFonts w:ascii="Arial" w:cs="Arial" w:eastAsia="Arial" w:hAnsi="Arial"/>
          <w:sz w:val="18"/>
          <w:szCs w:val="18"/>
          <w:color w:val="auto"/>
        </w:rPr>
        <w:t>We clearly communicate to each NEO their specific goals, targets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objectives under the various elements of the compensation program to ensure our executives are focused on achieving the financial and operational results that the Committee believes will best promote shareholder value.</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Say on Pay Vote</w:t>
      </w:r>
    </w:p>
    <w:p>
      <w:pPr>
        <w:spacing w:after="0" w:line="170" w:lineRule="exact"/>
        <w:rPr>
          <w:sz w:val="20"/>
          <w:szCs w:val="20"/>
          <w:color w:val="auto"/>
        </w:rPr>
      </w:pPr>
    </w:p>
    <w:p>
      <w:pPr>
        <w:ind w:left="200" w:right="100"/>
        <w:spacing w:after="0" w:line="245" w:lineRule="auto"/>
        <w:rPr>
          <w:sz w:val="20"/>
          <w:szCs w:val="20"/>
          <w:color w:val="auto"/>
        </w:rPr>
      </w:pPr>
      <w:r>
        <w:rPr>
          <w:rFonts w:ascii="Arial" w:cs="Arial" w:eastAsia="Arial" w:hAnsi="Arial"/>
          <w:sz w:val="18"/>
          <w:szCs w:val="18"/>
          <w:color w:val="auto"/>
        </w:rPr>
        <w:t>ManpowerGroup held a non-binding shareholder advisory vote at its 2017 Annual Meeting of Shareholders to approve the compensation of ManpowerGroup’s NEOs, also known as “Say on Pay.” This shareholder resolution was approved by approximately 91% of the votes cast. This was the fourth consecutive year we received a say on pay result above 90%, which we believe demonstrates our shareholders’ satisfaction with the alignment of our NEOs’ compensation with the Company’s performance. In some years, this result has been as high as 98%. Accordingly, we have not made significant changes to the compensation program for 2018.</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Shareholder Engagement</w:t>
      </w:r>
    </w:p>
    <w:p>
      <w:pPr>
        <w:spacing w:after="0" w:line="170" w:lineRule="exact"/>
        <w:rPr>
          <w:sz w:val="20"/>
          <w:szCs w:val="20"/>
          <w:color w:val="auto"/>
        </w:rPr>
      </w:pPr>
    </w:p>
    <w:p>
      <w:pPr>
        <w:ind w:left="200" w:right="120"/>
        <w:spacing w:after="0" w:line="248" w:lineRule="auto"/>
        <w:rPr>
          <w:sz w:val="20"/>
          <w:szCs w:val="20"/>
          <w:color w:val="auto"/>
        </w:rPr>
      </w:pPr>
      <w:r>
        <w:rPr>
          <w:rFonts w:ascii="Arial" w:cs="Arial" w:eastAsia="Arial" w:hAnsi="Arial"/>
          <w:sz w:val="18"/>
          <w:szCs w:val="18"/>
          <w:color w:val="auto"/>
        </w:rPr>
        <w:t>We believe that shareholder engagement is an important part of our governance practices. Over the past three years, we have enhanced our shareholder outreach program, to better understand our investors’ perspectives on our compensation philosophies and our governance structure, and to answer their questions. These efforts are conducted by members of executive management, and have included:</w:t>
      </w:r>
    </w:p>
    <w:p>
      <w:pPr>
        <w:spacing w:after="0" w:line="103" w:lineRule="exact"/>
        <w:rPr>
          <w:sz w:val="20"/>
          <w:szCs w:val="20"/>
          <w:color w:val="auto"/>
        </w:rPr>
      </w:pPr>
    </w:p>
    <w:p>
      <w:pPr>
        <w:ind w:left="640" w:hanging="328"/>
        <w:spacing w:after="0"/>
        <w:tabs>
          <w:tab w:leader="none" w:pos="640" w:val="left"/>
        </w:tabs>
        <w:numPr>
          <w:ilvl w:val="0"/>
          <w:numId w:val="40"/>
        </w:numPr>
        <w:rPr>
          <w:rFonts w:ascii="Arial" w:cs="Arial" w:eastAsia="Arial" w:hAnsi="Arial"/>
          <w:sz w:val="18"/>
          <w:szCs w:val="18"/>
          <w:color w:val="5D89B4"/>
        </w:rPr>
      </w:pPr>
      <w:r>
        <w:rPr>
          <w:rFonts w:ascii="Arial" w:cs="Arial" w:eastAsia="Arial" w:hAnsi="Arial"/>
          <w:sz w:val="18"/>
          <w:szCs w:val="18"/>
          <w:color w:val="auto"/>
        </w:rPr>
        <w:t>Contacting our top shareholders, representing more than 50% of our shares.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40"/>
        </w:numPr>
        <w:rPr>
          <w:rFonts w:ascii="Arial" w:cs="Arial" w:eastAsia="Arial" w:hAnsi="Arial"/>
          <w:sz w:val="18"/>
          <w:szCs w:val="18"/>
          <w:color w:val="5D89B4"/>
        </w:rPr>
      </w:pPr>
      <w:r>
        <w:rPr>
          <w:rFonts w:ascii="Arial" w:cs="Arial" w:eastAsia="Arial" w:hAnsi="Arial"/>
          <w:sz w:val="18"/>
          <w:szCs w:val="18"/>
          <w:color w:val="auto"/>
        </w:rPr>
        <w:t>Meeting with shareholders representing approximately 30% of our shares.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40"/>
        </w:numPr>
        <w:rPr>
          <w:rFonts w:ascii="Arial" w:cs="Arial" w:eastAsia="Arial" w:hAnsi="Arial"/>
          <w:sz w:val="18"/>
          <w:szCs w:val="18"/>
          <w:color w:val="5D89B4"/>
        </w:rPr>
      </w:pPr>
      <w:r>
        <w:rPr>
          <w:rFonts w:ascii="Arial" w:cs="Arial" w:eastAsia="Arial" w:hAnsi="Arial"/>
          <w:sz w:val="18"/>
          <w:szCs w:val="18"/>
          <w:color w:val="auto"/>
        </w:rPr>
        <w:t>Presenting shareholder feedback to the Committee as well as the nominating and governance committee.</w:t>
      </w:r>
    </w:p>
    <w:p>
      <w:pPr>
        <w:spacing w:after="0" w:line="131" w:lineRule="exact"/>
        <w:rPr>
          <w:sz w:val="20"/>
          <w:szCs w:val="20"/>
          <w:color w:val="auto"/>
        </w:rPr>
      </w:pPr>
    </w:p>
    <w:p>
      <w:pPr>
        <w:ind w:left="200" w:right="140"/>
        <w:spacing w:after="0" w:line="248" w:lineRule="auto"/>
        <w:rPr>
          <w:sz w:val="20"/>
          <w:szCs w:val="20"/>
          <w:color w:val="auto"/>
        </w:rPr>
      </w:pPr>
      <w:r>
        <w:rPr>
          <w:rFonts w:ascii="Arial" w:cs="Arial" w:eastAsia="Arial" w:hAnsi="Arial"/>
          <w:sz w:val="18"/>
          <w:szCs w:val="18"/>
          <w:color w:val="auto"/>
        </w:rPr>
        <w:t>The Committee evaluated this feedback, as well as our say-on-pay voting results (91% in 2017 and 98% in 2016), among other factors in developing our executive compensation programs as discussed in this CD&amp;A. Similarly, our nominating and governance committee has reviewed the feedback concerning our governance practices in developing our governance policies, including our approach to Board refreshment.</w:t>
      </w:r>
    </w:p>
    <w:p>
      <w:pPr>
        <w:spacing w:after="0" w:line="103" w:lineRule="exact"/>
        <w:rPr>
          <w:sz w:val="20"/>
          <w:szCs w:val="20"/>
          <w:color w:val="auto"/>
        </w:rPr>
      </w:pPr>
    </w:p>
    <w:p>
      <w:pPr>
        <w:jc w:val="both"/>
        <w:ind w:left="200" w:right="60"/>
        <w:spacing w:after="0" w:line="255" w:lineRule="auto"/>
        <w:rPr>
          <w:sz w:val="20"/>
          <w:szCs w:val="20"/>
          <w:color w:val="auto"/>
        </w:rPr>
      </w:pPr>
      <w:r>
        <w:rPr>
          <w:rFonts w:ascii="Arial" w:cs="Arial" w:eastAsia="Arial" w:hAnsi="Arial"/>
          <w:sz w:val="18"/>
          <w:szCs w:val="18"/>
          <w:color w:val="auto"/>
        </w:rPr>
        <w:t>Additionally, our executive management team, primarily through our Chairman and CEO and Executive Vice President and CFO, regularly engage in dialogue with our shareholders through our quarterly earnings calls, investor meetings and conferences, and other channels for communication.</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Compensation Elements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are the main elements used by ManpowerGroup in its compensation program in 2017 along with key decisions by the</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Committee related to those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7006590" cy="48367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06590" cy="4836795"/>
                    </a:xfrm>
                    <a:prstGeom prst="rect">
                      <a:avLst/>
                    </a:prstGeom>
                    <a:noFill/>
                  </pic:spPr>
                </pic:pic>
              </a:graphicData>
            </a:graphic>
          </wp:anchor>
        </w:drawing>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1960" w:type="dxa"/>
            <w:vAlign w:val="bottom"/>
            <w:tcBorders>
              <w:bottom w:val="single" w:sz="8" w:color="auto"/>
            </w:tcBorders>
            <w:shd w:val="clear" w:color="auto" w:fill="9DB8D2"/>
          </w:tcPr>
          <w:p>
            <w:pPr>
              <w:ind w:left="220"/>
              <w:spacing w:after="0"/>
              <w:rPr>
                <w:sz w:val="20"/>
                <w:szCs w:val="20"/>
                <w:color w:val="auto"/>
              </w:rPr>
            </w:pPr>
            <w:r>
              <w:rPr>
                <w:rFonts w:ascii="Arial" w:cs="Arial" w:eastAsia="Arial" w:hAnsi="Arial"/>
                <w:sz w:val="14"/>
                <w:szCs w:val="14"/>
                <w:b w:val="1"/>
                <w:bCs w:val="1"/>
                <w:color w:val="auto"/>
              </w:rPr>
              <w:t>Compensation Element</w:t>
            </w:r>
          </w:p>
        </w:tc>
        <w:tc>
          <w:tcPr>
            <w:tcW w:w="3200" w:type="dxa"/>
            <w:vAlign w:val="bottom"/>
            <w:tcBorders>
              <w:bottom w:val="single" w:sz="8" w:color="auto"/>
            </w:tcBorders>
            <w:shd w:val="clear" w:color="auto" w:fill="9DB8D2"/>
          </w:tcPr>
          <w:p>
            <w:pPr>
              <w:ind w:left="100"/>
              <w:spacing w:after="0"/>
              <w:rPr>
                <w:sz w:val="20"/>
                <w:szCs w:val="20"/>
                <w:color w:val="auto"/>
              </w:rPr>
            </w:pPr>
            <w:r>
              <w:rPr>
                <w:rFonts w:ascii="Arial" w:cs="Arial" w:eastAsia="Arial" w:hAnsi="Arial"/>
                <w:sz w:val="14"/>
                <w:szCs w:val="14"/>
                <w:b w:val="1"/>
                <w:bCs w:val="1"/>
                <w:color w:val="auto"/>
              </w:rPr>
              <w:t>Key Characteristics</w:t>
            </w:r>
          </w:p>
        </w:tc>
        <w:tc>
          <w:tcPr>
            <w:tcW w:w="3020" w:type="dxa"/>
            <w:vAlign w:val="bottom"/>
            <w:tcBorders>
              <w:bottom w:val="single" w:sz="8" w:color="auto"/>
            </w:tcBorders>
            <w:gridSpan w:val="2"/>
            <w:shd w:val="clear" w:color="auto" w:fill="9DB8D2"/>
          </w:tcPr>
          <w:p>
            <w:pPr>
              <w:ind w:left="100"/>
              <w:spacing w:after="0"/>
              <w:rPr>
                <w:sz w:val="20"/>
                <w:szCs w:val="20"/>
                <w:color w:val="auto"/>
              </w:rPr>
            </w:pPr>
            <w:r>
              <w:rPr>
                <w:rFonts w:ascii="Arial" w:cs="Arial" w:eastAsia="Arial" w:hAnsi="Arial"/>
                <w:sz w:val="14"/>
                <w:szCs w:val="14"/>
                <w:b w:val="1"/>
                <w:bCs w:val="1"/>
                <w:color w:val="auto"/>
              </w:rPr>
              <w:t>Objective and Determination</w:t>
            </w:r>
          </w:p>
        </w:tc>
        <w:tc>
          <w:tcPr>
            <w:tcW w:w="2840" w:type="dxa"/>
            <w:vAlign w:val="bottom"/>
            <w:tcBorders>
              <w:bottom w:val="single" w:sz="8" w:color="auto"/>
            </w:tcBorders>
            <w:gridSpan w:val="2"/>
            <w:shd w:val="clear" w:color="auto" w:fill="9DB8D2"/>
          </w:tcPr>
          <w:p>
            <w:pPr>
              <w:ind w:left="60"/>
              <w:spacing w:after="0"/>
              <w:rPr>
                <w:sz w:val="20"/>
                <w:szCs w:val="20"/>
                <w:color w:val="auto"/>
              </w:rPr>
            </w:pPr>
            <w:r>
              <w:rPr>
                <w:rFonts w:ascii="Arial" w:cs="Arial" w:eastAsia="Arial" w:hAnsi="Arial"/>
                <w:sz w:val="14"/>
                <w:szCs w:val="14"/>
                <w:b w:val="1"/>
                <w:bCs w:val="1"/>
                <w:color w:val="auto"/>
              </w:rPr>
              <w:t>2017 Decisions</w:t>
            </w:r>
          </w:p>
        </w:tc>
        <w:tc>
          <w:tcPr>
            <w:tcW w:w="0" w:type="dxa"/>
            <w:vAlign w:val="bottom"/>
          </w:tcPr>
          <w:p>
            <w:pPr>
              <w:spacing w:after="0"/>
              <w:rPr>
                <w:sz w:val="1"/>
                <w:szCs w:val="1"/>
                <w:color w:val="auto"/>
              </w:rPr>
            </w:pPr>
          </w:p>
        </w:tc>
      </w:tr>
      <w:tr>
        <w:trPr>
          <w:trHeight w:val="143"/>
        </w:trPr>
        <w:tc>
          <w:tcPr>
            <w:tcW w:w="1960" w:type="dxa"/>
            <w:vAlign w:val="bottom"/>
          </w:tcPr>
          <w:p>
            <w:pPr>
              <w:ind w:left="140"/>
              <w:spacing w:after="0" w:line="143" w:lineRule="exact"/>
              <w:rPr>
                <w:sz w:val="20"/>
                <w:szCs w:val="20"/>
                <w:color w:val="auto"/>
              </w:rPr>
            </w:pPr>
            <w:r>
              <w:rPr>
                <w:rFonts w:ascii="Arial" w:cs="Arial" w:eastAsia="Arial" w:hAnsi="Arial"/>
                <w:sz w:val="14"/>
                <w:szCs w:val="14"/>
                <w:b w:val="1"/>
                <w:bCs w:val="1"/>
                <w:color w:val="auto"/>
              </w:rPr>
              <w:t>Base Salary</w:t>
            </w:r>
          </w:p>
        </w:tc>
        <w:tc>
          <w:tcPr>
            <w:tcW w:w="3200" w:type="dxa"/>
            <w:vAlign w:val="bottom"/>
          </w:tcPr>
          <w:p>
            <w:pPr>
              <w:ind w:left="100"/>
              <w:spacing w:after="0" w:line="143" w:lineRule="exact"/>
              <w:rPr>
                <w:sz w:val="20"/>
                <w:szCs w:val="20"/>
                <w:color w:val="auto"/>
              </w:rPr>
            </w:pPr>
            <w:r>
              <w:rPr>
                <w:rFonts w:ascii="Arial" w:cs="Arial" w:eastAsia="Arial" w:hAnsi="Arial"/>
                <w:sz w:val="14"/>
                <w:szCs w:val="14"/>
                <w:color w:val="auto"/>
              </w:rPr>
              <w:t>Fixed compensation for performing the core</w:t>
            </w:r>
          </w:p>
        </w:tc>
        <w:tc>
          <w:tcPr>
            <w:tcW w:w="302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Provide a fixed compensation for performing</w:t>
            </w:r>
          </w:p>
        </w:tc>
        <w:tc>
          <w:tcPr>
            <w:tcW w:w="2840" w:type="dxa"/>
            <w:vAlign w:val="bottom"/>
            <w:gridSpan w:val="2"/>
          </w:tcPr>
          <w:p>
            <w:pPr>
              <w:ind w:left="60"/>
              <w:spacing w:after="0" w:line="143" w:lineRule="exact"/>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All of the NEOs received an increase in</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ind w:left="100"/>
              <w:spacing w:after="0"/>
              <w:rPr>
                <w:sz w:val="20"/>
                <w:szCs w:val="20"/>
                <w:color w:val="auto"/>
              </w:rPr>
            </w:pPr>
            <w:r>
              <w:rPr>
                <w:rFonts w:ascii="Arial" w:cs="Arial" w:eastAsia="Arial" w:hAnsi="Arial"/>
                <w:sz w:val="14"/>
                <w:szCs w:val="14"/>
                <w:color w:val="auto"/>
              </w:rPr>
              <w:t>areas of responsibility in amounts that are</w:t>
            </w:r>
          </w:p>
        </w:tc>
        <w:tc>
          <w:tcPr>
            <w:tcW w:w="3020" w:type="dxa"/>
            <w:vAlign w:val="bottom"/>
            <w:gridSpan w:val="2"/>
          </w:tcPr>
          <w:p>
            <w:pPr>
              <w:ind w:left="100"/>
              <w:spacing w:after="0"/>
              <w:rPr>
                <w:sz w:val="20"/>
                <w:szCs w:val="20"/>
                <w:color w:val="auto"/>
              </w:rPr>
            </w:pPr>
            <w:r>
              <w:rPr>
                <w:rFonts w:ascii="Arial" w:cs="Arial" w:eastAsia="Arial" w:hAnsi="Arial"/>
                <w:sz w:val="14"/>
                <w:szCs w:val="14"/>
                <w:color w:val="auto"/>
              </w:rPr>
              <w:t>the core areas of responsibility of the NEO.</w:t>
            </w:r>
          </w:p>
        </w:tc>
        <w:tc>
          <w:tcPr>
            <w:tcW w:w="16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Arial" w:cs="Arial" w:eastAsia="Arial" w:hAnsi="Arial"/>
                <w:sz w:val="14"/>
                <w:szCs w:val="14"/>
                <w:color w:val="auto"/>
              </w:rPr>
              <w:t>base salary in 2017.</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ind w:left="100"/>
              <w:spacing w:after="0"/>
              <w:rPr>
                <w:sz w:val="20"/>
                <w:szCs w:val="20"/>
                <w:color w:val="auto"/>
              </w:rPr>
            </w:pPr>
            <w:r>
              <w:rPr>
                <w:rFonts w:ascii="Arial" w:cs="Arial" w:eastAsia="Arial" w:hAnsi="Arial"/>
                <w:sz w:val="14"/>
                <w:szCs w:val="14"/>
                <w:color w:val="auto"/>
              </w:rPr>
              <w:t>competitive in the markets in which we operate.</w:t>
            </w:r>
          </w:p>
        </w:tc>
        <w:tc>
          <w:tcPr>
            <w:tcW w:w="3020" w:type="dxa"/>
            <w:vAlign w:val="bottom"/>
            <w:gridSpan w:val="2"/>
          </w:tcPr>
          <w:p>
            <w:pPr>
              <w:ind w:left="100"/>
              <w:spacing w:after="0"/>
              <w:rPr>
                <w:sz w:val="20"/>
                <w:szCs w:val="20"/>
                <w:color w:val="auto"/>
              </w:rPr>
            </w:pPr>
            <w:r>
              <w:rPr>
                <w:rFonts w:ascii="Arial" w:cs="Arial" w:eastAsia="Arial" w:hAnsi="Arial"/>
                <w:sz w:val="14"/>
                <w:szCs w:val="14"/>
                <w:color w:val="auto"/>
              </w:rPr>
              <w:t>These are reviewed annually and adjusted</w:t>
            </w:r>
          </w:p>
        </w:tc>
        <w:tc>
          <w:tcPr>
            <w:tcW w:w="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20" w:type="dxa"/>
            <w:vAlign w:val="bottom"/>
            <w:gridSpan w:val="2"/>
          </w:tcPr>
          <w:p>
            <w:pPr>
              <w:ind w:left="100"/>
              <w:spacing w:after="0"/>
              <w:rPr>
                <w:sz w:val="20"/>
                <w:szCs w:val="20"/>
                <w:color w:val="auto"/>
              </w:rPr>
            </w:pPr>
            <w:r>
              <w:rPr>
                <w:rFonts w:ascii="Arial" w:cs="Arial" w:eastAsia="Arial" w:hAnsi="Arial"/>
                <w:sz w:val="14"/>
                <w:szCs w:val="14"/>
                <w:color w:val="auto"/>
              </w:rPr>
              <w:t>when appropriate.</w:t>
            </w:r>
          </w:p>
        </w:tc>
        <w:tc>
          <w:tcPr>
            <w:tcW w:w="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9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20" w:type="dxa"/>
            <w:vAlign w:val="bottom"/>
            <w:gridSpan w:val="2"/>
          </w:tcPr>
          <w:p>
            <w:pPr>
              <w:ind w:left="100"/>
              <w:spacing w:after="0"/>
              <w:rPr>
                <w:sz w:val="20"/>
                <w:szCs w:val="20"/>
                <w:color w:val="auto"/>
              </w:rPr>
            </w:pPr>
            <w:r>
              <w:rPr>
                <w:rFonts w:ascii="Arial" w:cs="Arial" w:eastAsia="Arial" w:hAnsi="Arial"/>
                <w:sz w:val="14"/>
                <w:szCs w:val="14"/>
                <w:color w:val="auto"/>
              </w:rPr>
              <w:t>Factors used to determine base salaries:</w:t>
            </w:r>
          </w:p>
        </w:tc>
        <w:tc>
          <w:tcPr>
            <w:tcW w:w="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5D89B4"/>
              </w:rPr>
              <w:t>•</w:t>
            </w:r>
          </w:p>
        </w:tc>
        <w:tc>
          <w:tcPr>
            <w:tcW w:w="2840" w:type="dxa"/>
            <w:vAlign w:val="bottom"/>
          </w:tcPr>
          <w:p>
            <w:pPr>
              <w:ind w:left="40"/>
              <w:spacing w:after="0"/>
              <w:rPr>
                <w:sz w:val="20"/>
                <w:szCs w:val="20"/>
                <w:color w:val="auto"/>
              </w:rPr>
            </w:pPr>
            <w:r>
              <w:rPr>
                <w:rFonts w:ascii="Arial" w:cs="Arial" w:eastAsia="Arial" w:hAnsi="Arial"/>
                <w:sz w:val="14"/>
                <w:szCs w:val="14"/>
                <w:color w:val="auto"/>
              </w:rPr>
              <w:t>NEO’s experience, skill, and performance.</w:t>
            </w:r>
          </w:p>
        </w:tc>
        <w:tc>
          <w:tcPr>
            <w:tcW w:w="1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5D89B4"/>
              </w:rPr>
              <w:t>•</w:t>
            </w:r>
          </w:p>
        </w:tc>
        <w:tc>
          <w:tcPr>
            <w:tcW w:w="2840" w:type="dxa"/>
            <w:vAlign w:val="bottom"/>
          </w:tcPr>
          <w:p>
            <w:pPr>
              <w:ind w:left="40"/>
              <w:spacing w:after="0"/>
              <w:rPr>
                <w:sz w:val="20"/>
                <w:szCs w:val="20"/>
                <w:color w:val="auto"/>
              </w:rPr>
            </w:pPr>
            <w:r>
              <w:rPr>
                <w:rFonts w:ascii="Arial" w:cs="Arial" w:eastAsia="Arial" w:hAnsi="Arial"/>
                <w:sz w:val="14"/>
                <w:szCs w:val="14"/>
                <w:color w:val="auto"/>
              </w:rPr>
              <w:t>The breadth of the NEO’s responsibilities.</w:t>
            </w:r>
          </w:p>
        </w:tc>
        <w:tc>
          <w:tcPr>
            <w:tcW w:w="1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9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5D89B4"/>
              </w:rPr>
              <w:t>•</w:t>
            </w:r>
          </w:p>
        </w:tc>
        <w:tc>
          <w:tcPr>
            <w:tcW w:w="2840" w:type="dxa"/>
            <w:vAlign w:val="bottom"/>
          </w:tcPr>
          <w:p>
            <w:pPr>
              <w:ind w:left="40"/>
              <w:spacing w:after="0"/>
              <w:rPr>
                <w:sz w:val="20"/>
                <w:szCs w:val="20"/>
                <w:color w:val="auto"/>
              </w:rPr>
            </w:pPr>
            <w:r>
              <w:rPr>
                <w:rFonts w:ascii="Arial" w:cs="Arial" w:eastAsia="Arial" w:hAnsi="Arial"/>
                <w:sz w:val="14"/>
                <w:szCs w:val="14"/>
                <w:color w:val="auto"/>
              </w:rPr>
              <w:t>Internal equity among other</w:t>
            </w:r>
          </w:p>
        </w:tc>
        <w:tc>
          <w:tcPr>
            <w:tcW w:w="1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tcPr>
          <w:p>
            <w:pPr>
              <w:ind w:left="60"/>
              <w:spacing w:after="0"/>
              <w:rPr>
                <w:sz w:val="20"/>
                <w:szCs w:val="20"/>
                <w:color w:val="auto"/>
              </w:rPr>
            </w:pPr>
            <w:r>
              <w:rPr>
                <w:rFonts w:ascii="Arial" w:cs="Arial" w:eastAsia="Arial" w:hAnsi="Arial"/>
                <w:sz w:val="14"/>
                <w:szCs w:val="14"/>
                <w:color w:val="auto"/>
              </w:rPr>
              <w:t>NEOs.</w:t>
            </w:r>
          </w:p>
        </w:tc>
        <w:tc>
          <w:tcPr>
            <w:tcW w:w="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5D89B4"/>
              </w:rPr>
              <w:t>•</w:t>
            </w:r>
          </w:p>
        </w:tc>
        <w:tc>
          <w:tcPr>
            <w:tcW w:w="2840" w:type="dxa"/>
            <w:vAlign w:val="bottom"/>
          </w:tcPr>
          <w:p>
            <w:pPr>
              <w:ind w:left="40"/>
              <w:spacing w:after="0"/>
              <w:rPr>
                <w:sz w:val="20"/>
                <w:szCs w:val="20"/>
                <w:color w:val="auto"/>
              </w:rPr>
            </w:pPr>
            <w:r>
              <w:rPr>
                <w:rFonts w:ascii="Arial" w:cs="Arial" w:eastAsia="Arial" w:hAnsi="Arial"/>
                <w:sz w:val="14"/>
                <w:szCs w:val="14"/>
                <w:color w:val="auto"/>
              </w:rPr>
              <w:t>Pay relative to market.</w:t>
            </w:r>
          </w:p>
        </w:tc>
        <w:tc>
          <w:tcPr>
            <w:tcW w:w="1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96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960" w:type="dxa"/>
            <w:vAlign w:val="bottom"/>
          </w:tcPr>
          <w:p>
            <w:pPr>
              <w:ind w:left="140"/>
              <w:spacing w:after="0" w:line="143" w:lineRule="exact"/>
              <w:rPr>
                <w:sz w:val="20"/>
                <w:szCs w:val="20"/>
                <w:color w:val="auto"/>
              </w:rPr>
            </w:pPr>
            <w:r>
              <w:rPr>
                <w:rFonts w:ascii="Arial" w:cs="Arial" w:eastAsia="Arial" w:hAnsi="Arial"/>
                <w:sz w:val="14"/>
                <w:szCs w:val="14"/>
                <w:b w:val="1"/>
                <w:bCs w:val="1"/>
                <w:color w:val="auto"/>
              </w:rPr>
              <w:t>Annual Incentive Award</w:t>
            </w:r>
          </w:p>
        </w:tc>
        <w:tc>
          <w:tcPr>
            <w:tcW w:w="3200" w:type="dxa"/>
            <w:vAlign w:val="bottom"/>
          </w:tcPr>
          <w:p>
            <w:pPr>
              <w:ind w:left="100"/>
              <w:spacing w:after="0" w:line="143" w:lineRule="exact"/>
              <w:rPr>
                <w:sz w:val="20"/>
                <w:szCs w:val="20"/>
                <w:color w:val="auto"/>
              </w:rPr>
            </w:pPr>
            <w:r>
              <w:rPr>
                <w:rFonts w:ascii="Arial" w:cs="Arial" w:eastAsia="Arial" w:hAnsi="Arial"/>
                <w:sz w:val="14"/>
                <w:szCs w:val="14"/>
                <w:color w:val="auto"/>
              </w:rPr>
              <w:t>Variable compensation payable in cash based</w:t>
            </w:r>
          </w:p>
        </w:tc>
        <w:tc>
          <w:tcPr>
            <w:tcW w:w="302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Motivate and reward NEOs for achievement</w:t>
            </w:r>
          </w:p>
        </w:tc>
        <w:tc>
          <w:tcPr>
            <w:tcW w:w="2840" w:type="dxa"/>
            <w:vAlign w:val="bottom"/>
            <w:gridSpan w:val="2"/>
          </w:tcPr>
          <w:p>
            <w:pPr>
              <w:ind w:left="60"/>
              <w:spacing w:after="0" w:line="143" w:lineRule="exact"/>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Pool for 2017 was $26.1 million.</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ind w:left="100"/>
              <w:spacing w:after="0"/>
              <w:rPr>
                <w:sz w:val="20"/>
                <w:szCs w:val="20"/>
                <w:color w:val="auto"/>
              </w:rPr>
            </w:pPr>
            <w:r>
              <w:rPr>
                <w:rFonts w:ascii="Arial" w:cs="Arial" w:eastAsia="Arial" w:hAnsi="Arial"/>
                <w:sz w:val="14"/>
                <w:szCs w:val="14"/>
                <w:color w:val="auto"/>
              </w:rPr>
              <w:t>on performance against annually established</w:t>
            </w:r>
          </w:p>
        </w:tc>
        <w:tc>
          <w:tcPr>
            <w:tcW w:w="3020" w:type="dxa"/>
            <w:vAlign w:val="bottom"/>
            <w:gridSpan w:val="2"/>
          </w:tcPr>
          <w:p>
            <w:pPr>
              <w:ind w:left="100"/>
              <w:spacing w:after="0"/>
              <w:rPr>
                <w:sz w:val="20"/>
                <w:szCs w:val="20"/>
                <w:color w:val="auto"/>
              </w:rPr>
            </w:pPr>
            <w:r>
              <w:rPr>
                <w:rFonts w:ascii="Arial" w:cs="Arial" w:eastAsia="Arial" w:hAnsi="Arial"/>
                <w:sz w:val="14"/>
                <w:szCs w:val="14"/>
                <w:color w:val="auto"/>
              </w:rPr>
              <w:t>of key strategic, operational and financial</w:t>
            </w:r>
          </w:p>
        </w:tc>
        <w:tc>
          <w:tcPr>
            <w:tcW w:w="16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Arial" w:cs="Arial" w:eastAsia="Arial" w:hAnsi="Arial"/>
                <w:sz w:val="14"/>
                <w:szCs w:val="14"/>
                <w:color w:val="auto"/>
              </w:rPr>
              <w:t>Mr. Prising’s portion of the Pool for 2017</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ind w:left="100"/>
              <w:spacing w:after="0"/>
              <w:rPr>
                <w:sz w:val="20"/>
                <w:szCs w:val="20"/>
                <w:color w:val="auto"/>
              </w:rPr>
            </w:pPr>
            <w:r>
              <w:rPr>
                <w:rFonts w:ascii="Arial" w:cs="Arial" w:eastAsia="Arial" w:hAnsi="Arial"/>
                <w:sz w:val="14"/>
                <w:szCs w:val="14"/>
                <w:color w:val="auto"/>
              </w:rPr>
              <w:t>goals and assessment of individual</w:t>
            </w:r>
          </w:p>
        </w:tc>
        <w:tc>
          <w:tcPr>
            <w:tcW w:w="3020" w:type="dxa"/>
            <w:vAlign w:val="bottom"/>
            <w:gridSpan w:val="2"/>
          </w:tcPr>
          <w:p>
            <w:pPr>
              <w:ind w:left="100"/>
              <w:spacing w:after="0"/>
              <w:rPr>
                <w:sz w:val="20"/>
                <w:szCs w:val="20"/>
                <w:color w:val="auto"/>
              </w:rPr>
            </w:pPr>
            <w:r>
              <w:rPr>
                <w:rFonts w:ascii="Arial" w:cs="Arial" w:eastAsia="Arial" w:hAnsi="Arial"/>
                <w:sz w:val="14"/>
                <w:szCs w:val="14"/>
                <w:color w:val="auto"/>
              </w:rPr>
              <w:t>measures over the year.</w:t>
            </w:r>
          </w:p>
        </w:tc>
        <w:tc>
          <w:tcPr>
            <w:tcW w:w="16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Arial" w:cs="Arial" w:eastAsia="Arial" w:hAnsi="Arial"/>
                <w:sz w:val="14"/>
                <w:szCs w:val="14"/>
                <w:color w:val="auto"/>
              </w:rPr>
              <w:t>was $8.4 million. However, the</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ind w:left="100"/>
              <w:spacing w:after="0"/>
              <w:rPr>
                <w:sz w:val="20"/>
                <w:szCs w:val="20"/>
                <w:color w:val="auto"/>
              </w:rPr>
            </w:pPr>
            <w:r>
              <w:rPr>
                <w:rFonts w:ascii="Arial" w:cs="Arial" w:eastAsia="Arial" w:hAnsi="Arial"/>
                <w:sz w:val="14"/>
                <w:szCs w:val="14"/>
                <w:color w:val="auto"/>
              </w:rPr>
              <w:t>performance.</w:t>
            </w:r>
          </w:p>
        </w:tc>
        <w:tc>
          <w:tcPr>
            <w:tcW w:w="3020" w:type="dxa"/>
            <w:vAlign w:val="bottom"/>
            <w:gridSpan w:val="2"/>
            <w:vMerge w:val="restart"/>
          </w:tcPr>
          <w:p>
            <w:pPr>
              <w:ind w:left="100"/>
              <w:spacing w:after="0"/>
              <w:rPr>
                <w:sz w:val="20"/>
                <w:szCs w:val="20"/>
                <w:color w:val="auto"/>
              </w:rPr>
            </w:pPr>
            <w:r>
              <w:rPr>
                <w:rFonts w:ascii="Arial" w:cs="Arial" w:eastAsia="Arial" w:hAnsi="Arial"/>
                <w:sz w:val="14"/>
                <w:szCs w:val="14"/>
                <w:color w:val="auto"/>
              </w:rPr>
              <w:t>Measures used to determine annual</w:t>
            </w:r>
          </w:p>
        </w:tc>
        <w:tc>
          <w:tcPr>
            <w:tcW w:w="16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Arial" w:cs="Arial" w:eastAsia="Arial" w:hAnsi="Arial"/>
                <w:sz w:val="14"/>
                <w:szCs w:val="14"/>
                <w:color w:val="auto"/>
              </w:rPr>
              <w:t>individual limit under the Pool Plan is</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tcPr>
          <w:p>
            <w:pPr>
              <w:ind w:left="60"/>
              <w:spacing w:after="0" w:line="149" w:lineRule="exact"/>
              <w:rPr>
                <w:sz w:val="20"/>
                <w:szCs w:val="20"/>
                <w:color w:val="auto"/>
              </w:rPr>
            </w:pPr>
            <w:r>
              <w:rPr>
                <w:rFonts w:ascii="Arial" w:cs="Arial" w:eastAsia="Arial" w:hAnsi="Arial"/>
                <w:sz w:val="14"/>
                <w:szCs w:val="14"/>
                <w:color w:val="auto"/>
              </w:rPr>
              <w:t>$5 million, which was less than his</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020" w:type="dxa"/>
            <w:vAlign w:val="bottom"/>
            <w:gridSpan w:val="2"/>
          </w:tcPr>
          <w:p>
            <w:pPr>
              <w:ind w:left="100"/>
              <w:spacing w:after="0"/>
              <w:rPr>
                <w:sz w:val="20"/>
                <w:szCs w:val="20"/>
                <w:color w:val="auto"/>
              </w:rPr>
            </w:pPr>
            <w:r>
              <w:rPr>
                <w:rFonts w:ascii="Arial" w:cs="Arial" w:eastAsia="Arial" w:hAnsi="Arial"/>
                <w:sz w:val="14"/>
                <w:szCs w:val="14"/>
                <w:color w:val="auto"/>
              </w:rPr>
              <w:t>incentive for NEOs in 2017:</w:t>
            </w:r>
          </w:p>
        </w:tc>
        <w:tc>
          <w:tcPr>
            <w:tcW w:w="160" w:type="dxa"/>
            <w:vAlign w:val="bottom"/>
          </w:tcPr>
          <w:p>
            <w:pPr>
              <w:spacing w:after="0"/>
              <w:rPr>
                <w:sz w:val="17"/>
                <w:szCs w:val="17"/>
                <w:color w:val="auto"/>
              </w:rPr>
            </w:pPr>
          </w:p>
        </w:tc>
        <w:tc>
          <w:tcPr>
            <w:tcW w:w="2680" w:type="dxa"/>
            <w:vAlign w:val="bottom"/>
          </w:tcPr>
          <w:p>
            <w:pPr>
              <w:ind w:left="60"/>
              <w:spacing w:after="0"/>
              <w:rPr>
                <w:sz w:val="20"/>
                <w:szCs w:val="20"/>
                <w:color w:val="auto"/>
              </w:rPr>
            </w:pPr>
            <w:r>
              <w:rPr>
                <w:rFonts w:ascii="Arial" w:cs="Arial" w:eastAsia="Arial" w:hAnsi="Arial"/>
                <w:sz w:val="14"/>
                <w:szCs w:val="14"/>
                <w:color w:val="auto"/>
              </w:rPr>
              <w:t>share of the Pool.</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5D89B4"/>
              </w:rPr>
              <w:t>•</w:t>
            </w:r>
          </w:p>
        </w:tc>
        <w:tc>
          <w:tcPr>
            <w:tcW w:w="2840" w:type="dxa"/>
            <w:vAlign w:val="bottom"/>
          </w:tcPr>
          <w:p>
            <w:pPr>
              <w:ind w:left="40"/>
              <w:spacing w:after="0"/>
              <w:rPr>
                <w:sz w:val="20"/>
                <w:szCs w:val="20"/>
                <w:color w:val="auto"/>
              </w:rPr>
            </w:pPr>
            <w:r>
              <w:rPr>
                <w:rFonts w:ascii="Arial" w:cs="Arial" w:eastAsia="Arial" w:hAnsi="Arial"/>
                <w:sz w:val="14"/>
                <w:szCs w:val="14"/>
                <w:color w:val="auto"/>
              </w:rPr>
              <w:t>The annual incentives for the NEOs were</w:t>
            </w:r>
          </w:p>
        </w:tc>
        <w:tc>
          <w:tcPr>
            <w:tcW w:w="160" w:type="dxa"/>
            <w:vAlign w:val="bottom"/>
          </w:tcPr>
          <w:p>
            <w:pPr>
              <w:ind w:left="60"/>
              <w:spacing w:after="0"/>
              <w:rPr>
                <w:sz w:val="20"/>
                <w:szCs w:val="20"/>
                <w:color w:val="auto"/>
              </w:rPr>
            </w:pPr>
            <w:r>
              <w:rPr>
                <w:rFonts w:ascii="Arial" w:cs="Arial" w:eastAsia="Arial" w:hAnsi="Arial"/>
                <w:sz w:val="14"/>
                <w:szCs w:val="14"/>
                <w:color w:val="5D89B4"/>
              </w:rPr>
              <w:t>•</w:t>
            </w:r>
          </w:p>
        </w:tc>
        <w:tc>
          <w:tcPr>
            <w:tcW w:w="2680" w:type="dxa"/>
            <w:vAlign w:val="bottom"/>
          </w:tcPr>
          <w:p>
            <w:pPr>
              <w:ind w:left="40"/>
              <w:spacing w:after="0"/>
              <w:rPr>
                <w:sz w:val="20"/>
                <w:szCs w:val="20"/>
                <w:color w:val="auto"/>
              </w:rPr>
            </w:pPr>
            <w:r>
              <w:rPr>
                <w:rFonts w:ascii="Arial" w:cs="Arial" w:eastAsia="Arial" w:hAnsi="Arial"/>
                <w:sz w:val="14"/>
                <w:szCs w:val="14"/>
                <w:color w:val="auto"/>
              </w:rPr>
              <w:t>Each participant in the Pool Plan</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tcPr>
          <w:p>
            <w:pPr>
              <w:ind w:left="60"/>
              <w:spacing w:after="0"/>
              <w:rPr>
                <w:sz w:val="20"/>
                <w:szCs w:val="20"/>
                <w:color w:val="auto"/>
              </w:rPr>
            </w:pPr>
            <w:r>
              <w:rPr>
                <w:rFonts w:ascii="Arial" w:cs="Arial" w:eastAsia="Arial" w:hAnsi="Arial"/>
                <w:sz w:val="14"/>
                <w:szCs w:val="14"/>
                <w:color w:val="auto"/>
              </w:rPr>
              <w:t>made under the ManpowerGroup Inc.</w:t>
            </w:r>
          </w:p>
        </w:tc>
        <w:tc>
          <w:tcPr>
            <w:tcW w:w="16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Arial" w:cs="Arial" w:eastAsia="Arial" w:hAnsi="Arial"/>
                <w:sz w:val="14"/>
                <w:szCs w:val="14"/>
                <w:color w:val="auto"/>
              </w:rPr>
              <w:t>received an incentive significantly below</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tcPr>
          <w:p>
            <w:pPr>
              <w:ind w:left="60"/>
              <w:spacing w:after="0"/>
              <w:rPr>
                <w:sz w:val="20"/>
                <w:szCs w:val="20"/>
                <w:color w:val="auto"/>
              </w:rPr>
            </w:pPr>
            <w:r>
              <w:rPr>
                <w:rFonts w:ascii="Arial" w:cs="Arial" w:eastAsia="Arial" w:hAnsi="Arial"/>
                <w:sz w:val="14"/>
                <w:szCs w:val="14"/>
                <w:color w:val="auto"/>
              </w:rPr>
              <w:t>Corporate Senior Management Annual</w:t>
            </w:r>
          </w:p>
        </w:tc>
        <w:tc>
          <w:tcPr>
            <w:tcW w:w="16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Arial" w:cs="Arial" w:eastAsia="Arial" w:hAnsi="Arial"/>
                <w:sz w:val="14"/>
                <w:szCs w:val="14"/>
                <w:color w:val="auto"/>
              </w:rPr>
              <w:t>his or her allocated portion of the Pool.</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40" w:type="dxa"/>
            <w:vAlign w:val="bottom"/>
          </w:tcPr>
          <w:p>
            <w:pPr>
              <w:ind w:left="60"/>
              <w:spacing w:after="0" w:line="135" w:lineRule="exact"/>
              <w:rPr>
                <w:sz w:val="20"/>
                <w:szCs w:val="20"/>
                <w:color w:val="auto"/>
              </w:rPr>
            </w:pPr>
            <w:r>
              <w:rPr>
                <w:rFonts w:ascii="Arial" w:cs="Arial" w:eastAsia="Arial" w:hAnsi="Arial"/>
                <w:sz w:val="14"/>
                <w:szCs w:val="14"/>
                <w:color w:val="auto"/>
              </w:rPr>
              <w:t>Incentive Pool Plan (“Pool Plan”). The</w:t>
            </w:r>
          </w:p>
        </w:tc>
        <w:tc>
          <w:tcPr>
            <w:tcW w:w="2840" w:type="dxa"/>
            <w:vAlign w:val="bottom"/>
            <w:gridSpan w:val="2"/>
            <w:vMerge w:val="restart"/>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EPS and ROIC levels achieved</w:t>
            </w: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40" w:type="dxa"/>
            <w:vAlign w:val="bottom"/>
            <w:vMerge w:val="restart"/>
          </w:tcPr>
          <w:p>
            <w:pPr>
              <w:ind w:left="60"/>
              <w:spacing w:after="0"/>
              <w:rPr>
                <w:sz w:val="20"/>
                <w:szCs w:val="20"/>
                <w:color w:val="auto"/>
              </w:rPr>
            </w:pPr>
            <w:r>
              <w:rPr>
                <w:rFonts w:ascii="Arial" w:cs="Arial" w:eastAsia="Arial" w:hAnsi="Arial"/>
                <w:sz w:val="14"/>
                <w:szCs w:val="14"/>
                <w:color w:val="auto"/>
              </w:rPr>
              <w:t>maximum aggregate annual incentive</w:t>
            </w:r>
          </w:p>
        </w:tc>
        <w:tc>
          <w:tcPr>
            <w:tcW w:w="2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680" w:type="dxa"/>
            <w:vAlign w:val="bottom"/>
            <w:vMerge w:val="restart"/>
          </w:tcPr>
          <w:p>
            <w:pPr>
              <w:ind w:left="60"/>
              <w:spacing w:after="0"/>
              <w:rPr>
                <w:sz w:val="20"/>
                <w:szCs w:val="20"/>
                <w:color w:val="auto"/>
              </w:rPr>
            </w:pPr>
            <w:r>
              <w:rPr>
                <w:rFonts w:ascii="Arial" w:cs="Arial" w:eastAsia="Arial" w:hAnsi="Arial"/>
                <w:sz w:val="14"/>
                <w:szCs w:val="14"/>
                <w:color w:val="auto"/>
              </w:rPr>
              <w:t>were above the target levels.</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tcPr>
          <w:p>
            <w:pPr>
              <w:ind w:left="60"/>
              <w:spacing w:after="0"/>
              <w:rPr>
                <w:sz w:val="20"/>
                <w:szCs w:val="20"/>
                <w:color w:val="auto"/>
              </w:rPr>
            </w:pPr>
            <w:r>
              <w:rPr>
                <w:rFonts w:ascii="Arial" w:cs="Arial" w:eastAsia="Arial" w:hAnsi="Arial"/>
                <w:sz w:val="14"/>
                <w:szCs w:val="14"/>
                <w:color w:val="auto"/>
              </w:rPr>
              <w:t>earned could not exceed a certain</w:t>
            </w:r>
          </w:p>
        </w:tc>
        <w:tc>
          <w:tcPr>
            <w:tcW w:w="16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tcPr>
          <w:p>
            <w:pPr>
              <w:ind w:left="60"/>
              <w:spacing w:after="0"/>
              <w:rPr>
                <w:sz w:val="20"/>
                <w:szCs w:val="20"/>
                <w:color w:val="auto"/>
              </w:rPr>
            </w:pPr>
            <w:r>
              <w:rPr>
                <w:rFonts w:ascii="Arial" w:cs="Arial" w:eastAsia="Arial" w:hAnsi="Arial"/>
                <w:sz w:val="14"/>
                <w:szCs w:val="14"/>
                <w:color w:val="auto"/>
              </w:rPr>
              <w:t>percentage of gross profit (the “Pool”).</w:t>
            </w:r>
          </w:p>
        </w:tc>
        <w:tc>
          <w:tcPr>
            <w:tcW w:w="160" w:type="dxa"/>
            <w:vAlign w:val="bottom"/>
          </w:tcPr>
          <w:p>
            <w:pPr>
              <w:ind w:left="60"/>
              <w:spacing w:after="0"/>
              <w:rPr>
                <w:sz w:val="20"/>
                <w:szCs w:val="20"/>
                <w:color w:val="auto"/>
              </w:rPr>
            </w:pPr>
            <w:r>
              <w:rPr>
                <w:rFonts w:ascii="Arial" w:cs="Arial" w:eastAsia="Arial" w:hAnsi="Arial"/>
                <w:sz w:val="14"/>
                <w:szCs w:val="14"/>
                <w:color w:val="5D89B4"/>
              </w:rPr>
              <w:t>•</w:t>
            </w:r>
          </w:p>
        </w:tc>
        <w:tc>
          <w:tcPr>
            <w:tcW w:w="2680" w:type="dxa"/>
            <w:vAlign w:val="bottom"/>
          </w:tcPr>
          <w:p>
            <w:pPr>
              <w:ind w:left="40"/>
              <w:spacing w:after="0"/>
              <w:rPr>
                <w:sz w:val="20"/>
                <w:szCs w:val="20"/>
                <w:color w:val="auto"/>
              </w:rPr>
            </w:pPr>
            <w:r>
              <w:rPr>
                <w:rFonts w:ascii="Arial" w:cs="Arial" w:eastAsia="Arial" w:hAnsi="Arial"/>
                <w:sz w:val="14"/>
                <w:szCs w:val="14"/>
                <w:color w:val="auto"/>
              </w:rPr>
              <w:t>The AOUP level for Mr. Chandrashekar</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tcPr>
          <w:p>
            <w:pPr>
              <w:ind w:left="60"/>
              <w:spacing w:after="0"/>
              <w:rPr>
                <w:sz w:val="20"/>
                <w:szCs w:val="20"/>
                <w:color w:val="auto"/>
              </w:rPr>
            </w:pPr>
            <w:r>
              <w:rPr>
                <w:rFonts w:ascii="Arial" w:cs="Arial" w:eastAsia="Arial" w:hAnsi="Arial"/>
                <w:sz w:val="14"/>
                <w:szCs w:val="14"/>
                <w:color w:val="auto"/>
              </w:rPr>
              <w:t>Each NEO in the Pool Plan could not earn</w:t>
            </w:r>
          </w:p>
        </w:tc>
        <w:tc>
          <w:tcPr>
            <w:tcW w:w="16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Arial" w:cs="Arial" w:eastAsia="Arial" w:hAnsi="Arial"/>
                <w:sz w:val="14"/>
                <w:szCs w:val="14"/>
                <w:color w:val="auto"/>
              </w:rPr>
              <w:t>was between the target and outstanding</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tcPr>
          <w:p>
            <w:pPr>
              <w:ind w:left="60"/>
              <w:spacing w:after="0"/>
              <w:rPr>
                <w:sz w:val="20"/>
                <w:szCs w:val="20"/>
                <w:color w:val="auto"/>
              </w:rPr>
            </w:pPr>
            <w:r>
              <w:rPr>
                <w:rFonts w:ascii="Arial" w:cs="Arial" w:eastAsia="Arial" w:hAnsi="Arial"/>
                <w:sz w:val="14"/>
                <w:szCs w:val="14"/>
                <w:color w:val="auto"/>
              </w:rPr>
              <w:t>more than his or her allocated portion of</w:t>
            </w:r>
          </w:p>
        </w:tc>
        <w:tc>
          <w:tcPr>
            <w:tcW w:w="16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Arial" w:cs="Arial" w:eastAsia="Arial" w:hAnsi="Arial"/>
                <w:sz w:val="14"/>
                <w:szCs w:val="14"/>
                <w:color w:val="auto"/>
              </w:rPr>
              <w:t>level.</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tcPr>
          <w:p>
            <w:pPr>
              <w:ind w:left="60"/>
              <w:spacing w:after="0"/>
              <w:rPr>
                <w:sz w:val="20"/>
                <w:szCs w:val="20"/>
                <w:color w:val="auto"/>
              </w:rPr>
            </w:pPr>
            <w:r>
              <w:rPr>
                <w:rFonts w:ascii="Arial" w:cs="Arial" w:eastAsia="Arial" w:hAnsi="Arial"/>
                <w:sz w:val="14"/>
                <w:szCs w:val="14"/>
                <w:color w:val="auto"/>
              </w:rPr>
              <w:t>the Pool. The annual incentive was further</w:t>
            </w:r>
          </w:p>
        </w:tc>
        <w:tc>
          <w:tcPr>
            <w:tcW w:w="2840" w:type="dxa"/>
            <w:vAlign w:val="bottom"/>
            <w:gridSpan w:val="2"/>
            <w:vMerge w:val="restart"/>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Each of the NEOs received a</w:t>
            </w: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40" w:type="dxa"/>
            <w:vAlign w:val="bottom"/>
            <w:vMerge w:val="restart"/>
          </w:tcPr>
          <w:p>
            <w:pPr>
              <w:ind w:left="60"/>
              <w:spacing w:after="0"/>
              <w:rPr>
                <w:sz w:val="20"/>
                <w:szCs w:val="20"/>
                <w:color w:val="auto"/>
              </w:rPr>
            </w:pPr>
            <w:r>
              <w:rPr>
                <w:rFonts w:ascii="Arial" w:cs="Arial" w:eastAsia="Arial" w:hAnsi="Arial"/>
                <w:sz w:val="14"/>
                <w:szCs w:val="14"/>
                <w:color w:val="auto"/>
              </w:rPr>
              <w:t>limited by the Committee’s negative</w:t>
            </w:r>
          </w:p>
        </w:tc>
        <w:tc>
          <w:tcPr>
            <w:tcW w:w="2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80" w:type="dxa"/>
            <w:vAlign w:val="bottom"/>
            <w:vMerge w:val="restart"/>
          </w:tcPr>
          <w:p>
            <w:pPr>
              <w:ind w:left="60"/>
              <w:spacing w:after="0"/>
              <w:rPr>
                <w:sz w:val="20"/>
                <w:szCs w:val="20"/>
                <w:color w:val="auto"/>
              </w:rPr>
            </w:pPr>
            <w:r>
              <w:rPr>
                <w:rFonts w:ascii="Arial" w:cs="Arial" w:eastAsia="Arial" w:hAnsi="Arial"/>
                <w:sz w:val="14"/>
                <w:szCs w:val="14"/>
                <w:color w:val="auto"/>
              </w:rPr>
              <w:t>percentage of their incentive for</w:t>
            </w: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40" w:type="dxa"/>
            <w:vAlign w:val="bottom"/>
            <w:vMerge w:val="restart"/>
          </w:tcPr>
          <w:p>
            <w:pPr>
              <w:ind w:left="60"/>
              <w:spacing w:after="0"/>
              <w:rPr>
                <w:sz w:val="20"/>
                <w:szCs w:val="20"/>
                <w:color w:val="auto"/>
              </w:rPr>
            </w:pPr>
            <w:r>
              <w:rPr>
                <w:rFonts w:ascii="Arial" w:cs="Arial" w:eastAsia="Arial" w:hAnsi="Arial"/>
                <w:sz w:val="14"/>
                <w:szCs w:val="14"/>
                <w:color w:val="auto"/>
              </w:rPr>
              <w:t>discretion.</w:t>
            </w:r>
          </w:p>
        </w:tc>
        <w:tc>
          <w:tcPr>
            <w:tcW w:w="16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9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80" w:type="dxa"/>
            <w:vAlign w:val="bottom"/>
            <w:vMerge w:val="restart"/>
          </w:tcPr>
          <w:p>
            <w:pPr>
              <w:ind w:left="60"/>
              <w:spacing w:after="0"/>
              <w:rPr>
                <w:sz w:val="20"/>
                <w:szCs w:val="20"/>
                <w:color w:val="auto"/>
              </w:rPr>
            </w:pPr>
            <w:r>
              <w:rPr>
                <w:rFonts w:ascii="Arial" w:cs="Arial" w:eastAsia="Arial" w:hAnsi="Arial"/>
                <w:sz w:val="14"/>
                <w:szCs w:val="14"/>
                <w:color w:val="auto"/>
              </w:rPr>
              <w:t>achieving a specified level of the</w:t>
            </w:r>
          </w:p>
        </w:tc>
        <w:tc>
          <w:tcPr>
            <w:tcW w:w="0" w:type="dxa"/>
            <w:vAlign w:val="bottom"/>
          </w:tcPr>
          <w:p>
            <w:pPr>
              <w:spacing w:after="0"/>
              <w:rPr>
                <w:sz w:val="1"/>
                <w:szCs w:val="1"/>
                <w:color w:val="auto"/>
              </w:rPr>
            </w:pPr>
          </w:p>
        </w:tc>
      </w:tr>
      <w:tr>
        <w:trPr>
          <w:trHeight w:val="49"/>
        </w:trPr>
        <w:tc>
          <w:tcPr>
            <w:tcW w:w="19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80" w:type="dxa"/>
            <w:vAlign w:val="bottom"/>
            <w:vMerge w:val="restart"/>
          </w:tcPr>
          <w:p>
            <w:pPr>
              <w:ind w:left="100"/>
              <w:spacing w:after="0"/>
              <w:rPr>
                <w:sz w:val="20"/>
                <w:szCs w:val="20"/>
                <w:color w:val="auto"/>
              </w:rPr>
            </w:pPr>
            <w:r>
              <w:rPr>
                <w:rFonts w:ascii="Arial" w:cs="Arial" w:eastAsia="Arial" w:hAnsi="Arial"/>
                <w:sz w:val="14"/>
                <w:szCs w:val="14"/>
                <w:color w:val="5D89B4"/>
              </w:rPr>
              <w:t>•</w:t>
            </w:r>
          </w:p>
        </w:tc>
        <w:tc>
          <w:tcPr>
            <w:tcW w:w="2840" w:type="dxa"/>
            <w:vAlign w:val="bottom"/>
            <w:vMerge w:val="restart"/>
          </w:tcPr>
          <w:p>
            <w:pPr>
              <w:ind w:left="40"/>
              <w:spacing w:after="0"/>
              <w:rPr>
                <w:sz w:val="20"/>
                <w:szCs w:val="20"/>
                <w:color w:val="auto"/>
              </w:rPr>
            </w:pPr>
            <w:r>
              <w:rPr>
                <w:rFonts w:ascii="Arial" w:cs="Arial" w:eastAsia="Arial" w:hAnsi="Arial"/>
                <w:sz w:val="14"/>
                <w:szCs w:val="14"/>
                <w:color w:val="auto"/>
              </w:rPr>
              <w:t>The Committee further used performance</w:t>
            </w:r>
          </w:p>
        </w:tc>
        <w:tc>
          <w:tcPr>
            <w:tcW w:w="16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2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tcPr>
          <w:p>
            <w:pPr>
              <w:ind w:left="60"/>
              <w:spacing w:after="0" w:line="149" w:lineRule="exact"/>
              <w:rPr>
                <w:sz w:val="20"/>
                <w:szCs w:val="20"/>
                <w:color w:val="auto"/>
              </w:rPr>
            </w:pPr>
            <w:r>
              <w:rPr>
                <w:rFonts w:ascii="Arial" w:cs="Arial" w:eastAsia="Arial" w:hAnsi="Arial"/>
                <w:sz w:val="14"/>
                <w:szCs w:val="14"/>
                <w:color w:val="auto"/>
              </w:rPr>
              <w:t>operating objectives.</w:t>
            </w:r>
          </w:p>
        </w:tc>
        <w:tc>
          <w:tcPr>
            <w:tcW w:w="0" w:type="dxa"/>
            <w:vAlign w:val="bottom"/>
          </w:tcPr>
          <w:p>
            <w:pPr>
              <w:spacing w:after="0"/>
              <w:rPr>
                <w:sz w:val="1"/>
                <w:szCs w:val="1"/>
                <w:color w:val="auto"/>
              </w:rPr>
            </w:pPr>
          </w:p>
        </w:tc>
      </w:tr>
      <w:tr>
        <w:trPr>
          <w:trHeight w:val="180"/>
        </w:trPr>
        <w:tc>
          <w:tcPr>
            <w:tcW w:w="19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ind w:left="60"/>
              <w:spacing w:after="0"/>
              <w:rPr>
                <w:sz w:val="20"/>
                <w:szCs w:val="20"/>
                <w:color w:val="auto"/>
              </w:rPr>
            </w:pPr>
            <w:r>
              <w:rPr>
                <w:rFonts w:ascii="Arial" w:cs="Arial" w:eastAsia="Arial" w:hAnsi="Arial"/>
                <w:sz w:val="14"/>
                <w:szCs w:val="14"/>
                <w:color w:val="auto"/>
              </w:rPr>
              <w:t>metrics and individual operating objectives</w:t>
            </w:r>
          </w:p>
        </w:tc>
        <w:tc>
          <w:tcPr>
            <w:tcW w:w="160" w:type="dxa"/>
            <w:vAlign w:val="bottom"/>
          </w:tcPr>
          <w:p>
            <w:pPr>
              <w:ind w:left="60"/>
              <w:spacing w:after="0"/>
              <w:rPr>
                <w:sz w:val="20"/>
                <w:szCs w:val="20"/>
                <w:color w:val="auto"/>
              </w:rPr>
            </w:pPr>
            <w:r>
              <w:rPr>
                <w:rFonts w:ascii="Arial" w:cs="Arial" w:eastAsia="Arial" w:hAnsi="Arial"/>
                <w:sz w:val="14"/>
                <w:szCs w:val="14"/>
                <w:color w:val="5D89B4"/>
              </w:rPr>
              <w:t>•</w:t>
            </w:r>
          </w:p>
        </w:tc>
        <w:tc>
          <w:tcPr>
            <w:tcW w:w="2680" w:type="dxa"/>
            <w:vAlign w:val="bottom"/>
          </w:tcPr>
          <w:p>
            <w:pPr>
              <w:ind w:left="40"/>
              <w:spacing w:after="0"/>
              <w:rPr>
                <w:sz w:val="20"/>
                <w:szCs w:val="20"/>
                <w:color w:val="auto"/>
              </w:rPr>
            </w:pPr>
            <w:r>
              <w:rPr>
                <w:rFonts w:ascii="Arial" w:cs="Arial" w:eastAsia="Arial" w:hAnsi="Arial"/>
                <w:sz w:val="14"/>
                <w:szCs w:val="14"/>
                <w:color w:val="auto"/>
              </w:rPr>
              <w:t>See page 40 for more information.</w:t>
            </w:r>
          </w:p>
        </w:tc>
        <w:tc>
          <w:tcPr>
            <w:tcW w:w="0" w:type="dxa"/>
            <w:vAlign w:val="bottom"/>
          </w:tcPr>
          <w:p>
            <w:pPr>
              <w:spacing w:after="0"/>
              <w:rPr>
                <w:sz w:val="1"/>
                <w:szCs w:val="1"/>
                <w:color w:val="auto"/>
              </w:rPr>
            </w:pPr>
          </w:p>
        </w:tc>
      </w:tr>
    </w:tbl>
    <w:p>
      <w:pPr>
        <w:ind w:left="5620"/>
        <w:spacing w:after="0"/>
        <w:rPr>
          <w:sz w:val="20"/>
          <w:szCs w:val="20"/>
          <w:color w:val="auto"/>
        </w:rPr>
      </w:pPr>
      <w:r>
        <w:rPr>
          <w:rFonts w:ascii="Arial" w:cs="Arial" w:eastAsia="Arial" w:hAnsi="Arial"/>
          <w:sz w:val="14"/>
          <w:szCs w:val="14"/>
          <w:color w:val="auto"/>
        </w:rPr>
        <w:t>to determine the actual payout to the</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NEOs.</w:t>
      </w:r>
    </w:p>
    <w:p>
      <w:pPr>
        <w:spacing w:after="0" w:line="51" w:lineRule="exact"/>
        <w:rPr>
          <w:sz w:val="20"/>
          <w:szCs w:val="20"/>
          <w:color w:val="auto"/>
        </w:rPr>
      </w:pPr>
    </w:p>
    <w:p>
      <w:pPr>
        <w:ind w:left="54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performance metrics used to</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determine NEOs annual incentive were:</w:t>
      </w:r>
    </w:p>
    <w:p>
      <w:pPr>
        <w:spacing w:after="0" w:line="51" w:lineRule="exact"/>
        <w:rPr>
          <w:sz w:val="20"/>
          <w:szCs w:val="20"/>
          <w:color w:val="auto"/>
        </w:rPr>
      </w:pPr>
    </w:p>
    <w:p>
      <w:pPr>
        <w:ind w:left="562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EPS and ROIC for all NEOs.</w:t>
      </w:r>
    </w:p>
    <w:p>
      <w:pPr>
        <w:spacing w:after="0" w:line="69" w:lineRule="exact"/>
        <w:rPr>
          <w:sz w:val="20"/>
          <w:szCs w:val="20"/>
          <w:color w:val="auto"/>
        </w:rPr>
      </w:pPr>
    </w:p>
    <w:p>
      <w:pPr>
        <w:ind w:left="562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Adjusted Operating Unit Profit (AOUP)</w:t>
      </w:r>
    </w:p>
    <w:p>
      <w:pPr>
        <w:spacing w:after="0" w:line="19"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for Mr. Chandrashekar, who has</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responsibility for an operating unit (i.e.</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for a geographical region). See page 42</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for the definition of AOUP.</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32</w:t>
      </w:r>
    </w:p>
    <w:p>
      <w:pPr>
        <w:sectPr>
          <w:pgSz w:w="11900" w:h="16838" w:orient="portrait"/>
          <w:cols w:equalWidth="0" w:num="1">
            <w:col w:w="11240"/>
          </w:cols>
          <w:pgMar w:left="240" w:top="455" w:right="4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42" w:lineRule="exact"/>
        <w:rPr>
          <w:sz w:val="20"/>
          <w:szCs w:val="20"/>
          <w:color w:val="auto"/>
        </w:rPr>
      </w:pPr>
    </w:p>
    <w:tbl>
      <w:tblPr>
        <w:tblLayout w:type="fixed"/>
        <w:tblInd w:w="230" w:type="dxa"/>
        <w:tblCellMar>
          <w:top w:w="0" w:type="dxa"/>
          <w:left w:w="0" w:type="dxa"/>
          <w:bottom w:w="0" w:type="dxa"/>
          <w:right w:w="0" w:type="dxa"/>
        </w:tblCellMar>
      </w:tblPr>
      <w:tr>
        <w:trPr>
          <w:trHeight w:val="296"/>
        </w:trPr>
        <w:tc>
          <w:tcPr>
            <w:tcW w:w="1960" w:type="dxa"/>
            <w:vAlign w:val="bottom"/>
            <w:tcBorders>
              <w:top w:val="single" w:sz="8" w:color="auto"/>
              <w:left w:val="single" w:sz="8" w:color="auto"/>
              <w:bottom w:val="single" w:sz="8" w:color="auto"/>
            </w:tcBorders>
            <w:shd w:val="clear" w:color="auto" w:fill="9DB8D2"/>
          </w:tcPr>
          <w:p>
            <w:pPr>
              <w:ind w:left="220"/>
              <w:spacing w:after="0"/>
              <w:rPr>
                <w:sz w:val="20"/>
                <w:szCs w:val="20"/>
                <w:color w:val="auto"/>
              </w:rPr>
            </w:pPr>
            <w:r>
              <w:rPr>
                <w:rFonts w:ascii="Arial" w:cs="Arial" w:eastAsia="Arial" w:hAnsi="Arial"/>
                <w:sz w:val="14"/>
                <w:szCs w:val="14"/>
                <w:b w:val="1"/>
                <w:bCs w:val="1"/>
                <w:color w:val="auto"/>
              </w:rPr>
              <w:t>Compensation Element</w:t>
            </w:r>
          </w:p>
        </w:tc>
        <w:tc>
          <w:tcPr>
            <w:tcW w:w="3220" w:type="dxa"/>
            <w:vAlign w:val="bottom"/>
            <w:tcBorders>
              <w:top w:val="single" w:sz="8" w:color="auto"/>
              <w:bottom w:val="single" w:sz="8" w:color="auto"/>
            </w:tcBorders>
            <w:shd w:val="clear" w:color="auto" w:fill="9DB8D2"/>
          </w:tcPr>
          <w:p>
            <w:pPr>
              <w:ind w:left="100"/>
              <w:spacing w:after="0"/>
              <w:rPr>
                <w:sz w:val="20"/>
                <w:szCs w:val="20"/>
                <w:color w:val="auto"/>
              </w:rPr>
            </w:pPr>
            <w:r>
              <w:rPr>
                <w:rFonts w:ascii="Arial" w:cs="Arial" w:eastAsia="Arial" w:hAnsi="Arial"/>
                <w:sz w:val="14"/>
                <w:szCs w:val="14"/>
                <w:b w:val="1"/>
                <w:bCs w:val="1"/>
                <w:color w:val="auto"/>
              </w:rPr>
              <w:t>Key Characteristics</w:t>
            </w:r>
          </w:p>
        </w:tc>
        <w:tc>
          <w:tcPr>
            <w:tcW w:w="2980" w:type="dxa"/>
            <w:vAlign w:val="bottom"/>
            <w:tcBorders>
              <w:top w:val="single" w:sz="8" w:color="auto"/>
              <w:bottom w:val="single" w:sz="8" w:color="auto"/>
            </w:tcBorders>
            <w:gridSpan w:val="2"/>
            <w:shd w:val="clear" w:color="auto" w:fill="9DB8D2"/>
          </w:tcPr>
          <w:p>
            <w:pPr>
              <w:ind w:left="80"/>
              <w:spacing w:after="0"/>
              <w:rPr>
                <w:sz w:val="20"/>
                <w:szCs w:val="20"/>
                <w:color w:val="auto"/>
              </w:rPr>
            </w:pPr>
            <w:r>
              <w:rPr>
                <w:rFonts w:ascii="Arial" w:cs="Arial" w:eastAsia="Arial" w:hAnsi="Arial"/>
                <w:sz w:val="14"/>
                <w:szCs w:val="14"/>
                <w:b w:val="1"/>
                <w:bCs w:val="1"/>
                <w:color w:val="auto"/>
              </w:rPr>
              <w:t>Objective and Determination</w:t>
            </w:r>
          </w:p>
        </w:tc>
        <w:tc>
          <w:tcPr>
            <w:tcW w:w="2880" w:type="dxa"/>
            <w:vAlign w:val="bottom"/>
            <w:tcBorders>
              <w:top w:val="single" w:sz="8" w:color="auto"/>
              <w:bottom w:val="single" w:sz="8" w:color="auto"/>
              <w:right w:val="single" w:sz="8" w:color="auto"/>
            </w:tcBorders>
            <w:gridSpan w:val="2"/>
            <w:shd w:val="clear" w:color="auto" w:fill="9DB8D2"/>
          </w:tcPr>
          <w:p>
            <w:pPr>
              <w:ind w:left="80"/>
              <w:spacing w:after="0"/>
              <w:rPr>
                <w:sz w:val="20"/>
                <w:szCs w:val="20"/>
                <w:color w:val="auto"/>
              </w:rPr>
            </w:pPr>
            <w:r>
              <w:rPr>
                <w:rFonts w:ascii="Arial" w:cs="Arial" w:eastAsia="Arial" w:hAnsi="Arial"/>
                <w:sz w:val="14"/>
                <w:szCs w:val="14"/>
                <w:b w:val="1"/>
                <w:bCs w:val="1"/>
                <w:color w:val="auto"/>
              </w:rPr>
              <w:t>2017 Decisions</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tcBorders>
          </w:tcPr>
          <w:p>
            <w:pPr>
              <w:ind w:left="140"/>
              <w:spacing w:after="0" w:line="141" w:lineRule="exact"/>
              <w:rPr>
                <w:sz w:val="20"/>
                <w:szCs w:val="20"/>
                <w:color w:val="auto"/>
              </w:rPr>
            </w:pPr>
            <w:r>
              <w:rPr>
                <w:rFonts w:ascii="Arial" w:cs="Arial" w:eastAsia="Arial" w:hAnsi="Arial"/>
                <w:sz w:val="14"/>
                <w:szCs w:val="14"/>
                <w:b w:val="1"/>
                <w:bCs w:val="1"/>
                <w:color w:val="auto"/>
              </w:rPr>
              <w:t>Performance Share</w:t>
            </w:r>
          </w:p>
        </w:tc>
        <w:tc>
          <w:tcPr>
            <w:tcW w:w="3220" w:type="dxa"/>
            <w:vAlign w:val="bottom"/>
          </w:tcPr>
          <w:p>
            <w:pPr>
              <w:ind w:left="100"/>
              <w:spacing w:after="0" w:line="141" w:lineRule="exact"/>
              <w:rPr>
                <w:sz w:val="20"/>
                <w:szCs w:val="20"/>
                <w:color w:val="auto"/>
              </w:rPr>
            </w:pPr>
            <w:r>
              <w:rPr>
                <w:rFonts w:ascii="Arial" w:cs="Arial" w:eastAsia="Arial" w:hAnsi="Arial"/>
                <w:sz w:val="14"/>
                <w:szCs w:val="14"/>
                <w:color w:val="auto"/>
              </w:rPr>
              <w:t>Variable compensation payable in shares of</w:t>
            </w:r>
          </w:p>
        </w:tc>
        <w:tc>
          <w:tcPr>
            <w:tcW w:w="298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Motivate and reward NEOs for performance</w:t>
            </w:r>
          </w:p>
        </w:tc>
        <w:tc>
          <w:tcPr>
            <w:tcW w:w="180" w:type="dxa"/>
            <w:vAlign w:val="bottom"/>
          </w:tcPr>
          <w:p>
            <w:pPr>
              <w:ind w:left="80"/>
              <w:spacing w:after="0" w:line="141" w:lineRule="exact"/>
              <w:rPr>
                <w:sz w:val="20"/>
                <w:szCs w:val="20"/>
                <w:color w:val="auto"/>
              </w:rPr>
            </w:pPr>
            <w:r>
              <w:rPr>
                <w:rFonts w:ascii="Arial" w:cs="Arial" w:eastAsia="Arial" w:hAnsi="Arial"/>
                <w:sz w:val="14"/>
                <w:szCs w:val="14"/>
                <w:color w:val="5D89B4"/>
              </w:rPr>
              <w:t>•</w:t>
            </w:r>
          </w:p>
        </w:tc>
        <w:tc>
          <w:tcPr>
            <w:tcW w:w="2700" w:type="dxa"/>
            <w:vAlign w:val="bottom"/>
            <w:tcBorders>
              <w:right w:val="single" w:sz="8" w:color="auto"/>
            </w:tcBorders>
          </w:tcPr>
          <w:p>
            <w:pPr>
              <w:ind w:left="40"/>
              <w:spacing w:after="0" w:line="141" w:lineRule="exact"/>
              <w:rPr>
                <w:sz w:val="20"/>
                <w:szCs w:val="20"/>
                <w:color w:val="auto"/>
              </w:rPr>
            </w:pPr>
            <w:r>
              <w:rPr>
                <w:rFonts w:ascii="Arial" w:cs="Arial" w:eastAsia="Arial" w:hAnsi="Arial"/>
                <w:sz w:val="14"/>
                <w:szCs w:val="14"/>
                <w:color w:val="auto"/>
              </w:rPr>
              <w:t>In 2017, performance share units</w:t>
            </w:r>
          </w:p>
        </w:tc>
        <w:tc>
          <w:tcPr>
            <w:tcW w:w="0" w:type="dxa"/>
            <w:vAlign w:val="bottom"/>
          </w:tcPr>
          <w:p>
            <w:pPr>
              <w:spacing w:after="0"/>
              <w:rPr>
                <w:sz w:val="1"/>
                <w:szCs w:val="1"/>
                <w:color w:val="auto"/>
              </w:rPr>
            </w:pPr>
          </w:p>
        </w:tc>
      </w:tr>
      <w:tr>
        <w:trPr>
          <w:trHeight w:val="164"/>
        </w:trPr>
        <w:tc>
          <w:tcPr>
            <w:tcW w:w="196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Units</w:t>
            </w:r>
          </w:p>
        </w:tc>
        <w:tc>
          <w:tcPr>
            <w:tcW w:w="3220" w:type="dxa"/>
            <w:vAlign w:val="bottom"/>
          </w:tcPr>
          <w:p>
            <w:pPr>
              <w:ind w:left="100"/>
              <w:spacing w:after="0"/>
              <w:rPr>
                <w:sz w:val="20"/>
                <w:szCs w:val="20"/>
                <w:color w:val="auto"/>
              </w:rPr>
            </w:pPr>
            <w:r>
              <w:rPr>
                <w:rFonts w:ascii="Arial" w:cs="Arial" w:eastAsia="Arial" w:hAnsi="Arial"/>
                <w:sz w:val="14"/>
                <w:szCs w:val="14"/>
                <w:color w:val="auto"/>
              </w:rPr>
              <w:t>stock.</w:t>
            </w:r>
          </w:p>
        </w:tc>
        <w:tc>
          <w:tcPr>
            <w:tcW w:w="2980" w:type="dxa"/>
            <w:vAlign w:val="bottom"/>
            <w:gridSpan w:val="2"/>
          </w:tcPr>
          <w:p>
            <w:pPr>
              <w:ind w:left="80"/>
              <w:spacing w:after="0"/>
              <w:rPr>
                <w:sz w:val="20"/>
                <w:szCs w:val="20"/>
                <w:color w:val="auto"/>
              </w:rPr>
            </w:pPr>
            <w:r>
              <w:rPr>
                <w:rFonts w:ascii="Arial" w:cs="Arial" w:eastAsia="Arial" w:hAnsi="Arial"/>
                <w:sz w:val="14"/>
                <w:szCs w:val="14"/>
                <w:color w:val="auto"/>
              </w:rPr>
              <w:t>against long-term financial objectives to</w:t>
            </w:r>
          </w:p>
        </w:tc>
        <w:tc>
          <w:tcPr>
            <w:tcW w:w="180" w:type="dxa"/>
            <w:vAlign w:val="bottom"/>
          </w:tcPr>
          <w:p>
            <w:pPr>
              <w:spacing w:after="0"/>
              <w:rPr>
                <w:sz w:val="14"/>
                <w:szCs w:val="14"/>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represented approximately 60% of the</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vMerge w:val="restart"/>
          </w:tcPr>
          <w:p>
            <w:pPr>
              <w:ind w:left="100"/>
              <w:spacing w:after="0"/>
              <w:rPr>
                <w:sz w:val="20"/>
                <w:szCs w:val="20"/>
                <w:color w:val="auto"/>
              </w:rPr>
            </w:pPr>
            <w:r>
              <w:rPr>
                <w:rFonts w:ascii="Arial" w:cs="Arial" w:eastAsia="Arial" w:hAnsi="Arial"/>
                <w:sz w:val="14"/>
                <w:szCs w:val="14"/>
                <w:color w:val="auto"/>
              </w:rPr>
              <w:t>The performance share units vest based on</w:t>
            </w:r>
          </w:p>
        </w:tc>
        <w:tc>
          <w:tcPr>
            <w:tcW w:w="2980" w:type="dxa"/>
            <w:vAlign w:val="bottom"/>
            <w:gridSpan w:val="2"/>
          </w:tcPr>
          <w:p>
            <w:pPr>
              <w:ind w:left="80"/>
              <w:spacing w:after="0"/>
              <w:rPr>
                <w:sz w:val="20"/>
                <w:szCs w:val="20"/>
                <w:color w:val="auto"/>
              </w:rPr>
            </w:pPr>
            <w:r>
              <w:rPr>
                <w:rFonts w:ascii="Arial" w:cs="Arial" w:eastAsia="Arial" w:hAnsi="Arial"/>
                <w:sz w:val="14"/>
                <w:szCs w:val="14"/>
                <w:color w:val="auto"/>
              </w:rPr>
              <w:t>align the interests of the NEOs with long-</w:t>
            </w:r>
          </w:p>
        </w:tc>
        <w:tc>
          <w:tcPr>
            <w:tcW w:w="180" w:type="dxa"/>
            <w:vAlign w:val="bottom"/>
          </w:tcPr>
          <w:p>
            <w:pPr>
              <w:spacing w:after="0"/>
              <w:rPr>
                <w:sz w:val="14"/>
                <w:szCs w:val="14"/>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total long-term equity incentive grants</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tcBorders>
          </w:tcPr>
          <w:p>
            <w:pPr>
              <w:spacing w:after="0"/>
              <w:rPr>
                <w:sz w:val="12"/>
                <w:szCs w:val="12"/>
                <w:color w:val="auto"/>
              </w:rPr>
            </w:pPr>
          </w:p>
        </w:tc>
        <w:tc>
          <w:tcPr>
            <w:tcW w:w="3220" w:type="dxa"/>
            <w:vAlign w:val="bottom"/>
            <w:vMerge w:val="continue"/>
          </w:tcPr>
          <w:p>
            <w:pPr>
              <w:spacing w:after="0"/>
              <w:rPr>
                <w:sz w:val="12"/>
                <w:szCs w:val="12"/>
                <w:color w:val="auto"/>
              </w:rPr>
            </w:pPr>
          </w:p>
        </w:tc>
        <w:tc>
          <w:tcPr>
            <w:tcW w:w="2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shareholder value. Target amount</w:t>
            </w:r>
          </w:p>
        </w:tc>
        <w:tc>
          <w:tcPr>
            <w:tcW w:w="180" w:type="dxa"/>
            <w:vAlign w:val="bottom"/>
          </w:tcPr>
          <w:p>
            <w:pPr>
              <w:spacing w:after="0"/>
              <w:rPr>
                <w:sz w:val="12"/>
                <w:szCs w:val="12"/>
                <w:color w:val="auto"/>
              </w:rPr>
            </w:pPr>
          </w:p>
        </w:tc>
        <w:tc>
          <w:tcPr>
            <w:tcW w:w="27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awarded to all of the NEOs.</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achievement of a pre-established performance</w:t>
            </w:r>
          </w:p>
        </w:tc>
        <w:tc>
          <w:tcPr>
            <w:tcW w:w="2980" w:type="dxa"/>
            <w:vAlign w:val="bottom"/>
            <w:gridSpan w:val="2"/>
          </w:tcPr>
          <w:p>
            <w:pPr>
              <w:ind w:left="80"/>
              <w:spacing w:after="0"/>
              <w:rPr>
                <w:sz w:val="20"/>
                <w:szCs w:val="20"/>
                <w:color w:val="auto"/>
              </w:rPr>
            </w:pPr>
            <w:r>
              <w:rPr>
                <w:rFonts w:ascii="Arial" w:cs="Arial" w:eastAsia="Arial" w:hAnsi="Arial"/>
                <w:sz w:val="14"/>
                <w:szCs w:val="14"/>
                <w:color w:val="auto"/>
              </w:rPr>
              <w:t>awarded is determined based on job scope,</w:t>
            </w:r>
          </w:p>
        </w:tc>
        <w:tc>
          <w:tcPr>
            <w:tcW w:w="28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Also in 2017, for the PSUs granted in</w:t>
            </w:r>
          </w:p>
        </w:tc>
        <w:tc>
          <w:tcPr>
            <w:tcW w:w="0" w:type="dxa"/>
            <w:vAlign w:val="bottom"/>
          </w:tcPr>
          <w:p>
            <w:pPr>
              <w:spacing w:after="0"/>
              <w:rPr>
                <w:sz w:val="1"/>
                <w:szCs w:val="1"/>
                <w:color w:val="auto"/>
              </w:rPr>
            </w:pPr>
          </w:p>
        </w:tc>
      </w:tr>
      <w:tr>
        <w:trPr>
          <w:trHeight w:val="81"/>
        </w:trPr>
        <w:tc>
          <w:tcPr>
            <w:tcW w:w="1960" w:type="dxa"/>
            <w:vAlign w:val="bottom"/>
            <w:tcBorders>
              <w:left w:val="single" w:sz="8" w:color="auto"/>
            </w:tcBorders>
          </w:tcPr>
          <w:p>
            <w:pPr>
              <w:spacing w:after="0"/>
              <w:rPr>
                <w:sz w:val="7"/>
                <w:szCs w:val="7"/>
                <w:color w:val="auto"/>
              </w:rPr>
            </w:pPr>
          </w:p>
        </w:tc>
        <w:tc>
          <w:tcPr>
            <w:tcW w:w="3220" w:type="dxa"/>
            <w:vAlign w:val="bottom"/>
            <w:vMerge w:val="restart"/>
          </w:tcPr>
          <w:p>
            <w:pPr>
              <w:ind w:left="100"/>
              <w:spacing w:after="0"/>
              <w:rPr>
                <w:sz w:val="20"/>
                <w:szCs w:val="20"/>
                <w:color w:val="auto"/>
              </w:rPr>
            </w:pPr>
            <w:r>
              <w:rPr>
                <w:rFonts w:ascii="Arial" w:cs="Arial" w:eastAsia="Arial" w:hAnsi="Arial"/>
                <w:sz w:val="14"/>
                <w:szCs w:val="14"/>
                <w:color w:val="auto"/>
              </w:rPr>
              <w:t>metric over a period of time. If goals are not</w:t>
            </w:r>
          </w:p>
        </w:tc>
        <w:tc>
          <w:tcPr>
            <w:tcW w:w="2980" w:type="dxa"/>
            <w:vAlign w:val="bottom"/>
            <w:gridSpan w:val="2"/>
            <w:vMerge w:val="restart"/>
          </w:tcPr>
          <w:p>
            <w:pPr>
              <w:ind w:left="80"/>
              <w:spacing w:after="0"/>
              <w:rPr>
                <w:sz w:val="20"/>
                <w:szCs w:val="20"/>
                <w:color w:val="auto"/>
              </w:rPr>
            </w:pPr>
            <w:r>
              <w:rPr>
                <w:rFonts w:ascii="Arial" w:cs="Arial" w:eastAsia="Arial" w:hAnsi="Arial"/>
                <w:sz w:val="14"/>
                <w:szCs w:val="14"/>
                <w:color w:val="auto"/>
              </w:rPr>
              <w:t>market practice and individual performance.</w:t>
            </w:r>
          </w:p>
        </w:tc>
        <w:tc>
          <w:tcPr>
            <w:tcW w:w="28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60" w:type="dxa"/>
            <w:vAlign w:val="bottom"/>
            <w:tcBorders>
              <w:left w:val="single" w:sz="8" w:color="auto"/>
            </w:tcBorders>
          </w:tcPr>
          <w:p>
            <w:pPr>
              <w:spacing w:after="0"/>
              <w:rPr>
                <w:sz w:val="7"/>
                <w:szCs w:val="7"/>
                <w:color w:val="auto"/>
              </w:rPr>
            </w:pPr>
          </w:p>
        </w:tc>
        <w:tc>
          <w:tcPr>
            <w:tcW w:w="3220" w:type="dxa"/>
            <w:vAlign w:val="bottom"/>
            <w:vMerge w:val="continue"/>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2015, the NEOS earned 140% of target</w:t>
            </w:r>
          </w:p>
        </w:tc>
        <w:tc>
          <w:tcPr>
            <w:tcW w:w="0" w:type="dxa"/>
            <w:vAlign w:val="bottom"/>
          </w:tcPr>
          <w:p>
            <w:pPr>
              <w:spacing w:after="0"/>
              <w:rPr>
                <w:sz w:val="1"/>
                <w:szCs w:val="1"/>
                <w:color w:val="auto"/>
              </w:rPr>
            </w:pPr>
          </w:p>
        </w:tc>
      </w:tr>
      <w:tr>
        <w:trPr>
          <w:trHeight w:val="81"/>
        </w:trPr>
        <w:tc>
          <w:tcPr>
            <w:tcW w:w="1960" w:type="dxa"/>
            <w:vAlign w:val="bottom"/>
            <w:tcBorders>
              <w:left w:val="single" w:sz="8" w:color="auto"/>
            </w:tcBorders>
          </w:tcPr>
          <w:p>
            <w:pPr>
              <w:spacing w:after="0"/>
              <w:rPr>
                <w:sz w:val="7"/>
                <w:szCs w:val="7"/>
                <w:color w:val="auto"/>
              </w:rPr>
            </w:pPr>
          </w:p>
        </w:tc>
        <w:tc>
          <w:tcPr>
            <w:tcW w:w="3220" w:type="dxa"/>
            <w:vAlign w:val="bottom"/>
            <w:vMerge w:val="restart"/>
          </w:tcPr>
          <w:p>
            <w:pPr>
              <w:ind w:left="100"/>
              <w:spacing w:after="0"/>
              <w:rPr>
                <w:sz w:val="20"/>
                <w:szCs w:val="20"/>
                <w:color w:val="auto"/>
              </w:rPr>
            </w:pPr>
            <w:r>
              <w:rPr>
                <w:rFonts w:ascii="Arial" w:cs="Arial" w:eastAsia="Arial" w:hAnsi="Arial"/>
                <w:sz w:val="14"/>
                <w:szCs w:val="14"/>
                <w:color w:val="auto"/>
              </w:rPr>
              <w:t>met, shares are not received.</w:t>
            </w:r>
          </w:p>
        </w:tc>
        <w:tc>
          <w:tcPr>
            <w:tcW w:w="1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960" w:type="dxa"/>
            <w:vAlign w:val="bottom"/>
            <w:tcBorders>
              <w:left w:val="single" w:sz="8" w:color="auto"/>
            </w:tcBorders>
          </w:tcPr>
          <w:p>
            <w:pPr>
              <w:spacing w:after="0"/>
              <w:rPr>
                <w:sz w:val="9"/>
                <w:szCs w:val="9"/>
                <w:color w:val="auto"/>
              </w:rPr>
            </w:pPr>
          </w:p>
        </w:tc>
        <w:tc>
          <w:tcPr>
            <w:tcW w:w="3220" w:type="dxa"/>
            <w:vAlign w:val="bottom"/>
            <w:vMerge w:val="continue"/>
          </w:tcPr>
          <w:p>
            <w:pPr>
              <w:spacing w:after="0"/>
              <w:rPr>
                <w:sz w:val="9"/>
                <w:szCs w:val="9"/>
                <w:color w:val="auto"/>
              </w:rPr>
            </w:pPr>
          </w:p>
        </w:tc>
        <w:tc>
          <w:tcPr>
            <w:tcW w:w="2980" w:type="dxa"/>
            <w:vAlign w:val="bottom"/>
            <w:gridSpan w:val="2"/>
            <w:vMerge w:val="restart"/>
          </w:tcPr>
          <w:p>
            <w:pPr>
              <w:ind w:left="80"/>
              <w:spacing w:after="0"/>
              <w:rPr>
                <w:sz w:val="20"/>
                <w:szCs w:val="20"/>
                <w:color w:val="auto"/>
              </w:rPr>
            </w:pPr>
            <w:r>
              <w:rPr>
                <w:rFonts w:ascii="Arial" w:cs="Arial" w:eastAsia="Arial" w:hAnsi="Arial"/>
                <w:sz w:val="14"/>
                <w:szCs w:val="14"/>
                <w:color w:val="auto"/>
              </w:rPr>
              <w:t>Measures used to determine performance</w:t>
            </w:r>
          </w:p>
        </w:tc>
        <w:tc>
          <w:tcPr>
            <w:tcW w:w="180" w:type="dxa"/>
            <w:vAlign w:val="bottom"/>
          </w:tcPr>
          <w:p>
            <w:pPr>
              <w:spacing w:after="0"/>
              <w:rPr>
                <w:sz w:val="9"/>
                <w:szCs w:val="9"/>
                <w:color w:val="auto"/>
              </w:rPr>
            </w:pPr>
          </w:p>
        </w:tc>
        <w:tc>
          <w:tcPr>
            <w:tcW w:w="2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performance share units based on the</w:t>
            </w:r>
          </w:p>
        </w:tc>
        <w:tc>
          <w:tcPr>
            <w:tcW w:w="0" w:type="dxa"/>
            <w:vAlign w:val="bottom"/>
          </w:tcPr>
          <w:p>
            <w:pPr>
              <w:spacing w:after="0"/>
              <w:rPr>
                <w:sz w:val="1"/>
                <w:szCs w:val="1"/>
                <w:color w:val="auto"/>
              </w:rPr>
            </w:pPr>
          </w:p>
        </w:tc>
      </w:tr>
      <w:tr>
        <w:trPr>
          <w:trHeight w:val="49"/>
        </w:trPr>
        <w:tc>
          <w:tcPr>
            <w:tcW w:w="1960" w:type="dxa"/>
            <w:vAlign w:val="bottom"/>
            <w:tcBorders>
              <w:left w:val="single" w:sz="8" w:color="auto"/>
            </w:tcBorders>
          </w:tcPr>
          <w:p>
            <w:pPr>
              <w:spacing w:after="0"/>
              <w:rPr>
                <w:sz w:val="4"/>
                <w:szCs w:val="4"/>
                <w:color w:val="auto"/>
              </w:rPr>
            </w:pPr>
          </w:p>
        </w:tc>
        <w:tc>
          <w:tcPr>
            <w:tcW w:w="3220" w:type="dxa"/>
            <w:vAlign w:val="bottom"/>
          </w:tcPr>
          <w:p>
            <w:pPr>
              <w:spacing w:after="0"/>
              <w:rPr>
                <w:sz w:val="4"/>
                <w:szCs w:val="4"/>
                <w:color w:val="auto"/>
              </w:rPr>
            </w:pPr>
          </w:p>
        </w:tc>
        <w:tc>
          <w:tcPr>
            <w:tcW w:w="2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960" w:type="dxa"/>
            <w:vAlign w:val="bottom"/>
            <w:tcBorders>
              <w:left w:val="single" w:sz="8" w:color="auto"/>
            </w:tcBorders>
          </w:tcPr>
          <w:p>
            <w:pPr>
              <w:spacing w:after="0"/>
              <w:rPr>
                <w:sz w:val="4"/>
                <w:szCs w:val="4"/>
                <w:color w:val="auto"/>
              </w:rPr>
            </w:pPr>
          </w:p>
        </w:tc>
        <w:tc>
          <w:tcPr>
            <w:tcW w:w="3220" w:type="dxa"/>
            <w:vAlign w:val="bottom"/>
          </w:tcPr>
          <w:p>
            <w:pPr>
              <w:spacing w:after="0"/>
              <w:rPr>
                <w:sz w:val="4"/>
                <w:szCs w:val="4"/>
                <w:color w:val="auto"/>
              </w:rPr>
            </w:pPr>
          </w:p>
        </w:tc>
        <w:tc>
          <w:tcPr>
            <w:tcW w:w="2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three-year performance period ended</w:t>
            </w: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2980" w:type="dxa"/>
            <w:vAlign w:val="bottom"/>
            <w:gridSpan w:val="2"/>
            <w:vMerge w:val="restart"/>
          </w:tcPr>
          <w:p>
            <w:pPr>
              <w:ind w:left="80"/>
              <w:spacing w:after="0"/>
              <w:rPr>
                <w:sz w:val="20"/>
                <w:szCs w:val="20"/>
                <w:color w:val="auto"/>
              </w:rPr>
            </w:pPr>
            <w:r>
              <w:rPr>
                <w:rFonts w:ascii="Arial" w:cs="Arial" w:eastAsia="Arial" w:hAnsi="Arial"/>
                <w:sz w:val="14"/>
                <w:szCs w:val="14"/>
                <w:color w:val="auto"/>
              </w:rPr>
              <w:t>share units earned:</w:t>
            </w:r>
          </w:p>
        </w:tc>
        <w:tc>
          <w:tcPr>
            <w:tcW w:w="180" w:type="dxa"/>
            <w:vAlign w:val="bottom"/>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960" w:type="dxa"/>
            <w:vAlign w:val="bottom"/>
            <w:tcBorders>
              <w:left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2980" w:type="dxa"/>
            <w:vAlign w:val="bottom"/>
            <w:gridSpan w:val="2"/>
            <w:vMerge w:val="restart"/>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 threshold level of average operating</w:t>
            </w:r>
          </w:p>
        </w:tc>
        <w:tc>
          <w:tcPr>
            <w:tcW w:w="180" w:type="dxa"/>
            <w:vAlign w:val="bottom"/>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960" w:type="dxa"/>
            <w:vAlign w:val="bottom"/>
            <w:tcBorders>
              <w:left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5D89B4"/>
              </w:rPr>
              <w:t>•</w:t>
            </w:r>
          </w:p>
        </w:tc>
        <w:tc>
          <w:tcPr>
            <w:tcW w:w="2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See page 46 for more information.</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profit margin percent must be achieved</w:t>
            </w:r>
          </w:p>
        </w:tc>
        <w:tc>
          <w:tcPr>
            <w:tcW w:w="180" w:type="dxa"/>
            <w:vAlign w:val="bottom"/>
            <w:vMerge w:val="continue"/>
          </w:tcPr>
          <w:p>
            <w:pPr>
              <w:spacing w:after="0"/>
              <w:rPr>
                <w:sz w:val="14"/>
                <w:szCs w:val="14"/>
                <w:color w:val="auto"/>
              </w:rPr>
            </w:pPr>
          </w:p>
        </w:tc>
        <w:tc>
          <w:tcPr>
            <w:tcW w:w="27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during the 2017-2019 performance period</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tcBorders>
              <w:lef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to receive any PSU vesting.</w:t>
            </w:r>
          </w:p>
        </w:tc>
        <w:tc>
          <w:tcPr>
            <w:tcW w:w="18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tcBorders>
              <w:left w:val="single" w:sz="8" w:color="auto"/>
            </w:tcBorders>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Payout levels for threshold, target and</w:t>
            </w:r>
          </w:p>
        </w:tc>
        <w:tc>
          <w:tcPr>
            <w:tcW w:w="180" w:type="dxa"/>
            <w:vAlign w:val="bottom"/>
          </w:tcPr>
          <w:p>
            <w:pPr>
              <w:spacing w:after="0"/>
              <w:rPr>
                <w:sz w:val="17"/>
                <w:szCs w:val="17"/>
                <w:color w:val="auto"/>
              </w:rPr>
            </w:pPr>
          </w:p>
        </w:tc>
        <w:tc>
          <w:tcPr>
            <w:tcW w:w="2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200"/>
              <w:spacing w:after="0"/>
              <w:rPr>
                <w:sz w:val="20"/>
                <w:szCs w:val="20"/>
                <w:color w:val="auto"/>
              </w:rPr>
            </w:pPr>
            <w:r>
              <w:rPr>
                <w:rFonts w:ascii="Arial" w:cs="Arial" w:eastAsia="Arial" w:hAnsi="Arial"/>
                <w:sz w:val="14"/>
                <w:szCs w:val="14"/>
                <w:color w:val="auto"/>
              </w:rPr>
              <w:t>outstanding results are determined, and</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200"/>
              <w:spacing w:after="0"/>
              <w:rPr>
                <w:sz w:val="20"/>
                <w:szCs w:val="20"/>
                <w:color w:val="auto"/>
              </w:rPr>
            </w:pPr>
            <w:r>
              <w:rPr>
                <w:rFonts w:ascii="Arial" w:cs="Arial" w:eastAsia="Arial" w:hAnsi="Arial"/>
                <w:sz w:val="14"/>
                <w:szCs w:val="14"/>
                <w:color w:val="auto"/>
              </w:rPr>
              <w:t>the actual payout percentage is</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tcBorders>
              <w:lef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ind w:left="200"/>
              <w:spacing w:after="0"/>
              <w:rPr>
                <w:sz w:val="20"/>
                <w:szCs w:val="20"/>
                <w:color w:val="auto"/>
              </w:rPr>
            </w:pPr>
            <w:r>
              <w:rPr>
                <w:rFonts w:ascii="Arial" w:cs="Arial" w:eastAsia="Arial" w:hAnsi="Arial"/>
                <w:sz w:val="14"/>
                <w:szCs w:val="14"/>
                <w:color w:val="auto"/>
              </w:rPr>
              <w:t>calculated by interpolation.</w:t>
            </w:r>
          </w:p>
        </w:tc>
        <w:tc>
          <w:tcPr>
            <w:tcW w:w="18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tcBorders>
              <w:left w:val="single" w:sz="8" w:color="auto"/>
            </w:tcBorders>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5D89B4"/>
              </w:rPr>
              <w:t>•</w:t>
            </w:r>
          </w:p>
        </w:tc>
        <w:tc>
          <w:tcPr>
            <w:tcW w:w="2820" w:type="dxa"/>
            <w:vAlign w:val="bottom"/>
          </w:tcPr>
          <w:p>
            <w:pPr>
              <w:ind w:left="40"/>
              <w:spacing w:after="0"/>
              <w:rPr>
                <w:sz w:val="20"/>
                <w:szCs w:val="20"/>
                <w:color w:val="auto"/>
              </w:rPr>
            </w:pPr>
            <w:r>
              <w:rPr>
                <w:rFonts w:ascii="Arial" w:cs="Arial" w:eastAsia="Arial" w:hAnsi="Arial"/>
                <w:sz w:val="14"/>
                <w:szCs w:val="14"/>
                <w:color w:val="auto"/>
              </w:rPr>
              <w:t>However, if average operating profit does</w:t>
            </w:r>
          </w:p>
        </w:tc>
        <w:tc>
          <w:tcPr>
            <w:tcW w:w="180" w:type="dxa"/>
            <w:vAlign w:val="bottom"/>
          </w:tcPr>
          <w:p>
            <w:pPr>
              <w:spacing w:after="0"/>
              <w:rPr>
                <w:sz w:val="17"/>
                <w:szCs w:val="17"/>
                <w:color w:val="auto"/>
              </w:rPr>
            </w:pPr>
          </w:p>
        </w:tc>
        <w:tc>
          <w:tcPr>
            <w:tcW w:w="2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not meet a certain pre-determined dollar</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“gate” over the 2017-2019 performance</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period, NEOs will not receive more than</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tcBorders>
              <w:lef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100% of the target level payout.</w:t>
            </w:r>
          </w:p>
        </w:tc>
        <w:tc>
          <w:tcPr>
            <w:tcW w:w="18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960" w:type="dxa"/>
            <w:vAlign w:val="bottom"/>
            <w:tcBorders>
              <w:left w:val="single" w:sz="8" w:color="auto"/>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960" w:type="dxa"/>
            <w:vAlign w:val="bottom"/>
            <w:tcBorders>
              <w:left w:val="single" w:sz="8" w:color="auto"/>
            </w:tcBorders>
            <w:shd w:val="clear" w:color="auto" w:fill="E6EDF3"/>
          </w:tcPr>
          <w:p>
            <w:pPr>
              <w:ind w:left="140"/>
              <w:spacing w:after="0" w:line="143" w:lineRule="exact"/>
              <w:rPr>
                <w:sz w:val="20"/>
                <w:szCs w:val="20"/>
                <w:color w:val="auto"/>
              </w:rPr>
            </w:pPr>
            <w:r>
              <w:rPr>
                <w:rFonts w:ascii="Arial" w:cs="Arial" w:eastAsia="Arial" w:hAnsi="Arial"/>
                <w:sz w:val="14"/>
                <w:szCs w:val="14"/>
                <w:b w:val="1"/>
                <w:bCs w:val="1"/>
                <w:color w:val="auto"/>
              </w:rPr>
              <w:t>Restricted Stock Units</w:t>
            </w:r>
          </w:p>
        </w:tc>
        <w:tc>
          <w:tcPr>
            <w:tcW w:w="3220" w:type="dxa"/>
            <w:vAlign w:val="bottom"/>
            <w:shd w:val="clear" w:color="auto" w:fill="E6EDF3"/>
          </w:tcPr>
          <w:p>
            <w:pPr>
              <w:ind w:left="100"/>
              <w:spacing w:after="0" w:line="143" w:lineRule="exact"/>
              <w:rPr>
                <w:sz w:val="20"/>
                <w:szCs w:val="20"/>
                <w:color w:val="auto"/>
              </w:rPr>
            </w:pPr>
            <w:r>
              <w:rPr>
                <w:rFonts w:ascii="Arial" w:cs="Arial" w:eastAsia="Arial" w:hAnsi="Arial"/>
                <w:sz w:val="14"/>
                <w:szCs w:val="14"/>
                <w:color w:val="auto"/>
              </w:rPr>
              <w:t>Variable compensation payable in shares of</w:t>
            </w:r>
          </w:p>
        </w:tc>
        <w:tc>
          <w:tcPr>
            <w:tcW w:w="160" w:type="dxa"/>
            <w:vAlign w:val="bottom"/>
            <w:shd w:val="clear" w:color="auto" w:fill="E6EDF3"/>
          </w:tcPr>
          <w:p>
            <w:pPr>
              <w:ind w:left="80"/>
              <w:spacing w:after="0" w:line="143" w:lineRule="exact"/>
              <w:rPr>
                <w:sz w:val="20"/>
                <w:szCs w:val="20"/>
                <w:color w:val="auto"/>
              </w:rPr>
            </w:pPr>
            <w:r>
              <w:rPr>
                <w:rFonts w:ascii="Arial" w:cs="Arial" w:eastAsia="Arial" w:hAnsi="Arial"/>
                <w:sz w:val="14"/>
                <w:szCs w:val="14"/>
                <w:color w:val="5D89B4"/>
              </w:rPr>
              <w:t>•</w:t>
            </w:r>
          </w:p>
        </w:tc>
        <w:tc>
          <w:tcPr>
            <w:tcW w:w="2820" w:type="dxa"/>
            <w:vAlign w:val="bottom"/>
            <w:shd w:val="clear" w:color="auto" w:fill="E6EDF3"/>
          </w:tcPr>
          <w:p>
            <w:pPr>
              <w:ind w:left="40"/>
              <w:spacing w:after="0" w:line="143" w:lineRule="exact"/>
              <w:rPr>
                <w:sz w:val="20"/>
                <w:szCs w:val="20"/>
                <w:color w:val="auto"/>
              </w:rPr>
            </w:pPr>
            <w:r>
              <w:rPr>
                <w:rFonts w:ascii="Arial" w:cs="Arial" w:eastAsia="Arial" w:hAnsi="Arial"/>
                <w:sz w:val="14"/>
                <w:szCs w:val="14"/>
                <w:color w:val="auto"/>
              </w:rPr>
              <w:t>Restricted stock units cliff vest in full after</w:t>
            </w:r>
          </w:p>
        </w:tc>
        <w:tc>
          <w:tcPr>
            <w:tcW w:w="180" w:type="dxa"/>
            <w:vAlign w:val="bottom"/>
            <w:shd w:val="clear" w:color="auto" w:fill="E6EDF3"/>
          </w:tcPr>
          <w:p>
            <w:pPr>
              <w:ind w:left="80"/>
              <w:spacing w:after="0" w:line="143" w:lineRule="exact"/>
              <w:rPr>
                <w:sz w:val="20"/>
                <w:szCs w:val="20"/>
                <w:color w:val="auto"/>
              </w:rPr>
            </w:pPr>
            <w:r>
              <w:rPr>
                <w:rFonts w:ascii="Arial" w:cs="Arial" w:eastAsia="Arial" w:hAnsi="Arial"/>
                <w:sz w:val="14"/>
                <w:szCs w:val="14"/>
                <w:color w:val="5D89B4"/>
              </w:rPr>
              <w:t>•</w:t>
            </w:r>
          </w:p>
        </w:tc>
        <w:tc>
          <w:tcPr>
            <w:tcW w:w="2700" w:type="dxa"/>
            <w:vAlign w:val="bottom"/>
            <w:tcBorders>
              <w:right w:val="single" w:sz="8" w:color="auto"/>
            </w:tcBorders>
            <w:shd w:val="clear" w:color="auto" w:fill="E6EDF3"/>
          </w:tcPr>
          <w:p>
            <w:pPr>
              <w:ind w:left="40"/>
              <w:spacing w:after="0" w:line="143" w:lineRule="exact"/>
              <w:rPr>
                <w:sz w:val="20"/>
                <w:szCs w:val="20"/>
                <w:color w:val="auto"/>
              </w:rPr>
            </w:pPr>
            <w:r>
              <w:rPr>
                <w:rFonts w:ascii="Arial" w:cs="Arial" w:eastAsia="Arial" w:hAnsi="Arial"/>
                <w:sz w:val="14"/>
                <w:szCs w:val="14"/>
                <w:color w:val="auto"/>
              </w:rPr>
              <w:t>Approximately 20% of all of the NEOs’</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ind w:left="100"/>
              <w:spacing w:after="0"/>
              <w:rPr>
                <w:sz w:val="20"/>
                <w:szCs w:val="20"/>
                <w:color w:val="auto"/>
              </w:rPr>
            </w:pPr>
            <w:r>
              <w:rPr>
                <w:rFonts w:ascii="Arial" w:cs="Arial" w:eastAsia="Arial" w:hAnsi="Arial"/>
                <w:sz w:val="14"/>
                <w:szCs w:val="14"/>
                <w:color w:val="auto"/>
              </w:rPr>
              <w:t>stock. 100% of the restricted stock units vest on</w:t>
            </w:r>
          </w:p>
        </w:tc>
        <w:tc>
          <w:tcPr>
            <w:tcW w:w="16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three years and are paid in stock.</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long-term equity incentive grants in</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ind w:left="100"/>
              <w:spacing w:after="0"/>
              <w:rPr>
                <w:sz w:val="20"/>
                <w:szCs w:val="20"/>
                <w:color w:val="auto"/>
              </w:rPr>
            </w:pPr>
            <w:r>
              <w:rPr>
                <w:rFonts w:ascii="Arial" w:cs="Arial" w:eastAsia="Arial" w:hAnsi="Arial"/>
                <w:sz w:val="14"/>
                <w:szCs w:val="14"/>
                <w:color w:val="auto"/>
              </w:rPr>
              <w:t>the third anniversary date.</w:t>
            </w:r>
          </w:p>
        </w:tc>
        <w:tc>
          <w:tcPr>
            <w:tcW w:w="160" w:type="dxa"/>
            <w:vAlign w:val="bottom"/>
            <w:vMerge w:val="restart"/>
            <w:shd w:val="clear" w:color="auto" w:fill="E6EDF3"/>
          </w:tcPr>
          <w:p>
            <w:pPr>
              <w:ind w:left="80"/>
              <w:spacing w:after="0"/>
              <w:rPr>
                <w:sz w:val="20"/>
                <w:szCs w:val="20"/>
                <w:color w:val="auto"/>
              </w:rPr>
            </w:pPr>
            <w:r>
              <w:rPr>
                <w:rFonts w:ascii="Arial" w:cs="Arial" w:eastAsia="Arial" w:hAnsi="Arial"/>
                <w:sz w:val="14"/>
                <w:szCs w:val="14"/>
                <w:color w:val="5D89B4"/>
              </w:rPr>
              <w:t>•</w:t>
            </w:r>
          </w:p>
        </w:tc>
        <w:tc>
          <w:tcPr>
            <w:tcW w:w="2820" w:type="dxa"/>
            <w:vAlign w:val="bottom"/>
            <w:vMerge w:val="restart"/>
            <w:shd w:val="clear" w:color="auto" w:fill="E6EDF3"/>
          </w:tcPr>
          <w:p>
            <w:pPr>
              <w:ind w:left="40"/>
              <w:spacing w:after="0"/>
              <w:rPr>
                <w:sz w:val="20"/>
                <w:szCs w:val="20"/>
                <w:color w:val="auto"/>
              </w:rPr>
            </w:pPr>
            <w:r>
              <w:rPr>
                <w:rFonts w:ascii="Arial" w:cs="Arial" w:eastAsia="Arial" w:hAnsi="Arial"/>
                <w:sz w:val="14"/>
                <w:szCs w:val="14"/>
                <w:color w:val="auto"/>
              </w:rPr>
              <w:t>Through stock price and dividend</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2017 were in the form of restricted stock</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tcBorders>
            <w:shd w:val="clear" w:color="auto" w:fill="E6EDF3"/>
          </w:tcPr>
          <w:p>
            <w:pPr>
              <w:spacing w:after="0"/>
              <w:rPr>
                <w:sz w:val="12"/>
                <w:szCs w:val="12"/>
                <w:color w:val="auto"/>
              </w:rPr>
            </w:pPr>
          </w:p>
        </w:tc>
        <w:tc>
          <w:tcPr>
            <w:tcW w:w="3220" w:type="dxa"/>
            <w:vAlign w:val="bottom"/>
            <w:shd w:val="clear" w:color="auto" w:fill="E6EDF3"/>
          </w:tcPr>
          <w:p>
            <w:pPr>
              <w:spacing w:after="0"/>
              <w:rPr>
                <w:sz w:val="12"/>
                <w:szCs w:val="12"/>
                <w:color w:val="auto"/>
              </w:rPr>
            </w:pPr>
          </w:p>
        </w:tc>
        <w:tc>
          <w:tcPr>
            <w:tcW w:w="160" w:type="dxa"/>
            <w:vAlign w:val="bottom"/>
            <w:vMerge w:val="continue"/>
            <w:shd w:val="clear" w:color="auto" w:fill="E6EDF3"/>
          </w:tcPr>
          <w:p>
            <w:pPr>
              <w:spacing w:after="0"/>
              <w:rPr>
                <w:sz w:val="12"/>
                <w:szCs w:val="12"/>
                <w:color w:val="auto"/>
              </w:rPr>
            </w:pPr>
          </w:p>
        </w:tc>
        <w:tc>
          <w:tcPr>
            <w:tcW w:w="2820" w:type="dxa"/>
            <w:vAlign w:val="bottom"/>
            <w:vMerge w:val="continue"/>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2700" w:type="dxa"/>
            <w:vAlign w:val="bottom"/>
            <w:tcBorders>
              <w:right w:val="single" w:sz="8" w:color="auto"/>
            </w:tcBorders>
            <w:shd w:val="clear" w:color="auto" w:fill="E6EDF3"/>
          </w:tcPr>
          <w:p>
            <w:pPr>
              <w:ind w:left="60"/>
              <w:spacing w:after="0" w:line="149" w:lineRule="exact"/>
              <w:rPr>
                <w:sz w:val="20"/>
                <w:szCs w:val="20"/>
                <w:color w:val="auto"/>
              </w:rPr>
            </w:pPr>
            <w:r>
              <w:rPr>
                <w:rFonts w:ascii="Arial" w:cs="Arial" w:eastAsia="Arial" w:hAnsi="Arial"/>
                <w:sz w:val="14"/>
                <w:szCs w:val="14"/>
                <w:color w:val="auto"/>
              </w:rPr>
              <w:t>units.</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tcBorders>
            <w:shd w:val="clear" w:color="auto" w:fill="E6EDF3"/>
          </w:tcPr>
          <w:p>
            <w:pPr>
              <w:spacing w:after="0"/>
              <w:rPr>
                <w:sz w:val="11"/>
                <w:szCs w:val="11"/>
                <w:color w:val="auto"/>
              </w:rPr>
            </w:pPr>
          </w:p>
        </w:tc>
        <w:tc>
          <w:tcPr>
            <w:tcW w:w="3220" w:type="dxa"/>
            <w:vAlign w:val="bottom"/>
            <w:shd w:val="clear" w:color="auto" w:fill="E6EDF3"/>
          </w:tcPr>
          <w:p>
            <w:pPr>
              <w:spacing w:after="0"/>
              <w:rPr>
                <w:sz w:val="11"/>
                <w:szCs w:val="11"/>
                <w:color w:val="auto"/>
              </w:rPr>
            </w:pPr>
          </w:p>
        </w:tc>
        <w:tc>
          <w:tcPr>
            <w:tcW w:w="160" w:type="dxa"/>
            <w:vAlign w:val="bottom"/>
            <w:shd w:val="clear" w:color="auto" w:fill="E6EDF3"/>
          </w:tcPr>
          <w:p>
            <w:pPr>
              <w:spacing w:after="0"/>
              <w:rPr>
                <w:sz w:val="11"/>
                <w:szCs w:val="11"/>
                <w:color w:val="auto"/>
              </w:rPr>
            </w:pPr>
          </w:p>
        </w:tc>
        <w:tc>
          <w:tcPr>
            <w:tcW w:w="2820" w:type="dxa"/>
            <w:vAlign w:val="bottom"/>
            <w:shd w:val="clear" w:color="auto" w:fill="E6EDF3"/>
          </w:tcPr>
          <w:p>
            <w:pPr>
              <w:ind w:left="60"/>
              <w:spacing w:after="0" w:line="135" w:lineRule="exact"/>
              <w:rPr>
                <w:sz w:val="20"/>
                <w:szCs w:val="20"/>
                <w:color w:val="auto"/>
              </w:rPr>
            </w:pPr>
            <w:r>
              <w:rPr>
                <w:rFonts w:ascii="Arial" w:cs="Arial" w:eastAsia="Arial" w:hAnsi="Arial"/>
                <w:sz w:val="14"/>
                <w:szCs w:val="14"/>
                <w:color w:val="auto"/>
              </w:rPr>
              <w:t>equivalents, restricted stock units directly</w:t>
            </w:r>
          </w:p>
        </w:tc>
        <w:tc>
          <w:tcPr>
            <w:tcW w:w="180" w:type="dxa"/>
            <w:vAlign w:val="bottom"/>
            <w:shd w:val="clear" w:color="auto" w:fill="E6EDF3"/>
          </w:tcPr>
          <w:p>
            <w:pPr>
              <w:spacing w:after="0"/>
              <w:rPr>
                <w:sz w:val="11"/>
                <w:szCs w:val="11"/>
                <w:color w:val="auto"/>
              </w:rPr>
            </w:pPr>
          </w:p>
        </w:tc>
        <w:tc>
          <w:tcPr>
            <w:tcW w:w="2700" w:type="dxa"/>
            <w:vAlign w:val="bottom"/>
            <w:tcBorders>
              <w:right w:val="single" w:sz="8" w:color="auto"/>
            </w:tcBorders>
            <w:shd w:val="clear" w:color="auto" w:fill="E6EDF3"/>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align NEOs with the shareholders and add</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balance to the compensation program as</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they provide both upside potential and</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downside risk and add an additional</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retention incentive. Amount awarded is</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2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determined based on job scope, market</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960" w:type="dxa"/>
            <w:vAlign w:val="bottom"/>
            <w:tcBorders>
              <w:left w:val="single" w:sz="8" w:color="auto"/>
              <w:bottom w:val="single" w:sz="8" w:color="E6EDF3"/>
            </w:tcBorders>
            <w:shd w:val="clear" w:color="auto" w:fill="E6EDF3"/>
          </w:tcPr>
          <w:p>
            <w:pPr>
              <w:spacing w:after="0"/>
              <w:rPr>
                <w:sz w:val="19"/>
                <w:szCs w:val="19"/>
                <w:color w:val="auto"/>
              </w:rPr>
            </w:pPr>
          </w:p>
        </w:tc>
        <w:tc>
          <w:tcPr>
            <w:tcW w:w="3220" w:type="dxa"/>
            <w:vAlign w:val="bottom"/>
            <w:tcBorders>
              <w:bottom w:val="single" w:sz="8" w:color="E6EDF3"/>
            </w:tcBorders>
            <w:shd w:val="clear" w:color="auto" w:fill="E6EDF3"/>
          </w:tcPr>
          <w:p>
            <w:pPr>
              <w:spacing w:after="0"/>
              <w:rPr>
                <w:sz w:val="19"/>
                <w:szCs w:val="19"/>
                <w:color w:val="auto"/>
              </w:rPr>
            </w:pPr>
          </w:p>
        </w:tc>
        <w:tc>
          <w:tcPr>
            <w:tcW w:w="160" w:type="dxa"/>
            <w:vAlign w:val="bottom"/>
            <w:tcBorders>
              <w:bottom w:val="single" w:sz="8" w:color="E6EDF3"/>
            </w:tcBorders>
            <w:shd w:val="clear" w:color="auto" w:fill="E6EDF3"/>
          </w:tcPr>
          <w:p>
            <w:pPr>
              <w:spacing w:after="0"/>
              <w:rPr>
                <w:sz w:val="19"/>
                <w:szCs w:val="19"/>
                <w:color w:val="auto"/>
              </w:rPr>
            </w:pPr>
          </w:p>
        </w:tc>
        <w:tc>
          <w:tcPr>
            <w:tcW w:w="28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4"/>
                <w:szCs w:val="14"/>
                <w:color w:val="auto"/>
              </w:rPr>
              <w:t>practice and individual performance.</w:t>
            </w:r>
          </w:p>
        </w:tc>
        <w:tc>
          <w:tcPr>
            <w:tcW w:w="180" w:type="dxa"/>
            <w:vAlign w:val="bottom"/>
            <w:tcBorders>
              <w:bottom w:val="single" w:sz="8" w:color="E6EDF3"/>
            </w:tcBorders>
            <w:shd w:val="clear" w:color="auto" w:fill="E6EDF3"/>
          </w:tcPr>
          <w:p>
            <w:pPr>
              <w:spacing w:after="0"/>
              <w:rPr>
                <w:sz w:val="19"/>
                <w:szCs w:val="19"/>
                <w:color w:val="auto"/>
              </w:rPr>
            </w:pPr>
          </w:p>
        </w:tc>
        <w:tc>
          <w:tcPr>
            <w:tcW w:w="2700" w:type="dxa"/>
            <w:vAlign w:val="bottom"/>
            <w:tcBorders>
              <w:bottom w:val="single" w:sz="8" w:color="E6EDF3"/>
              <w:right w:val="single" w:sz="8" w:color="auto"/>
            </w:tcBorders>
            <w:shd w:val="clear" w:color="auto" w:fill="E6EDF3"/>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960" w:type="dxa"/>
            <w:vAlign w:val="bottom"/>
            <w:tcBorders>
              <w:top w:val="single" w:sz="8" w:color="auto"/>
              <w:left w:val="single" w:sz="8" w:color="auto"/>
            </w:tcBorders>
          </w:tcPr>
          <w:p>
            <w:pPr>
              <w:ind w:left="140"/>
              <w:spacing w:after="0" w:line="143" w:lineRule="exact"/>
              <w:rPr>
                <w:sz w:val="20"/>
                <w:szCs w:val="20"/>
                <w:color w:val="auto"/>
              </w:rPr>
            </w:pPr>
            <w:r>
              <w:rPr>
                <w:rFonts w:ascii="Arial" w:cs="Arial" w:eastAsia="Arial" w:hAnsi="Arial"/>
                <w:sz w:val="14"/>
                <w:szCs w:val="14"/>
                <w:b w:val="1"/>
                <w:bCs w:val="1"/>
                <w:color w:val="auto"/>
              </w:rPr>
              <w:t>Stock Options</w:t>
            </w:r>
          </w:p>
        </w:tc>
        <w:tc>
          <w:tcPr>
            <w:tcW w:w="322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4"/>
                <w:szCs w:val="14"/>
                <w:color w:val="auto"/>
              </w:rPr>
              <w:t>Nonqualified stock options that expire in ten</w:t>
            </w:r>
          </w:p>
        </w:tc>
        <w:tc>
          <w:tcPr>
            <w:tcW w:w="2980" w:type="dxa"/>
            <w:vAlign w:val="bottom"/>
            <w:tcBorders>
              <w:top w:val="single" w:sz="8" w:color="auto"/>
            </w:tcBorders>
            <w:gridSpan w:val="2"/>
          </w:tcPr>
          <w:p>
            <w:pPr>
              <w:ind w:left="80"/>
              <w:spacing w:after="0" w:line="143" w:lineRule="exact"/>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Align the interests of the NEOs with long-</w:t>
            </w:r>
          </w:p>
        </w:tc>
        <w:tc>
          <w:tcPr>
            <w:tcW w:w="2880" w:type="dxa"/>
            <w:vAlign w:val="bottom"/>
            <w:tcBorders>
              <w:top w:val="single" w:sz="8" w:color="auto"/>
              <w:right w:val="single" w:sz="8" w:color="auto"/>
            </w:tcBorders>
            <w:gridSpan w:val="2"/>
          </w:tcPr>
          <w:p>
            <w:pPr>
              <w:ind w:left="80"/>
              <w:spacing w:after="0" w:line="143" w:lineRule="exact"/>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Approximately 20% of all of the NEOs</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years and become exercisable ratably over four</w:t>
            </w: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term shareholder value as well as retain</w:t>
            </w:r>
          </w:p>
        </w:tc>
        <w:tc>
          <w:tcPr>
            <w:tcW w:w="180" w:type="dxa"/>
            <w:vAlign w:val="bottom"/>
          </w:tcPr>
          <w:p>
            <w:pPr>
              <w:spacing w:after="0"/>
              <w:rPr>
                <w:sz w:val="14"/>
                <w:szCs w:val="14"/>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long-term equity incentive grants in</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years.</w:t>
            </w: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executive talent. Amount awarded is</w:t>
            </w:r>
          </w:p>
        </w:tc>
        <w:tc>
          <w:tcPr>
            <w:tcW w:w="180" w:type="dxa"/>
            <w:vAlign w:val="bottom"/>
          </w:tcPr>
          <w:p>
            <w:pPr>
              <w:spacing w:after="0"/>
              <w:rPr>
                <w:sz w:val="14"/>
                <w:szCs w:val="14"/>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2017 were in the form of stock options.</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determined based on job scope, market</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tcBorders>
              <w:lef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practice and individual performance.</w:t>
            </w:r>
          </w:p>
        </w:tc>
        <w:tc>
          <w:tcPr>
            <w:tcW w:w="18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960" w:type="dxa"/>
            <w:vAlign w:val="bottom"/>
            <w:tcBorders>
              <w:left w:val="single" w:sz="8" w:color="auto"/>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33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42" w:lineRule="exact"/>
        <w:rPr>
          <w:sz w:val="20"/>
          <w:szCs w:val="20"/>
          <w:color w:val="auto"/>
        </w:rPr>
      </w:pPr>
    </w:p>
    <w:tbl>
      <w:tblPr>
        <w:tblLayout w:type="fixed"/>
        <w:tblInd w:w="230" w:type="dxa"/>
        <w:tblCellMar>
          <w:top w:w="0" w:type="dxa"/>
          <w:left w:w="0" w:type="dxa"/>
          <w:bottom w:w="0" w:type="dxa"/>
          <w:right w:w="0" w:type="dxa"/>
        </w:tblCellMar>
      </w:tblPr>
      <w:tr>
        <w:trPr>
          <w:trHeight w:val="296"/>
        </w:trPr>
        <w:tc>
          <w:tcPr>
            <w:tcW w:w="1960" w:type="dxa"/>
            <w:vAlign w:val="bottom"/>
            <w:tcBorders>
              <w:top w:val="single" w:sz="8" w:color="auto"/>
              <w:left w:val="single" w:sz="8" w:color="auto"/>
              <w:bottom w:val="single" w:sz="8" w:color="auto"/>
            </w:tcBorders>
            <w:shd w:val="clear" w:color="auto" w:fill="9DB8D2"/>
          </w:tcPr>
          <w:p>
            <w:pPr>
              <w:ind w:left="220"/>
              <w:spacing w:after="0"/>
              <w:rPr>
                <w:sz w:val="20"/>
                <w:szCs w:val="20"/>
                <w:color w:val="auto"/>
              </w:rPr>
            </w:pPr>
            <w:r>
              <w:rPr>
                <w:rFonts w:ascii="Arial" w:cs="Arial" w:eastAsia="Arial" w:hAnsi="Arial"/>
                <w:sz w:val="14"/>
                <w:szCs w:val="14"/>
                <w:b w:val="1"/>
                <w:bCs w:val="1"/>
                <w:color w:val="auto"/>
              </w:rPr>
              <w:t>Compensation Element</w:t>
            </w:r>
          </w:p>
        </w:tc>
        <w:tc>
          <w:tcPr>
            <w:tcW w:w="3240" w:type="dxa"/>
            <w:vAlign w:val="bottom"/>
            <w:tcBorders>
              <w:top w:val="single" w:sz="8" w:color="auto"/>
              <w:bottom w:val="single" w:sz="8" w:color="auto"/>
            </w:tcBorders>
            <w:shd w:val="clear" w:color="auto" w:fill="9DB8D2"/>
          </w:tcPr>
          <w:p>
            <w:pPr>
              <w:ind w:left="100"/>
              <w:spacing w:after="0"/>
              <w:rPr>
                <w:sz w:val="20"/>
                <w:szCs w:val="20"/>
                <w:color w:val="auto"/>
              </w:rPr>
            </w:pPr>
            <w:r>
              <w:rPr>
                <w:rFonts w:ascii="Arial" w:cs="Arial" w:eastAsia="Arial" w:hAnsi="Arial"/>
                <w:sz w:val="14"/>
                <w:szCs w:val="14"/>
                <w:b w:val="1"/>
                <w:bCs w:val="1"/>
                <w:color w:val="auto"/>
              </w:rPr>
              <w:t>Key Characteristics</w:t>
            </w:r>
          </w:p>
        </w:tc>
        <w:tc>
          <w:tcPr>
            <w:tcW w:w="2960" w:type="dxa"/>
            <w:vAlign w:val="bottom"/>
            <w:tcBorders>
              <w:top w:val="single" w:sz="8" w:color="auto"/>
              <w:bottom w:val="single" w:sz="8" w:color="auto"/>
            </w:tcBorders>
            <w:gridSpan w:val="2"/>
            <w:shd w:val="clear" w:color="auto" w:fill="9DB8D2"/>
          </w:tcPr>
          <w:p>
            <w:pPr>
              <w:ind w:left="60"/>
              <w:spacing w:after="0"/>
              <w:rPr>
                <w:sz w:val="20"/>
                <w:szCs w:val="20"/>
                <w:color w:val="auto"/>
              </w:rPr>
            </w:pPr>
            <w:r>
              <w:rPr>
                <w:rFonts w:ascii="Arial" w:cs="Arial" w:eastAsia="Arial" w:hAnsi="Arial"/>
                <w:sz w:val="14"/>
                <w:szCs w:val="14"/>
                <w:b w:val="1"/>
                <w:bCs w:val="1"/>
                <w:color w:val="auto"/>
              </w:rPr>
              <w:t>Objective and Determination</w:t>
            </w:r>
          </w:p>
        </w:tc>
        <w:tc>
          <w:tcPr>
            <w:tcW w:w="2880" w:type="dxa"/>
            <w:vAlign w:val="bottom"/>
            <w:tcBorders>
              <w:top w:val="single" w:sz="8" w:color="auto"/>
              <w:bottom w:val="single" w:sz="8" w:color="auto"/>
              <w:right w:val="single" w:sz="8" w:color="auto"/>
            </w:tcBorders>
            <w:gridSpan w:val="2"/>
            <w:shd w:val="clear" w:color="auto" w:fill="9DB8D2"/>
          </w:tcPr>
          <w:p>
            <w:pPr>
              <w:ind w:left="80"/>
              <w:spacing w:after="0"/>
              <w:rPr>
                <w:sz w:val="20"/>
                <w:szCs w:val="20"/>
                <w:color w:val="auto"/>
              </w:rPr>
            </w:pPr>
            <w:r>
              <w:rPr>
                <w:rFonts w:ascii="Arial" w:cs="Arial" w:eastAsia="Arial" w:hAnsi="Arial"/>
                <w:sz w:val="14"/>
                <w:szCs w:val="14"/>
                <w:b w:val="1"/>
                <w:bCs w:val="1"/>
                <w:color w:val="auto"/>
              </w:rPr>
              <w:t>2017 Decisions</w:t>
            </w:r>
          </w:p>
        </w:tc>
      </w:tr>
      <w:tr>
        <w:trPr>
          <w:trHeight w:val="141"/>
        </w:trPr>
        <w:tc>
          <w:tcPr>
            <w:tcW w:w="1960" w:type="dxa"/>
            <w:vAlign w:val="bottom"/>
            <w:tcBorders>
              <w:left w:val="single" w:sz="8" w:color="auto"/>
            </w:tcBorders>
            <w:shd w:val="clear" w:color="auto" w:fill="E6EDF3"/>
          </w:tcPr>
          <w:p>
            <w:pPr>
              <w:ind w:left="140"/>
              <w:spacing w:after="0" w:line="141" w:lineRule="exact"/>
              <w:rPr>
                <w:sz w:val="20"/>
                <w:szCs w:val="20"/>
                <w:color w:val="auto"/>
              </w:rPr>
            </w:pPr>
            <w:r>
              <w:rPr>
                <w:rFonts w:ascii="Arial" w:cs="Arial" w:eastAsia="Arial" w:hAnsi="Arial"/>
                <w:sz w:val="14"/>
                <w:szCs w:val="14"/>
                <w:b w:val="1"/>
                <w:bCs w:val="1"/>
                <w:color w:val="auto"/>
              </w:rPr>
              <w:t>Qualified Retirement</w:t>
            </w:r>
          </w:p>
        </w:tc>
        <w:tc>
          <w:tcPr>
            <w:tcW w:w="3240" w:type="dxa"/>
            <w:vAlign w:val="bottom"/>
            <w:shd w:val="clear" w:color="auto" w:fill="E6EDF3"/>
          </w:tcPr>
          <w:p>
            <w:pPr>
              <w:ind w:left="100"/>
              <w:spacing w:after="0" w:line="141" w:lineRule="exact"/>
              <w:rPr>
                <w:sz w:val="20"/>
                <w:szCs w:val="20"/>
                <w:color w:val="auto"/>
              </w:rPr>
            </w:pPr>
            <w:r>
              <w:rPr>
                <w:rFonts w:ascii="Arial" w:cs="Arial" w:eastAsia="Arial" w:hAnsi="Arial"/>
                <w:sz w:val="14"/>
                <w:szCs w:val="14"/>
                <w:color w:val="auto"/>
              </w:rPr>
              <w:t>None.</w:t>
            </w:r>
          </w:p>
        </w:tc>
        <w:tc>
          <w:tcPr>
            <w:tcW w:w="140" w:type="dxa"/>
            <w:vAlign w:val="bottom"/>
            <w:shd w:val="clear" w:color="auto" w:fill="E6EDF3"/>
          </w:tcPr>
          <w:p>
            <w:pPr>
              <w:ind w:left="60"/>
              <w:spacing w:after="0" w:line="141" w:lineRule="exact"/>
              <w:rPr>
                <w:sz w:val="20"/>
                <w:szCs w:val="20"/>
                <w:color w:val="auto"/>
              </w:rPr>
            </w:pPr>
            <w:r>
              <w:rPr>
                <w:rFonts w:ascii="Arial" w:cs="Arial" w:eastAsia="Arial" w:hAnsi="Arial"/>
                <w:sz w:val="14"/>
                <w:szCs w:val="14"/>
                <w:color w:val="5D89B4"/>
              </w:rPr>
              <w:t>•</w:t>
            </w:r>
          </w:p>
        </w:tc>
        <w:tc>
          <w:tcPr>
            <w:tcW w:w="2820" w:type="dxa"/>
            <w:vAlign w:val="bottom"/>
            <w:shd w:val="clear" w:color="auto" w:fill="E6EDF3"/>
          </w:tcPr>
          <w:p>
            <w:pPr>
              <w:ind w:left="40"/>
              <w:spacing w:after="0" w:line="141" w:lineRule="exact"/>
              <w:rPr>
                <w:sz w:val="20"/>
                <w:szCs w:val="20"/>
                <w:color w:val="auto"/>
              </w:rPr>
            </w:pPr>
            <w:r>
              <w:rPr>
                <w:rFonts w:ascii="Arial" w:cs="Arial" w:eastAsia="Arial" w:hAnsi="Arial"/>
                <w:sz w:val="14"/>
                <w:szCs w:val="14"/>
                <w:color w:val="auto"/>
              </w:rPr>
              <w:t>No pension plan benefit in the United</w:t>
            </w:r>
          </w:p>
        </w:tc>
        <w:tc>
          <w:tcPr>
            <w:tcW w:w="180" w:type="dxa"/>
            <w:vAlign w:val="bottom"/>
            <w:shd w:val="clear" w:color="auto" w:fill="E6EDF3"/>
          </w:tcPr>
          <w:p>
            <w:pPr>
              <w:ind w:left="80"/>
              <w:spacing w:after="0" w:line="141" w:lineRule="exact"/>
              <w:rPr>
                <w:sz w:val="20"/>
                <w:szCs w:val="20"/>
                <w:color w:val="auto"/>
              </w:rPr>
            </w:pPr>
            <w:r>
              <w:rPr>
                <w:rFonts w:ascii="Arial" w:cs="Arial" w:eastAsia="Arial" w:hAnsi="Arial"/>
                <w:sz w:val="14"/>
                <w:szCs w:val="14"/>
                <w:color w:val="5D89B4"/>
              </w:rPr>
              <w:t>•</w:t>
            </w:r>
          </w:p>
        </w:tc>
        <w:tc>
          <w:tcPr>
            <w:tcW w:w="2700" w:type="dxa"/>
            <w:vAlign w:val="bottom"/>
            <w:tcBorders>
              <w:right w:val="single" w:sz="8" w:color="auto"/>
            </w:tcBorders>
            <w:shd w:val="clear" w:color="auto" w:fill="E6EDF3"/>
          </w:tcPr>
          <w:p>
            <w:pPr>
              <w:ind w:left="40"/>
              <w:spacing w:after="0" w:line="141" w:lineRule="exact"/>
              <w:rPr>
                <w:sz w:val="20"/>
                <w:szCs w:val="20"/>
                <w:color w:val="auto"/>
              </w:rPr>
            </w:pPr>
            <w:r>
              <w:rPr>
                <w:rFonts w:ascii="Arial" w:cs="Arial" w:eastAsia="Arial" w:hAnsi="Arial"/>
                <w:sz w:val="14"/>
                <w:szCs w:val="14"/>
                <w:color w:val="auto"/>
              </w:rPr>
              <w:t>Ms. Swan participated in the catch-up</w:t>
            </w:r>
          </w:p>
        </w:tc>
      </w:tr>
      <w:tr>
        <w:trPr>
          <w:trHeight w:val="164"/>
        </w:trPr>
        <w:tc>
          <w:tcPr>
            <w:tcW w:w="1960" w:type="dxa"/>
            <w:vAlign w:val="bottom"/>
            <w:tcBorders>
              <w:left w:val="single" w:sz="8" w:color="auto"/>
            </w:tcBorders>
            <w:shd w:val="clear" w:color="auto" w:fill="E6EDF3"/>
          </w:tcPr>
          <w:p>
            <w:pPr>
              <w:ind w:left="140"/>
              <w:spacing w:after="0"/>
              <w:rPr>
                <w:sz w:val="20"/>
                <w:szCs w:val="20"/>
                <w:color w:val="auto"/>
              </w:rPr>
            </w:pPr>
            <w:r>
              <w:rPr>
                <w:rFonts w:ascii="Arial" w:cs="Arial" w:eastAsia="Arial" w:hAnsi="Arial"/>
                <w:sz w:val="14"/>
                <w:szCs w:val="14"/>
                <w:b w:val="1"/>
                <w:bCs w:val="1"/>
                <w:color w:val="auto"/>
              </w:rPr>
              <w:t>Plans</w:t>
            </w: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States, as we froze the qualified,</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contribution under the 401(k) plan in</w:t>
            </w: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noncontributory defined benefit pension</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2017.</w:t>
            </w: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plan, as well as the nonqualified,</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noncontributory defined benefit deferred</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compensation plans as of February 29,</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94"/>
        </w:trPr>
        <w:tc>
          <w:tcPr>
            <w:tcW w:w="1960" w:type="dxa"/>
            <w:vAlign w:val="bottom"/>
            <w:tcBorders>
              <w:left w:val="single" w:sz="8" w:color="auto"/>
            </w:tcBorders>
            <w:shd w:val="clear" w:color="auto" w:fill="E6EDF3"/>
          </w:tcPr>
          <w:p>
            <w:pPr>
              <w:spacing w:after="0"/>
              <w:rPr>
                <w:sz w:val="16"/>
                <w:szCs w:val="16"/>
                <w:color w:val="auto"/>
              </w:rPr>
            </w:pPr>
          </w:p>
        </w:tc>
        <w:tc>
          <w:tcPr>
            <w:tcW w:w="3240" w:type="dxa"/>
            <w:vAlign w:val="bottom"/>
            <w:shd w:val="clear" w:color="auto" w:fill="E6EDF3"/>
          </w:tcPr>
          <w:p>
            <w:pPr>
              <w:spacing w:after="0"/>
              <w:rPr>
                <w:sz w:val="16"/>
                <w:szCs w:val="16"/>
                <w:color w:val="auto"/>
              </w:rPr>
            </w:pPr>
          </w:p>
        </w:tc>
        <w:tc>
          <w:tcPr>
            <w:tcW w:w="140" w:type="dxa"/>
            <w:vAlign w:val="bottom"/>
            <w:shd w:val="clear" w:color="auto" w:fill="E6EDF3"/>
          </w:tcPr>
          <w:p>
            <w:pPr>
              <w:spacing w:after="0"/>
              <w:rPr>
                <w:sz w:val="16"/>
                <w:szCs w:val="16"/>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2000.</w:t>
            </w:r>
          </w:p>
        </w:tc>
        <w:tc>
          <w:tcPr>
            <w:tcW w:w="180" w:type="dxa"/>
            <w:vAlign w:val="bottom"/>
            <w:shd w:val="clear" w:color="auto" w:fill="E6EDF3"/>
          </w:tcPr>
          <w:p>
            <w:pPr>
              <w:spacing w:after="0"/>
              <w:rPr>
                <w:sz w:val="16"/>
                <w:szCs w:val="16"/>
                <w:color w:val="auto"/>
              </w:rPr>
            </w:pPr>
          </w:p>
        </w:tc>
        <w:tc>
          <w:tcPr>
            <w:tcW w:w="2700" w:type="dxa"/>
            <w:vAlign w:val="bottom"/>
            <w:tcBorders>
              <w:right w:val="single" w:sz="8" w:color="auto"/>
            </w:tcBorders>
            <w:shd w:val="clear" w:color="auto" w:fill="E6EDF3"/>
          </w:tcPr>
          <w:p>
            <w:pPr>
              <w:spacing w:after="0"/>
              <w:rPr>
                <w:sz w:val="16"/>
                <w:szCs w:val="16"/>
                <w:color w:val="auto"/>
              </w:rPr>
            </w:pPr>
          </w:p>
        </w:tc>
      </w:tr>
      <w:tr>
        <w:trPr>
          <w:trHeight w:val="197"/>
        </w:trPr>
        <w:tc>
          <w:tcPr>
            <w:tcW w:w="1960" w:type="dxa"/>
            <w:vAlign w:val="bottom"/>
            <w:tcBorders>
              <w:left w:val="single" w:sz="8" w:color="auto"/>
            </w:tcBorders>
            <w:shd w:val="clear" w:color="auto" w:fill="E6EDF3"/>
          </w:tcPr>
          <w:p>
            <w:pPr>
              <w:spacing w:after="0"/>
              <w:rPr>
                <w:sz w:val="17"/>
                <w:szCs w:val="17"/>
                <w:color w:val="auto"/>
              </w:rPr>
            </w:pPr>
          </w:p>
        </w:tc>
        <w:tc>
          <w:tcPr>
            <w:tcW w:w="3240" w:type="dxa"/>
            <w:vAlign w:val="bottom"/>
            <w:shd w:val="clear" w:color="auto" w:fill="E6EDF3"/>
          </w:tcPr>
          <w:p>
            <w:pPr>
              <w:spacing w:after="0"/>
              <w:rPr>
                <w:sz w:val="17"/>
                <w:szCs w:val="17"/>
                <w:color w:val="auto"/>
              </w:rPr>
            </w:pPr>
          </w:p>
        </w:tc>
        <w:tc>
          <w:tcPr>
            <w:tcW w:w="2960" w:type="dxa"/>
            <w:vAlign w:val="bottom"/>
            <w:gridSpan w:val="2"/>
            <w:shd w:val="clear" w:color="auto" w:fill="E6EDF3"/>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Although we maintain a qualified 401(k)</w:t>
            </w:r>
          </w:p>
        </w:tc>
        <w:tc>
          <w:tcPr>
            <w:tcW w:w="180" w:type="dxa"/>
            <w:vAlign w:val="bottom"/>
            <w:shd w:val="clear" w:color="auto" w:fill="E6EDF3"/>
          </w:tcPr>
          <w:p>
            <w:pPr>
              <w:spacing w:after="0"/>
              <w:rPr>
                <w:sz w:val="17"/>
                <w:szCs w:val="17"/>
                <w:color w:val="auto"/>
              </w:rPr>
            </w:pPr>
          </w:p>
        </w:tc>
        <w:tc>
          <w:tcPr>
            <w:tcW w:w="2700" w:type="dxa"/>
            <w:vAlign w:val="bottom"/>
            <w:tcBorders>
              <w:right w:val="single" w:sz="8" w:color="auto"/>
            </w:tcBorders>
            <w:shd w:val="clear" w:color="auto" w:fill="E6EDF3"/>
          </w:tcPr>
          <w:p>
            <w:pPr>
              <w:spacing w:after="0"/>
              <w:rPr>
                <w:sz w:val="17"/>
                <w:szCs w:val="17"/>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plan in the United States, our NEOs are</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not eligible to participate (except as</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described in the following sentence)</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because of limitations on participation by</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highly compensated employees under the</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rules governing such plans. NEOs are</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eligible to participate only in the first year</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of their employment and in making</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catch-up contributions for individuals over</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234"/>
        </w:trPr>
        <w:tc>
          <w:tcPr>
            <w:tcW w:w="1960" w:type="dxa"/>
            <w:vAlign w:val="bottom"/>
            <w:tcBorders>
              <w:left w:val="single" w:sz="8" w:color="auto"/>
              <w:bottom w:val="single" w:sz="8" w:color="E6EDF3"/>
            </w:tcBorders>
            <w:shd w:val="clear" w:color="auto" w:fill="E6EDF3"/>
          </w:tcPr>
          <w:p>
            <w:pPr>
              <w:spacing w:after="0"/>
              <w:rPr>
                <w:sz w:val="19"/>
                <w:szCs w:val="19"/>
                <w:color w:val="auto"/>
              </w:rPr>
            </w:pPr>
          </w:p>
        </w:tc>
        <w:tc>
          <w:tcPr>
            <w:tcW w:w="3240" w:type="dxa"/>
            <w:vAlign w:val="bottom"/>
            <w:tcBorders>
              <w:bottom w:val="single" w:sz="8" w:color="E6EDF3"/>
            </w:tcBorders>
            <w:shd w:val="clear" w:color="auto" w:fill="E6EDF3"/>
          </w:tcPr>
          <w:p>
            <w:pPr>
              <w:spacing w:after="0"/>
              <w:rPr>
                <w:sz w:val="19"/>
                <w:szCs w:val="19"/>
                <w:color w:val="auto"/>
              </w:rPr>
            </w:pPr>
          </w:p>
        </w:tc>
        <w:tc>
          <w:tcPr>
            <w:tcW w:w="140" w:type="dxa"/>
            <w:vAlign w:val="bottom"/>
            <w:tcBorders>
              <w:bottom w:val="single" w:sz="8" w:color="E6EDF3"/>
            </w:tcBorders>
            <w:shd w:val="clear" w:color="auto" w:fill="E6EDF3"/>
          </w:tcPr>
          <w:p>
            <w:pPr>
              <w:spacing w:after="0"/>
              <w:rPr>
                <w:sz w:val="19"/>
                <w:szCs w:val="19"/>
                <w:color w:val="auto"/>
              </w:rPr>
            </w:pPr>
          </w:p>
        </w:tc>
        <w:tc>
          <w:tcPr>
            <w:tcW w:w="28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4"/>
                <w:szCs w:val="14"/>
                <w:color w:val="auto"/>
              </w:rPr>
              <w:t>the age of 50.</w:t>
            </w:r>
          </w:p>
        </w:tc>
        <w:tc>
          <w:tcPr>
            <w:tcW w:w="180" w:type="dxa"/>
            <w:vAlign w:val="bottom"/>
            <w:tcBorders>
              <w:bottom w:val="single" w:sz="8" w:color="E6EDF3"/>
            </w:tcBorders>
            <w:shd w:val="clear" w:color="auto" w:fill="E6EDF3"/>
          </w:tcPr>
          <w:p>
            <w:pPr>
              <w:spacing w:after="0"/>
              <w:rPr>
                <w:sz w:val="19"/>
                <w:szCs w:val="19"/>
                <w:color w:val="auto"/>
              </w:rPr>
            </w:pPr>
          </w:p>
        </w:tc>
        <w:tc>
          <w:tcPr>
            <w:tcW w:w="2700" w:type="dxa"/>
            <w:vAlign w:val="bottom"/>
            <w:tcBorders>
              <w:bottom w:val="single" w:sz="8" w:color="E6EDF3"/>
              <w:right w:val="single" w:sz="8" w:color="auto"/>
            </w:tcBorders>
            <w:shd w:val="clear" w:color="auto" w:fill="E6EDF3"/>
          </w:tcPr>
          <w:p>
            <w:pPr>
              <w:spacing w:after="0"/>
              <w:rPr>
                <w:sz w:val="19"/>
                <w:szCs w:val="19"/>
                <w:color w:val="auto"/>
              </w:rPr>
            </w:pPr>
          </w:p>
        </w:tc>
      </w:tr>
      <w:tr>
        <w:trPr>
          <w:trHeight w:val="142"/>
        </w:trPr>
        <w:tc>
          <w:tcPr>
            <w:tcW w:w="1960" w:type="dxa"/>
            <w:vAlign w:val="bottom"/>
            <w:tcBorders>
              <w:top w:val="single" w:sz="8" w:color="auto"/>
              <w:left w:val="single" w:sz="8" w:color="auto"/>
            </w:tcBorders>
          </w:tcPr>
          <w:p>
            <w:pPr>
              <w:ind w:left="140"/>
              <w:spacing w:after="0" w:line="143" w:lineRule="exact"/>
              <w:rPr>
                <w:sz w:val="20"/>
                <w:szCs w:val="20"/>
                <w:color w:val="auto"/>
              </w:rPr>
            </w:pPr>
            <w:r>
              <w:rPr>
                <w:rFonts w:ascii="Arial" w:cs="Arial" w:eastAsia="Arial" w:hAnsi="Arial"/>
                <w:sz w:val="14"/>
                <w:szCs w:val="14"/>
                <w:b w:val="1"/>
                <w:bCs w:val="1"/>
                <w:color w:val="auto"/>
              </w:rPr>
              <w:t>Nonqualified Savings Plan</w:t>
            </w:r>
          </w:p>
        </w:tc>
        <w:tc>
          <w:tcPr>
            <w:tcW w:w="324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4"/>
                <w:szCs w:val="14"/>
                <w:color w:val="auto"/>
              </w:rPr>
              <w:t>Similar to a 401(k) plan, however not as flexible</w:t>
            </w:r>
          </w:p>
        </w:tc>
        <w:tc>
          <w:tcPr>
            <w:tcW w:w="14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5D89B4"/>
              </w:rPr>
              <w:t>•</w:t>
            </w:r>
          </w:p>
        </w:tc>
        <w:tc>
          <w:tcPr>
            <w:tcW w:w="2820" w:type="dxa"/>
            <w:vAlign w:val="bottom"/>
            <w:tcBorders>
              <w:top w:val="single" w:sz="8" w:color="auto"/>
            </w:tcBorders>
          </w:tcPr>
          <w:p>
            <w:pPr>
              <w:ind w:left="40"/>
              <w:spacing w:after="0" w:line="143" w:lineRule="exact"/>
              <w:rPr>
                <w:sz w:val="20"/>
                <w:szCs w:val="20"/>
                <w:color w:val="auto"/>
              </w:rPr>
            </w:pPr>
            <w:r>
              <w:rPr>
                <w:rFonts w:ascii="Arial" w:cs="Arial" w:eastAsia="Arial" w:hAnsi="Arial"/>
                <w:sz w:val="14"/>
                <w:szCs w:val="14"/>
                <w:color w:val="auto"/>
              </w:rPr>
              <w:t>Used to provide NEOs with reasonably</w:t>
            </w:r>
          </w:p>
        </w:tc>
        <w:tc>
          <w:tcPr>
            <w:tcW w:w="180" w:type="dxa"/>
            <w:vAlign w:val="bottom"/>
            <w:tcBorders>
              <w:top w:val="single" w:sz="8" w:color="auto"/>
            </w:tcBorders>
          </w:tcPr>
          <w:p>
            <w:pPr>
              <w:ind w:left="80"/>
              <w:spacing w:after="0" w:line="143" w:lineRule="exact"/>
              <w:rPr>
                <w:sz w:val="20"/>
                <w:szCs w:val="20"/>
                <w:color w:val="auto"/>
              </w:rPr>
            </w:pPr>
            <w:r>
              <w:rPr>
                <w:rFonts w:ascii="Arial" w:cs="Arial" w:eastAsia="Arial" w:hAnsi="Arial"/>
                <w:sz w:val="14"/>
                <w:szCs w:val="14"/>
                <w:color w:val="5D89B4"/>
              </w:rPr>
              <w:t>•</w:t>
            </w:r>
          </w:p>
        </w:tc>
        <w:tc>
          <w:tcPr>
            <w:tcW w:w="2700" w:type="dxa"/>
            <w:vAlign w:val="bottom"/>
            <w:tcBorders>
              <w:top w:val="single" w:sz="8" w:color="auto"/>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Mr. Prising, Mr. McGinnis and Ms. Swan</w:t>
            </w: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ind w:left="100"/>
              <w:spacing w:after="0"/>
              <w:rPr>
                <w:sz w:val="20"/>
                <w:szCs w:val="20"/>
                <w:color w:val="auto"/>
              </w:rPr>
            </w:pPr>
            <w:r>
              <w:rPr>
                <w:rFonts w:ascii="Arial" w:cs="Arial" w:eastAsia="Arial" w:hAnsi="Arial"/>
                <w:sz w:val="14"/>
                <w:szCs w:val="14"/>
                <w:color w:val="auto"/>
              </w:rPr>
              <w:t>in regards to timing of the payouts of the</w:t>
            </w: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competitive benefits to those in the</w:t>
            </w:r>
          </w:p>
        </w:tc>
        <w:tc>
          <w:tcPr>
            <w:tcW w:w="180" w:type="dxa"/>
            <w:vAlign w:val="bottom"/>
          </w:tcPr>
          <w:p>
            <w:pPr>
              <w:spacing w:after="0"/>
              <w:rPr>
                <w:sz w:val="14"/>
                <w:szCs w:val="14"/>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participated in the NQSP in 2017.</w:t>
            </w: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ind w:left="100"/>
              <w:spacing w:after="0"/>
              <w:rPr>
                <w:sz w:val="20"/>
                <w:szCs w:val="20"/>
                <w:color w:val="auto"/>
              </w:rPr>
            </w:pPr>
            <w:r>
              <w:rPr>
                <w:rFonts w:ascii="Arial" w:cs="Arial" w:eastAsia="Arial" w:hAnsi="Arial"/>
                <w:sz w:val="14"/>
                <w:szCs w:val="14"/>
                <w:color w:val="auto"/>
              </w:rPr>
              <w:t>retirement benefits for nonqualified plans.</w:t>
            </w: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competitive market. NEOs are eligible to</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ind w:left="100"/>
              <w:spacing w:after="0"/>
              <w:rPr>
                <w:sz w:val="20"/>
                <w:szCs w:val="20"/>
                <w:color w:val="auto"/>
              </w:rPr>
            </w:pPr>
            <w:r>
              <w:rPr>
                <w:rFonts w:ascii="Arial" w:cs="Arial" w:eastAsia="Arial" w:hAnsi="Arial"/>
                <w:sz w:val="14"/>
                <w:szCs w:val="14"/>
                <w:color w:val="auto"/>
              </w:rPr>
              <w:t>These benefits are unsecured and subject to</w:t>
            </w: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participate after the first year of</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r>
      <w:tr>
        <w:trPr>
          <w:trHeight w:val="194"/>
        </w:trPr>
        <w:tc>
          <w:tcPr>
            <w:tcW w:w="1960" w:type="dxa"/>
            <w:vAlign w:val="bottom"/>
            <w:tcBorders>
              <w:left w:val="single" w:sz="8" w:color="auto"/>
            </w:tcBorders>
          </w:tcPr>
          <w:p>
            <w:pPr>
              <w:spacing w:after="0"/>
              <w:rPr>
                <w:sz w:val="16"/>
                <w:szCs w:val="16"/>
                <w:color w:val="auto"/>
              </w:rPr>
            </w:pPr>
          </w:p>
        </w:tc>
        <w:tc>
          <w:tcPr>
            <w:tcW w:w="3240" w:type="dxa"/>
            <w:vAlign w:val="bottom"/>
          </w:tcPr>
          <w:p>
            <w:pPr>
              <w:ind w:left="100"/>
              <w:spacing w:after="0"/>
              <w:rPr>
                <w:sz w:val="20"/>
                <w:szCs w:val="20"/>
                <w:color w:val="auto"/>
              </w:rPr>
            </w:pPr>
            <w:r>
              <w:rPr>
                <w:rFonts w:ascii="Arial" w:cs="Arial" w:eastAsia="Arial" w:hAnsi="Arial"/>
                <w:sz w:val="14"/>
                <w:szCs w:val="14"/>
                <w:color w:val="auto"/>
              </w:rPr>
              <w:t>risk of forfeiture in bankruptcy.</w:t>
            </w:r>
          </w:p>
        </w:tc>
        <w:tc>
          <w:tcPr>
            <w:tcW w:w="14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employment.</w:t>
            </w:r>
          </w:p>
        </w:tc>
        <w:tc>
          <w:tcPr>
            <w:tcW w:w="18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r>
      <w:tr>
        <w:trPr>
          <w:trHeight w:val="35"/>
        </w:trPr>
        <w:tc>
          <w:tcPr>
            <w:tcW w:w="1960" w:type="dxa"/>
            <w:vAlign w:val="bottom"/>
            <w:tcBorders>
              <w:left w:val="single" w:sz="8" w:color="auto"/>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r>
      <w:tr>
        <w:trPr>
          <w:trHeight w:val="142"/>
        </w:trPr>
        <w:tc>
          <w:tcPr>
            <w:tcW w:w="1960" w:type="dxa"/>
            <w:vAlign w:val="bottom"/>
            <w:tcBorders>
              <w:left w:val="single" w:sz="8" w:color="auto"/>
            </w:tcBorders>
            <w:shd w:val="clear" w:color="auto" w:fill="E6EDF3"/>
          </w:tcPr>
          <w:p>
            <w:pPr>
              <w:ind w:left="140"/>
              <w:spacing w:after="0" w:line="143" w:lineRule="exact"/>
              <w:rPr>
                <w:sz w:val="20"/>
                <w:szCs w:val="20"/>
                <w:color w:val="auto"/>
              </w:rPr>
            </w:pPr>
            <w:r>
              <w:rPr>
                <w:rFonts w:ascii="Arial" w:cs="Arial" w:eastAsia="Arial" w:hAnsi="Arial"/>
                <w:sz w:val="14"/>
                <w:szCs w:val="14"/>
                <w:b w:val="1"/>
                <w:bCs w:val="1"/>
                <w:color w:val="auto"/>
              </w:rPr>
              <w:t>Career Shares</w:t>
            </w:r>
          </w:p>
        </w:tc>
        <w:tc>
          <w:tcPr>
            <w:tcW w:w="3240" w:type="dxa"/>
            <w:vAlign w:val="bottom"/>
            <w:shd w:val="clear" w:color="auto" w:fill="E6EDF3"/>
          </w:tcPr>
          <w:p>
            <w:pPr>
              <w:ind w:left="100"/>
              <w:spacing w:after="0" w:line="143" w:lineRule="exact"/>
              <w:rPr>
                <w:sz w:val="20"/>
                <w:szCs w:val="20"/>
                <w:color w:val="auto"/>
              </w:rPr>
            </w:pPr>
            <w:r>
              <w:rPr>
                <w:rFonts w:ascii="Arial" w:cs="Arial" w:eastAsia="Arial" w:hAnsi="Arial"/>
                <w:sz w:val="14"/>
                <w:szCs w:val="14"/>
                <w:color w:val="auto"/>
              </w:rPr>
              <w:t>Used selectively by the Committee, taking into</w:t>
            </w:r>
          </w:p>
        </w:tc>
        <w:tc>
          <w:tcPr>
            <w:tcW w:w="140" w:type="dxa"/>
            <w:vAlign w:val="bottom"/>
            <w:shd w:val="clear" w:color="auto" w:fill="E6EDF3"/>
          </w:tcPr>
          <w:p>
            <w:pPr>
              <w:ind w:left="60"/>
              <w:spacing w:after="0" w:line="143" w:lineRule="exact"/>
              <w:rPr>
                <w:sz w:val="20"/>
                <w:szCs w:val="20"/>
                <w:color w:val="auto"/>
              </w:rPr>
            </w:pPr>
            <w:r>
              <w:rPr>
                <w:rFonts w:ascii="Arial" w:cs="Arial" w:eastAsia="Arial" w:hAnsi="Arial"/>
                <w:sz w:val="14"/>
                <w:szCs w:val="14"/>
                <w:color w:val="5D89B4"/>
              </w:rPr>
              <w:t>•</w:t>
            </w:r>
          </w:p>
        </w:tc>
        <w:tc>
          <w:tcPr>
            <w:tcW w:w="2820" w:type="dxa"/>
            <w:vAlign w:val="bottom"/>
            <w:shd w:val="clear" w:color="auto" w:fill="E6EDF3"/>
          </w:tcPr>
          <w:p>
            <w:pPr>
              <w:ind w:left="40"/>
              <w:spacing w:after="0" w:line="143" w:lineRule="exact"/>
              <w:rPr>
                <w:sz w:val="20"/>
                <w:szCs w:val="20"/>
                <w:color w:val="auto"/>
              </w:rPr>
            </w:pPr>
            <w:r>
              <w:rPr>
                <w:rFonts w:ascii="Arial" w:cs="Arial" w:eastAsia="Arial" w:hAnsi="Arial"/>
                <w:sz w:val="14"/>
                <w:szCs w:val="14"/>
                <w:color w:val="auto"/>
              </w:rPr>
              <w:t>Used as an incentive in the form of</w:t>
            </w:r>
          </w:p>
        </w:tc>
        <w:tc>
          <w:tcPr>
            <w:tcW w:w="180" w:type="dxa"/>
            <w:vAlign w:val="bottom"/>
            <w:shd w:val="clear" w:color="auto" w:fill="E6EDF3"/>
          </w:tcPr>
          <w:p>
            <w:pPr>
              <w:ind w:left="80"/>
              <w:spacing w:after="0" w:line="143" w:lineRule="exact"/>
              <w:rPr>
                <w:sz w:val="20"/>
                <w:szCs w:val="20"/>
                <w:color w:val="auto"/>
              </w:rPr>
            </w:pPr>
            <w:r>
              <w:rPr>
                <w:rFonts w:ascii="Arial" w:cs="Arial" w:eastAsia="Arial" w:hAnsi="Arial"/>
                <w:sz w:val="14"/>
                <w:szCs w:val="14"/>
                <w:color w:val="5D89B4"/>
              </w:rPr>
              <w:t>•</w:t>
            </w:r>
          </w:p>
        </w:tc>
        <w:tc>
          <w:tcPr>
            <w:tcW w:w="2700" w:type="dxa"/>
            <w:vAlign w:val="bottom"/>
            <w:tcBorders>
              <w:right w:val="single" w:sz="8" w:color="auto"/>
            </w:tcBorders>
            <w:shd w:val="clear" w:color="auto" w:fill="E6EDF3"/>
          </w:tcPr>
          <w:p>
            <w:pPr>
              <w:ind w:left="40"/>
              <w:spacing w:after="0" w:line="143" w:lineRule="exact"/>
              <w:rPr>
                <w:sz w:val="20"/>
                <w:szCs w:val="20"/>
                <w:color w:val="auto"/>
              </w:rPr>
            </w:pPr>
            <w:r>
              <w:rPr>
                <w:rFonts w:ascii="Arial" w:cs="Arial" w:eastAsia="Arial" w:hAnsi="Arial"/>
                <w:sz w:val="14"/>
                <w:szCs w:val="14"/>
                <w:color w:val="auto"/>
              </w:rPr>
              <w:t>No grants of career shares were made</w:t>
            </w: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account what is most appropriate for an NEO in</w:t>
            </w: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restricted stock units to attract and retain</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to the NEOs in 2017.</w:t>
            </w: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view of the retention incentive provided by the</w:t>
            </w: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executives. The Committee considers</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162"/>
        </w:trPr>
        <w:tc>
          <w:tcPr>
            <w:tcW w:w="1960" w:type="dxa"/>
            <w:vAlign w:val="bottom"/>
            <w:tcBorders>
              <w:left w:val="single" w:sz="8" w:color="auto"/>
            </w:tcBorders>
            <w:shd w:val="clear" w:color="auto" w:fill="E6EDF3"/>
          </w:tcPr>
          <w:p>
            <w:pPr>
              <w:spacing w:after="0"/>
              <w:rPr>
                <w:sz w:val="14"/>
                <w:szCs w:val="14"/>
                <w:color w:val="auto"/>
              </w:rPr>
            </w:pPr>
          </w:p>
        </w:tc>
        <w:tc>
          <w:tcPr>
            <w:tcW w:w="32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award. Restricted stock units vest completely on</w:t>
            </w:r>
          </w:p>
        </w:tc>
        <w:tc>
          <w:tcPr>
            <w:tcW w:w="140" w:type="dxa"/>
            <w:vAlign w:val="bottom"/>
            <w:shd w:val="clear" w:color="auto" w:fill="E6EDF3"/>
          </w:tcPr>
          <w:p>
            <w:pPr>
              <w:spacing w:after="0"/>
              <w:rPr>
                <w:sz w:val="14"/>
                <w:szCs w:val="14"/>
                <w:color w:val="auto"/>
              </w:rPr>
            </w:pPr>
          </w:p>
        </w:tc>
        <w:tc>
          <w:tcPr>
            <w:tcW w:w="2820" w:type="dxa"/>
            <w:vAlign w:val="bottom"/>
            <w:shd w:val="clear" w:color="auto" w:fill="E6EDF3"/>
          </w:tcPr>
          <w:p>
            <w:pPr>
              <w:ind w:left="60"/>
              <w:spacing w:after="0"/>
              <w:rPr>
                <w:sz w:val="20"/>
                <w:szCs w:val="20"/>
                <w:color w:val="auto"/>
              </w:rPr>
            </w:pPr>
            <w:r>
              <w:rPr>
                <w:rFonts w:ascii="Arial" w:cs="Arial" w:eastAsia="Arial" w:hAnsi="Arial"/>
                <w:sz w:val="14"/>
                <w:szCs w:val="14"/>
                <w:color w:val="auto"/>
              </w:rPr>
              <w:t>each year whether to make any such</w:t>
            </w:r>
          </w:p>
        </w:tc>
        <w:tc>
          <w:tcPr>
            <w:tcW w:w="180" w:type="dxa"/>
            <w:vAlign w:val="bottom"/>
            <w:shd w:val="clear" w:color="auto" w:fill="E6EDF3"/>
          </w:tcPr>
          <w:p>
            <w:pPr>
              <w:spacing w:after="0"/>
              <w:rPr>
                <w:sz w:val="14"/>
                <w:szCs w:val="14"/>
                <w:color w:val="auto"/>
              </w:rPr>
            </w:pPr>
          </w:p>
        </w:tc>
        <w:tc>
          <w:tcPr>
            <w:tcW w:w="2700" w:type="dxa"/>
            <w:vAlign w:val="bottom"/>
            <w:tcBorders>
              <w:right w:val="single" w:sz="8" w:color="auto"/>
            </w:tcBorders>
            <w:shd w:val="clear" w:color="auto" w:fill="E6EDF3"/>
          </w:tcPr>
          <w:p>
            <w:pPr>
              <w:spacing w:after="0"/>
              <w:rPr>
                <w:sz w:val="14"/>
                <w:szCs w:val="14"/>
                <w:color w:val="auto"/>
              </w:rPr>
            </w:pPr>
          </w:p>
        </w:tc>
      </w:tr>
      <w:tr>
        <w:trPr>
          <w:trHeight w:val="234"/>
        </w:trPr>
        <w:tc>
          <w:tcPr>
            <w:tcW w:w="1960" w:type="dxa"/>
            <w:vAlign w:val="bottom"/>
            <w:tcBorders>
              <w:left w:val="single" w:sz="8" w:color="auto"/>
              <w:bottom w:val="single" w:sz="8" w:color="E6EDF3"/>
            </w:tcBorders>
            <w:shd w:val="clear" w:color="auto" w:fill="E6EDF3"/>
          </w:tcPr>
          <w:p>
            <w:pPr>
              <w:spacing w:after="0"/>
              <w:rPr>
                <w:sz w:val="19"/>
                <w:szCs w:val="19"/>
                <w:color w:val="auto"/>
              </w:rPr>
            </w:pPr>
          </w:p>
        </w:tc>
        <w:tc>
          <w:tcPr>
            <w:tcW w:w="3240" w:type="dxa"/>
            <w:vAlign w:val="bottom"/>
            <w:tcBorders>
              <w:bottom w:val="single" w:sz="8" w:color="E6EDF3"/>
            </w:tcBorders>
            <w:shd w:val="clear" w:color="auto" w:fill="E6EDF3"/>
          </w:tcPr>
          <w:p>
            <w:pPr>
              <w:ind w:left="100"/>
              <w:spacing w:after="0"/>
              <w:rPr>
                <w:sz w:val="20"/>
                <w:szCs w:val="20"/>
                <w:color w:val="auto"/>
              </w:rPr>
            </w:pPr>
            <w:r>
              <w:rPr>
                <w:rFonts w:ascii="Arial" w:cs="Arial" w:eastAsia="Arial" w:hAnsi="Arial"/>
                <w:sz w:val="14"/>
                <w:szCs w:val="14"/>
                <w:color w:val="auto"/>
              </w:rPr>
              <w:t>a single date several years into the future.</w:t>
            </w:r>
          </w:p>
        </w:tc>
        <w:tc>
          <w:tcPr>
            <w:tcW w:w="140" w:type="dxa"/>
            <w:vAlign w:val="bottom"/>
            <w:tcBorders>
              <w:bottom w:val="single" w:sz="8" w:color="E6EDF3"/>
            </w:tcBorders>
            <w:shd w:val="clear" w:color="auto" w:fill="E6EDF3"/>
          </w:tcPr>
          <w:p>
            <w:pPr>
              <w:spacing w:after="0"/>
              <w:rPr>
                <w:sz w:val="19"/>
                <w:szCs w:val="19"/>
                <w:color w:val="auto"/>
              </w:rPr>
            </w:pPr>
          </w:p>
        </w:tc>
        <w:tc>
          <w:tcPr>
            <w:tcW w:w="28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4"/>
                <w:szCs w:val="14"/>
                <w:color w:val="auto"/>
              </w:rPr>
              <w:t>grants and to whom.</w:t>
            </w:r>
          </w:p>
        </w:tc>
        <w:tc>
          <w:tcPr>
            <w:tcW w:w="180" w:type="dxa"/>
            <w:vAlign w:val="bottom"/>
            <w:tcBorders>
              <w:bottom w:val="single" w:sz="8" w:color="E6EDF3"/>
            </w:tcBorders>
            <w:shd w:val="clear" w:color="auto" w:fill="E6EDF3"/>
          </w:tcPr>
          <w:p>
            <w:pPr>
              <w:spacing w:after="0"/>
              <w:rPr>
                <w:sz w:val="19"/>
                <w:szCs w:val="19"/>
                <w:color w:val="auto"/>
              </w:rPr>
            </w:pPr>
          </w:p>
        </w:tc>
        <w:tc>
          <w:tcPr>
            <w:tcW w:w="2700" w:type="dxa"/>
            <w:vAlign w:val="bottom"/>
            <w:tcBorders>
              <w:bottom w:val="single" w:sz="8" w:color="E6EDF3"/>
              <w:right w:val="single" w:sz="8" w:color="auto"/>
            </w:tcBorders>
            <w:shd w:val="clear" w:color="auto" w:fill="E6EDF3"/>
          </w:tcPr>
          <w:p>
            <w:pPr>
              <w:spacing w:after="0"/>
              <w:rPr>
                <w:sz w:val="19"/>
                <w:szCs w:val="19"/>
                <w:color w:val="auto"/>
              </w:rPr>
            </w:pPr>
          </w:p>
        </w:tc>
      </w:tr>
      <w:tr>
        <w:trPr>
          <w:trHeight w:val="142"/>
        </w:trPr>
        <w:tc>
          <w:tcPr>
            <w:tcW w:w="1960" w:type="dxa"/>
            <w:vAlign w:val="bottom"/>
            <w:tcBorders>
              <w:top w:val="single" w:sz="8" w:color="auto"/>
              <w:left w:val="single" w:sz="8" w:color="auto"/>
            </w:tcBorders>
          </w:tcPr>
          <w:p>
            <w:pPr>
              <w:ind w:left="140"/>
              <w:spacing w:after="0" w:line="143" w:lineRule="exact"/>
              <w:rPr>
                <w:sz w:val="20"/>
                <w:szCs w:val="20"/>
                <w:color w:val="auto"/>
              </w:rPr>
            </w:pPr>
            <w:r>
              <w:rPr>
                <w:rFonts w:ascii="Arial" w:cs="Arial" w:eastAsia="Arial" w:hAnsi="Arial"/>
                <w:sz w:val="14"/>
                <w:szCs w:val="14"/>
                <w:b w:val="1"/>
                <w:bCs w:val="1"/>
                <w:color w:val="auto"/>
              </w:rPr>
              <w:t>Other Benefits</w:t>
            </w:r>
          </w:p>
        </w:tc>
        <w:tc>
          <w:tcPr>
            <w:tcW w:w="324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4"/>
                <w:szCs w:val="14"/>
                <w:color w:val="auto"/>
              </w:rPr>
              <w:t>Used to attract and retain talent needed in the</w:t>
            </w:r>
          </w:p>
        </w:tc>
        <w:tc>
          <w:tcPr>
            <w:tcW w:w="14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5D89B4"/>
              </w:rPr>
              <w:t>•</w:t>
            </w:r>
          </w:p>
        </w:tc>
        <w:tc>
          <w:tcPr>
            <w:tcW w:w="2820" w:type="dxa"/>
            <w:vAlign w:val="bottom"/>
            <w:tcBorders>
              <w:top w:val="single" w:sz="8" w:color="auto"/>
            </w:tcBorders>
          </w:tcPr>
          <w:p>
            <w:pPr>
              <w:ind w:left="40"/>
              <w:spacing w:after="0" w:line="143" w:lineRule="exact"/>
              <w:rPr>
                <w:sz w:val="20"/>
                <w:szCs w:val="20"/>
                <w:color w:val="auto"/>
              </w:rPr>
            </w:pPr>
            <w:r>
              <w:rPr>
                <w:rFonts w:ascii="Arial" w:cs="Arial" w:eastAsia="Arial" w:hAnsi="Arial"/>
                <w:sz w:val="14"/>
                <w:szCs w:val="14"/>
                <w:color w:val="auto"/>
              </w:rPr>
              <w:t>Additional benefits include financial</w:t>
            </w:r>
          </w:p>
        </w:tc>
        <w:tc>
          <w:tcPr>
            <w:tcW w:w="180" w:type="dxa"/>
            <w:vAlign w:val="bottom"/>
            <w:tcBorders>
              <w:top w:val="single" w:sz="8" w:color="auto"/>
            </w:tcBorders>
          </w:tcPr>
          <w:p>
            <w:pPr>
              <w:ind w:left="80"/>
              <w:spacing w:after="0" w:line="143" w:lineRule="exact"/>
              <w:rPr>
                <w:sz w:val="20"/>
                <w:szCs w:val="20"/>
                <w:color w:val="auto"/>
              </w:rPr>
            </w:pPr>
            <w:r>
              <w:rPr>
                <w:rFonts w:ascii="Arial" w:cs="Arial" w:eastAsia="Arial" w:hAnsi="Arial"/>
                <w:sz w:val="14"/>
                <w:szCs w:val="14"/>
                <w:color w:val="5D89B4"/>
              </w:rPr>
              <w:t>•</w:t>
            </w:r>
          </w:p>
        </w:tc>
        <w:tc>
          <w:tcPr>
            <w:tcW w:w="2700" w:type="dxa"/>
            <w:vAlign w:val="bottom"/>
            <w:tcBorders>
              <w:top w:val="single" w:sz="8" w:color="auto"/>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Limited participation by the NEOs in</w:t>
            </w: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ind w:left="100"/>
              <w:spacing w:after="0"/>
              <w:rPr>
                <w:sz w:val="20"/>
                <w:szCs w:val="20"/>
                <w:color w:val="auto"/>
              </w:rPr>
            </w:pPr>
            <w:r>
              <w:rPr>
                <w:rFonts w:ascii="Arial" w:cs="Arial" w:eastAsia="Arial" w:hAnsi="Arial"/>
                <w:sz w:val="14"/>
                <w:szCs w:val="14"/>
                <w:color w:val="auto"/>
              </w:rPr>
              <w:t>business.</w:t>
            </w: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planning reimbursement and broad-based</w:t>
            </w:r>
          </w:p>
        </w:tc>
        <w:tc>
          <w:tcPr>
            <w:tcW w:w="180" w:type="dxa"/>
            <w:vAlign w:val="bottom"/>
          </w:tcPr>
          <w:p>
            <w:pPr>
              <w:spacing w:after="0"/>
              <w:rPr>
                <w:sz w:val="14"/>
                <w:szCs w:val="14"/>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these programs.</w:t>
            </w: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automobile benefits, selected benefits for</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expatriate executives, participation in</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broad-based employee benefit plans, and</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r>
      <w:tr>
        <w:trPr>
          <w:trHeight w:val="162"/>
        </w:trPr>
        <w:tc>
          <w:tcPr>
            <w:tcW w:w="1960" w:type="dxa"/>
            <w:vAlign w:val="bottom"/>
            <w:tcBorders>
              <w:left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certain other benefits required by local law</w:t>
            </w:r>
          </w:p>
        </w:tc>
        <w:tc>
          <w:tcPr>
            <w:tcW w:w="180" w:type="dxa"/>
            <w:vAlign w:val="bottom"/>
          </w:tcPr>
          <w:p>
            <w:pPr>
              <w:spacing w:after="0"/>
              <w:rPr>
                <w:sz w:val="14"/>
                <w:szCs w:val="14"/>
                <w:color w:val="auto"/>
              </w:rPr>
            </w:pPr>
          </w:p>
        </w:tc>
        <w:tc>
          <w:tcPr>
            <w:tcW w:w="2700" w:type="dxa"/>
            <w:vAlign w:val="bottom"/>
            <w:tcBorders>
              <w:right w:val="single" w:sz="8" w:color="auto"/>
            </w:tcBorders>
          </w:tcPr>
          <w:p>
            <w:pPr>
              <w:spacing w:after="0"/>
              <w:rPr>
                <w:sz w:val="14"/>
                <w:szCs w:val="14"/>
                <w:color w:val="auto"/>
              </w:rPr>
            </w:pPr>
          </w:p>
        </w:tc>
      </w:tr>
      <w:tr>
        <w:trPr>
          <w:trHeight w:val="194"/>
        </w:trPr>
        <w:tc>
          <w:tcPr>
            <w:tcW w:w="1960" w:type="dxa"/>
            <w:vAlign w:val="bottom"/>
            <w:tcBorders>
              <w:left w:val="single" w:sz="8" w:color="auto"/>
            </w:tcBorders>
          </w:tcPr>
          <w:p>
            <w:pPr>
              <w:spacing w:after="0"/>
              <w:rPr>
                <w:sz w:val="16"/>
                <w:szCs w:val="16"/>
                <w:color w:val="auto"/>
              </w:rPr>
            </w:pPr>
          </w:p>
        </w:tc>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or driven by local market practice.</w:t>
            </w:r>
          </w:p>
        </w:tc>
        <w:tc>
          <w:tcPr>
            <w:tcW w:w="18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r>
      <w:tr>
        <w:trPr>
          <w:trHeight w:val="35"/>
        </w:trPr>
        <w:tc>
          <w:tcPr>
            <w:tcW w:w="1960" w:type="dxa"/>
            <w:vAlign w:val="bottom"/>
            <w:tcBorders>
              <w:left w:val="single" w:sz="8" w:color="auto"/>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r>
    </w:tbl>
    <w:p>
      <w:pPr>
        <w:spacing w:after="0" w:line="29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Pay for Results</w:t>
      </w:r>
    </w:p>
    <w:p>
      <w:pPr>
        <w:spacing w:after="0" w:line="170" w:lineRule="exact"/>
        <w:rPr>
          <w:sz w:val="20"/>
          <w:szCs w:val="20"/>
          <w:color w:val="auto"/>
        </w:rPr>
      </w:pPr>
    </w:p>
    <w:p>
      <w:pPr>
        <w:ind w:left="200" w:right="600"/>
        <w:spacing w:after="0" w:line="276" w:lineRule="auto"/>
        <w:rPr>
          <w:sz w:val="20"/>
          <w:szCs w:val="20"/>
          <w:color w:val="auto"/>
        </w:rPr>
      </w:pPr>
      <w:r>
        <w:rPr>
          <w:rFonts w:ascii="Arial" w:cs="Arial" w:eastAsia="Arial" w:hAnsi="Arial"/>
          <w:sz w:val="18"/>
          <w:szCs w:val="18"/>
          <w:color w:val="auto"/>
        </w:rPr>
        <w:t>Our executive compensation program is designed to motivate our NEOs to contribute to the Company’s long-term performance and success. As such, the following pay components include pay for results features:</w:t>
      </w:r>
    </w:p>
    <w:p>
      <w:pPr>
        <w:spacing w:after="0" w:line="76" w:lineRule="exact"/>
        <w:rPr>
          <w:sz w:val="20"/>
          <w:szCs w:val="20"/>
          <w:color w:val="auto"/>
        </w:rPr>
      </w:pPr>
    </w:p>
    <w:p>
      <w:pPr>
        <w:ind w:left="640" w:right="40" w:hanging="328"/>
        <w:spacing w:after="0" w:line="242" w:lineRule="auto"/>
        <w:tabs>
          <w:tab w:leader="none" w:pos="640" w:val="left"/>
        </w:tabs>
        <w:numPr>
          <w:ilvl w:val="0"/>
          <w:numId w:val="41"/>
        </w:numPr>
        <w:rPr>
          <w:rFonts w:ascii="Arial" w:cs="Arial" w:eastAsia="Arial" w:hAnsi="Arial"/>
          <w:sz w:val="18"/>
          <w:szCs w:val="18"/>
          <w:color w:val="5D89B4"/>
        </w:rPr>
      </w:pPr>
      <w:r>
        <w:rPr>
          <w:rFonts w:ascii="Arial" w:cs="Arial" w:eastAsia="Arial" w:hAnsi="Arial"/>
          <w:sz w:val="18"/>
          <w:szCs w:val="18"/>
          <w:b w:val="1"/>
          <w:bCs w:val="1"/>
          <w:color w:val="auto"/>
        </w:rPr>
        <w:t xml:space="preserve">Annual Incentive Award: </w:t>
      </w:r>
      <w:r>
        <w:rPr>
          <w:rFonts w:ascii="Arial" w:cs="Arial" w:eastAsia="Arial" w:hAnsi="Arial"/>
          <w:sz w:val="18"/>
          <w:szCs w:val="18"/>
          <w:color w:val="auto"/>
        </w:rPr>
        <w:t>Performance goal ranges for our cash-based annual incentive award were established for Mr. Prising,</w:t>
      </w:r>
      <w:r>
        <w:rPr>
          <w:rFonts w:ascii="Arial" w:cs="Arial" w:eastAsia="Arial" w:hAnsi="Arial"/>
          <w:sz w:val="18"/>
          <w:szCs w:val="18"/>
          <w:b w:val="1"/>
          <w:bCs w:val="1"/>
          <w:color w:val="auto"/>
        </w:rPr>
        <w:t xml:space="preserve"> </w:t>
      </w:r>
      <w:r>
        <w:rPr>
          <w:rFonts w:ascii="Arial" w:cs="Arial" w:eastAsia="Arial" w:hAnsi="Arial"/>
          <w:sz w:val="18"/>
          <w:szCs w:val="18"/>
          <w:color w:val="auto"/>
        </w:rPr>
        <w:t>Mr. McGinnis, Mr. Green and Ms. Swan for the performance metrics EPS and ROIC. For Mr. Chandrashekar, performance ranges were established for EPS, ROIC and AOUP, since his responsibilities included an operating unit. Award opportunities are established for achievement at threshold, target and outstanding levels. Payouts are generally based on actual performance on these metrics as well as the individual operating objectives for each NEO. For 2017, incentive awards for the NEOs were made under the Pool Plan, which dictates that the NEOs cannot receive more than their allocable share of the Pool established under the Pool Plan. The maximum aggregate annual incentives that can be earned by the NEOs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34</w:t>
      </w:r>
    </w:p>
    <w:p>
      <w:pPr>
        <w:sectPr>
          <w:pgSz w:w="11900" w:h="16838" w:orient="portrait"/>
          <w:cols w:equalWidth="0" w:num="1">
            <w:col w:w="11240"/>
          </w:cols>
          <w:pgMar w:left="240" w:top="455" w:right="41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640"/>
        <w:spacing w:after="0" w:line="276" w:lineRule="auto"/>
        <w:rPr>
          <w:sz w:val="20"/>
          <w:szCs w:val="20"/>
          <w:color w:val="auto"/>
        </w:rPr>
      </w:pPr>
      <w:r>
        <w:rPr>
          <w:rFonts w:ascii="Arial" w:cs="Arial" w:eastAsia="Arial" w:hAnsi="Arial"/>
          <w:sz w:val="18"/>
          <w:szCs w:val="18"/>
          <w:color w:val="auto"/>
        </w:rPr>
        <w:t>under the Pool Plan is determined using a percentage of gross profit. The higher the gross profit, the larger the Pool. See page 40 for further discussion regarding the use of the Pool Plan in 2017.</w:t>
      </w:r>
    </w:p>
    <w:p>
      <w:pPr>
        <w:spacing w:after="0" w:line="8" w:lineRule="exact"/>
        <w:rPr>
          <w:sz w:val="20"/>
          <w:szCs w:val="20"/>
          <w:color w:val="auto"/>
        </w:rPr>
      </w:pPr>
    </w:p>
    <w:p>
      <w:pPr>
        <w:ind w:left="640" w:hanging="328"/>
        <w:spacing w:after="0" w:line="243" w:lineRule="auto"/>
        <w:tabs>
          <w:tab w:leader="none" w:pos="640" w:val="left"/>
        </w:tabs>
        <w:numPr>
          <w:ilvl w:val="0"/>
          <w:numId w:val="42"/>
        </w:numPr>
        <w:rPr>
          <w:rFonts w:ascii="Arial" w:cs="Arial" w:eastAsia="Arial" w:hAnsi="Arial"/>
          <w:sz w:val="18"/>
          <w:szCs w:val="18"/>
          <w:color w:val="5D89B4"/>
        </w:rPr>
      </w:pPr>
      <w:r>
        <w:rPr>
          <w:rFonts w:ascii="Arial" w:cs="Arial" w:eastAsia="Arial" w:hAnsi="Arial"/>
          <w:sz w:val="18"/>
          <w:szCs w:val="18"/>
          <w:b w:val="1"/>
          <w:bCs w:val="1"/>
          <w:color w:val="auto"/>
        </w:rPr>
        <w:t xml:space="preserve">Performance Share Units: </w:t>
      </w:r>
      <w:r>
        <w:rPr>
          <w:rFonts w:ascii="Arial" w:cs="Arial" w:eastAsia="Arial" w:hAnsi="Arial"/>
          <w:sz w:val="18"/>
          <w:szCs w:val="18"/>
          <w:color w:val="auto"/>
        </w:rPr>
        <w:t>Approximately 60% of the NEOs’ long-term awards for 2017 were made in the form of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share units. As stated earlier, the NEOs receive a certain number of shares of stock at the end of a specified period based on achievement measured against pre-established performance goals for that period, typically operating profit margin percent. Similar to 2016, the Committee used a three-year performance period (2017-2019) for performance share unit awards. Award opportunities are established for achievement at threshold, target and outstanding levels. The Committee believes using operating profit margin percent is appropriate because it is a driver of shareholder value.</w:t>
      </w:r>
    </w:p>
    <w:p>
      <w:pPr>
        <w:spacing w:after="0" w:line="39" w:lineRule="exact"/>
        <w:rPr>
          <w:rFonts w:ascii="Arial" w:cs="Arial" w:eastAsia="Arial" w:hAnsi="Arial"/>
          <w:sz w:val="18"/>
          <w:szCs w:val="18"/>
          <w:color w:val="5D89B4"/>
        </w:rPr>
      </w:pPr>
    </w:p>
    <w:p>
      <w:pPr>
        <w:jc w:val="both"/>
        <w:ind w:left="640" w:right="100" w:hanging="328"/>
        <w:spacing w:after="0" w:line="256" w:lineRule="auto"/>
        <w:tabs>
          <w:tab w:leader="none" w:pos="640" w:val="left"/>
        </w:tabs>
        <w:numPr>
          <w:ilvl w:val="0"/>
          <w:numId w:val="42"/>
        </w:numPr>
        <w:rPr>
          <w:rFonts w:ascii="Arial" w:cs="Arial" w:eastAsia="Arial" w:hAnsi="Arial"/>
          <w:sz w:val="18"/>
          <w:szCs w:val="18"/>
          <w:color w:val="5D89B4"/>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Approximately 20% of the NEOs’ long-term awards are made in the form of stock options. The Committee believes</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provide an important overall longer term incentive for the NEOs. Because stock options are granted at a specific value on the date of grant, the ultimate compensation realized will depend on the stock price at the time of exercise.</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Target Total Compensation</w:t>
      </w:r>
    </w:p>
    <w:p>
      <w:pPr>
        <w:spacing w:after="0" w:line="17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Target total compensation is the value of the compensation package that is intended to be delivered based on performance against pre-established goals. The following chart illustrates for each of the NEOs the composition of his or her target total compensation for 2017 among the various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135890</wp:posOffset>
            </wp:positionV>
            <wp:extent cx="5222875" cy="32670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22875"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right="160"/>
        <w:spacing w:after="0" w:line="248" w:lineRule="auto"/>
        <w:rPr>
          <w:sz w:val="20"/>
          <w:szCs w:val="20"/>
          <w:color w:val="auto"/>
        </w:rPr>
      </w:pPr>
      <w:r>
        <w:rPr>
          <w:rFonts w:ascii="Arial" w:cs="Arial" w:eastAsia="Arial" w:hAnsi="Arial"/>
          <w:sz w:val="18"/>
          <w:szCs w:val="18"/>
          <w:color w:val="auto"/>
        </w:rPr>
        <w:t>The Committee’s compensation consultant, Mercer, provides the Committee with market data that is used in setting target levels for compensation for the NEOs. Actual compensation paid out to the NEOs in a given year may vary significantly from the target levels depending on the actual performance achieved under the pre-established financial and operating goals set by the Committee. The target compensation is detailed for each NEO in the following table.</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right="660"/>
        <w:spacing w:after="0" w:line="276" w:lineRule="auto"/>
        <w:rPr>
          <w:sz w:val="20"/>
          <w:szCs w:val="20"/>
          <w:color w:val="auto"/>
        </w:rPr>
      </w:pPr>
      <w:r>
        <w:rPr>
          <w:rFonts w:ascii="Arial" w:cs="Arial" w:eastAsia="Arial" w:hAnsi="Arial"/>
          <w:sz w:val="18"/>
          <w:szCs w:val="18"/>
          <w:color w:val="auto"/>
        </w:rPr>
        <w:t>This table outlines the values of the various elements and the percentage of each NEO’s total target compensation package that is variable (both short- and long-term) and performance-based (both short- and long-term).</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2017 NEO Target Compensation</w:t>
      </w:r>
    </w:p>
    <w:p>
      <w:pPr>
        <w:spacing w:after="0" w:line="122"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2360" w:type="dxa"/>
            <w:vAlign w:val="bottom"/>
            <w:tcBorders>
              <w:top w:val="single" w:sz="8" w:color="auto"/>
            </w:tcBorders>
            <w:shd w:val="clear" w:color="auto" w:fill="9DB8D2"/>
          </w:tcPr>
          <w:p>
            <w:pPr>
              <w:spacing w:after="0"/>
              <w:rPr>
                <w:sz w:val="22"/>
                <w:szCs w:val="22"/>
                <w:color w:val="auto"/>
              </w:rPr>
            </w:pPr>
          </w:p>
        </w:tc>
        <w:tc>
          <w:tcPr>
            <w:tcW w:w="1180" w:type="dxa"/>
            <w:vAlign w:val="bottom"/>
            <w:tcBorders>
              <w:top w:val="single" w:sz="8" w:color="auto"/>
            </w:tcBorders>
            <w:shd w:val="clear" w:color="auto" w:fill="9DB8D2"/>
          </w:tcPr>
          <w:p>
            <w:pPr>
              <w:spacing w:after="0"/>
              <w:rPr>
                <w:sz w:val="22"/>
                <w:szCs w:val="22"/>
                <w:color w:val="auto"/>
              </w:rPr>
            </w:pPr>
          </w:p>
        </w:tc>
        <w:tc>
          <w:tcPr>
            <w:tcW w:w="1120" w:type="dxa"/>
            <w:vAlign w:val="bottom"/>
            <w:tcBorders>
              <w:top w:val="single" w:sz="8" w:color="auto"/>
            </w:tcBorders>
            <w:shd w:val="clear" w:color="auto" w:fill="9DB8D2"/>
          </w:tcPr>
          <w:p>
            <w:pPr>
              <w:spacing w:after="0"/>
              <w:rPr>
                <w:sz w:val="22"/>
                <w:szCs w:val="22"/>
                <w:color w:val="auto"/>
              </w:rPr>
            </w:pPr>
          </w:p>
        </w:tc>
        <w:tc>
          <w:tcPr>
            <w:tcW w:w="1120" w:type="dxa"/>
            <w:vAlign w:val="bottom"/>
            <w:tcBorders>
              <w:top w:val="single" w:sz="8" w:color="auto"/>
            </w:tcBorders>
            <w:shd w:val="clear" w:color="auto" w:fill="9DB8D2"/>
          </w:tcPr>
          <w:p>
            <w:pPr>
              <w:spacing w:after="0"/>
              <w:rPr>
                <w:sz w:val="22"/>
                <w:szCs w:val="22"/>
                <w:color w:val="auto"/>
              </w:rPr>
            </w:pPr>
          </w:p>
        </w:tc>
        <w:tc>
          <w:tcPr>
            <w:tcW w:w="1200" w:type="dxa"/>
            <w:vAlign w:val="bottom"/>
            <w:tcBorders>
              <w:top w:val="single" w:sz="8" w:color="auto"/>
            </w:tcBorders>
            <w:shd w:val="clear" w:color="auto" w:fill="9DB8D2"/>
          </w:tcPr>
          <w:p>
            <w:pPr>
              <w:spacing w:after="0"/>
              <w:rPr>
                <w:sz w:val="22"/>
                <w:szCs w:val="22"/>
                <w:color w:val="auto"/>
              </w:rPr>
            </w:pPr>
          </w:p>
        </w:tc>
        <w:tc>
          <w:tcPr>
            <w:tcW w:w="1140" w:type="dxa"/>
            <w:vAlign w:val="bottom"/>
            <w:tcBorders>
              <w:top w:val="single" w:sz="8" w:color="auto"/>
            </w:tcBorders>
            <w:shd w:val="clear" w:color="auto" w:fill="9DB8D2"/>
          </w:tcPr>
          <w:p>
            <w:pPr>
              <w:spacing w:after="0"/>
              <w:rPr>
                <w:sz w:val="22"/>
                <w:szCs w:val="22"/>
                <w:color w:val="auto"/>
              </w:rPr>
            </w:pPr>
          </w:p>
        </w:tc>
        <w:tc>
          <w:tcPr>
            <w:tcW w:w="112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jc w:val="center"/>
              <w:ind w:left="3"/>
              <w:spacing w:after="0"/>
              <w:rPr>
                <w:sz w:val="20"/>
                <w:szCs w:val="20"/>
                <w:color w:val="auto"/>
              </w:rPr>
            </w:pPr>
            <w:r>
              <w:rPr>
                <w:rFonts w:ascii="Arial" w:cs="Arial" w:eastAsia="Arial" w:hAnsi="Arial"/>
                <w:sz w:val="14"/>
                <w:szCs w:val="14"/>
                <w:b w:val="1"/>
                <w:bCs w:val="1"/>
                <w:color w:val="auto"/>
              </w:rPr>
              <w:t>% Total</w:t>
            </w:r>
          </w:p>
        </w:tc>
        <w:tc>
          <w:tcPr>
            <w:tcW w:w="960" w:type="dxa"/>
            <w:vAlign w:val="bottom"/>
            <w:tcBorders>
              <w:top w:val="single" w:sz="8" w:color="auto"/>
            </w:tcBorders>
            <w:shd w:val="clear" w:color="auto" w:fill="9DB8D2"/>
          </w:tcPr>
          <w:p>
            <w:pPr>
              <w:jc w:val="right"/>
              <w:spacing w:after="0"/>
              <w:rPr>
                <w:sz w:val="20"/>
                <w:szCs w:val="20"/>
                <w:color w:val="auto"/>
              </w:rPr>
            </w:pPr>
            <w:r>
              <w:rPr>
                <w:rFonts w:ascii="Arial" w:cs="Arial" w:eastAsia="Arial" w:hAnsi="Arial"/>
                <w:sz w:val="14"/>
                <w:szCs w:val="14"/>
                <w:b w:val="1"/>
                <w:bCs w:val="1"/>
                <w:color w:val="auto"/>
              </w:rPr>
              <w:t>% Total 2017</w:t>
            </w:r>
          </w:p>
        </w:tc>
      </w:tr>
      <w:tr>
        <w:trPr>
          <w:trHeight w:val="162"/>
        </w:trPr>
        <w:tc>
          <w:tcPr>
            <w:tcW w:w="2360" w:type="dxa"/>
            <w:vAlign w:val="bottom"/>
            <w:shd w:val="clear" w:color="auto" w:fill="9DB8D2"/>
          </w:tcPr>
          <w:p>
            <w:pPr>
              <w:spacing w:after="0"/>
              <w:rPr>
                <w:sz w:val="14"/>
                <w:szCs w:val="14"/>
                <w:color w:val="auto"/>
              </w:rPr>
            </w:pPr>
          </w:p>
        </w:tc>
        <w:tc>
          <w:tcPr>
            <w:tcW w:w="1180" w:type="dxa"/>
            <w:vAlign w:val="bottom"/>
            <w:shd w:val="clear" w:color="auto" w:fill="9DB8D2"/>
          </w:tcPr>
          <w:p>
            <w:pPr>
              <w:spacing w:after="0"/>
              <w:rPr>
                <w:sz w:val="14"/>
                <w:szCs w:val="14"/>
                <w:color w:val="auto"/>
              </w:rPr>
            </w:pPr>
          </w:p>
        </w:tc>
        <w:tc>
          <w:tcPr>
            <w:tcW w:w="1120" w:type="dxa"/>
            <w:vAlign w:val="bottom"/>
            <w:shd w:val="clear" w:color="auto" w:fill="9DB8D2"/>
          </w:tcPr>
          <w:p>
            <w:pPr>
              <w:spacing w:after="0"/>
              <w:rPr>
                <w:sz w:val="14"/>
                <w:szCs w:val="14"/>
                <w:color w:val="auto"/>
              </w:rPr>
            </w:pPr>
          </w:p>
        </w:tc>
        <w:tc>
          <w:tcPr>
            <w:tcW w:w="1120" w:type="dxa"/>
            <w:vAlign w:val="bottom"/>
            <w:shd w:val="clear" w:color="auto" w:fill="9DB8D2"/>
          </w:tcPr>
          <w:p>
            <w:pPr>
              <w:spacing w:after="0"/>
              <w:rPr>
                <w:sz w:val="14"/>
                <w:szCs w:val="14"/>
                <w:color w:val="auto"/>
              </w:rPr>
            </w:pPr>
          </w:p>
        </w:tc>
        <w:tc>
          <w:tcPr>
            <w:tcW w:w="1200" w:type="dxa"/>
            <w:vAlign w:val="bottom"/>
            <w:shd w:val="clear" w:color="auto" w:fill="9DB8D2"/>
          </w:tcPr>
          <w:p>
            <w:pPr>
              <w:spacing w:after="0"/>
              <w:rPr>
                <w:sz w:val="14"/>
                <w:szCs w:val="14"/>
                <w:color w:val="auto"/>
              </w:rPr>
            </w:pPr>
          </w:p>
        </w:tc>
        <w:tc>
          <w:tcPr>
            <w:tcW w:w="1140" w:type="dxa"/>
            <w:vAlign w:val="bottom"/>
            <w:shd w:val="clear" w:color="auto" w:fill="9DB8D2"/>
          </w:tcPr>
          <w:p>
            <w:pPr>
              <w:spacing w:after="0"/>
              <w:rPr>
                <w:sz w:val="14"/>
                <w:szCs w:val="14"/>
                <w:color w:val="auto"/>
              </w:rPr>
            </w:pPr>
          </w:p>
        </w:tc>
        <w:tc>
          <w:tcPr>
            <w:tcW w:w="1120" w:type="dxa"/>
            <w:vAlign w:val="bottom"/>
            <w:shd w:val="clear" w:color="auto" w:fill="9DB8D2"/>
          </w:tcPr>
          <w:p>
            <w:pPr>
              <w:spacing w:after="0"/>
              <w:rPr>
                <w:sz w:val="14"/>
                <w:szCs w:val="14"/>
                <w:color w:val="auto"/>
              </w:rPr>
            </w:pPr>
          </w:p>
        </w:tc>
        <w:tc>
          <w:tcPr>
            <w:tcW w:w="820" w:type="dxa"/>
            <w:vAlign w:val="bottom"/>
            <w:shd w:val="clear" w:color="auto" w:fill="9DB8D2"/>
          </w:tcPr>
          <w:p>
            <w:pPr>
              <w:jc w:val="right"/>
              <w:ind w:right="123"/>
              <w:spacing w:after="0"/>
              <w:rPr>
                <w:sz w:val="20"/>
                <w:szCs w:val="20"/>
                <w:color w:val="auto"/>
              </w:rPr>
            </w:pPr>
            <w:r>
              <w:rPr>
                <w:rFonts w:ascii="Arial" w:cs="Arial" w:eastAsia="Arial" w:hAnsi="Arial"/>
                <w:sz w:val="14"/>
                <w:szCs w:val="14"/>
                <w:b w:val="1"/>
                <w:bCs w:val="1"/>
                <w:color w:val="auto"/>
              </w:rPr>
              <w:t>2017</w:t>
            </w:r>
          </w:p>
        </w:tc>
        <w:tc>
          <w:tcPr>
            <w:tcW w:w="9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Target</w:t>
            </w:r>
          </w:p>
        </w:tc>
      </w:tr>
      <w:tr>
        <w:trPr>
          <w:trHeight w:val="162"/>
        </w:trPr>
        <w:tc>
          <w:tcPr>
            <w:tcW w:w="2360" w:type="dxa"/>
            <w:vAlign w:val="bottom"/>
            <w:shd w:val="clear" w:color="auto" w:fill="9DB8D2"/>
          </w:tcPr>
          <w:p>
            <w:pPr>
              <w:spacing w:after="0"/>
              <w:rPr>
                <w:sz w:val="14"/>
                <w:szCs w:val="14"/>
                <w:color w:val="auto"/>
              </w:rPr>
            </w:pPr>
          </w:p>
        </w:tc>
        <w:tc>
          <w:tcPr>
            <w:tcW w:w="1180" w:type="dxa"/>
            <w:vAlign w:val="bottom"/>
            <w:shd w:val="clear" w:color="auto" w:fill="9DB8D2"/>
          </w:tcPr>
          <w:p>
            <w:pPr>
              <w:spacing w:after="0"/>
              <w:rPr>
                <w:sz w:val="14"/>
                <w:szCs w:val="14"/>
                <w:color w:val="auto"/>
              </w:rPr>
            </w:pPr>
          </w:p>
        </w:tc>
        <w:tc>
          <w:tcPr>
            <w:tcW w:w="1120" w:type="dxa"/>
            <w:vAlign w:val="bottom"/>
            <w:shd w:val="clear" w:color="auto" w:fill="9DB8D2"/>
          </w:tcPr>
          <w:p>
            <w:pPr>
              <w:spacing w:after="0"/>
              <w:rPr>
                <w:sz w:val="14"/>
                <w:szCs w:val="14"/>
                <w:color w:val="auto"/>
              </w:rPr>
            </w:pPr>
          </w:p>
        </w:tc>
        <w:tc>
          <w:tcPr>
            <w:tcW w:w="1120" w:type="dxa"/>
            <w:vAlign w:val="bottom"/>
            <w:shd w:val="clear" w:color="auto" w:fill="9DB8D2"/>
          </w:tcPr>
          <w:p>
            <w:pPr>
              <w:spacing w:after="0"/>
              <w:rPr>
                <w:sz w:val="14"/>
                <w:szCs w:val="14"/>
                <w:color w:val="auto"/>
              </w:rPr>
            </w:pPr>
          </w:p>
        </w:tc>
        <w:tc>
          <w:tcPr>
            <w:tcW w:w="1200" w:type="dxa"/>
            <w:vAlign w:val="bottom"/>
            <w:shd w:val="clear" w:color="auto" w:fill="9DB8D2"/>
          </w:tcPr>
          <w:p>
            <w:pPr>
              <w:jc w:val="right"/>
              <w:ind w:right="83"/>
              <w:spacing w:after="0"/>
              <w:rPr>
                <w:sz w:val="20"/>
                <w:szCs w:val="20"/>
                <w:color w:val="auto"/>
              </w:rPr>
            </w:pPr>
            <w:r>
              <w:rPr>
                <w:rFonts w:ascii="Arial" w:cs="Arial" w:eastAsia="Arial" w:hAnsi="Arial"/>
                <w:sz w:val="14"/>
                <w:szCs w:val="14"/>
                <w:b w:val="1"/>
                <w:bCs w:val="1"/>
                <w:color w:val="auto"/>
              </w:rPr>
              <w:t>Performance</w:t>
            </w:r>
          </w:p>
        </w:tc>
        <w:tc>
          <w:tcPr>
            <w:tcW w:w="1140" w:type="dxa"/>
            <w:vAlign w:val="bottom"/>
            <w:shd w:val="clear" w:color="auto" w:fill="9DB8D2"/>
          </w:tcPr>
          <w:p>
            <w:pPr>
              <w:jc w:val="right"/>
              <w:ind w:right="163"/>
              <w:spacing w:after="0"/>
              <w:rPr>
                <w:sz w:val="20"/>
                <w:szCs w:val="20"/>
                <w:color w:val="auto"/>
              </w:rPr>
            </w:pPr>
            <w:r>
              <w:rPr>
                <w:rFonts w:ascii="Arial" w:cs="Arial" w:eastAsia="Arial" w:hAnsi="Arial"/>
                <w:sz w:val="14"/>
                <w:szCs w:val="14"/>
                <w:b w:val="1"/>
                <w:bCs w:val="1"/>
                <w:color w:val="auto"/>
              </w:rPr>
              <w:t>Restricted</w:t>
            </w:r>
          </w:p>
        </w:tc>
        <w:tc>
          <w:tcPr>
            <w:tcW w:w="11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Total 2017</w:t>
            </w:r>
          </w:p>
        </w:tc>
        <w:tc>
          <w:tcPr>
            <w:tcW w:w="820" w:type="dxa"/>
            <w:vAlign w:val="bottom"/>
            <w:shd w:val="clear" w:color="auto" w:fill="9DB8D2"/>
          </w:tcPr>
          <w:p>
            <w:pPr>
              <w:jc w:val="center"/>
              <w:ind w:left="3"/>
              <w:spacing w:after="0"/>
              <w:rPr>
                <w:sz w:val="20"/>
                <w:szCs w:val="20"/>
                <w:color w:val="auto"/>
              </w:rPr>
            </w:pPr>
            <w:r>
              <w:rPr>
                <w:rFonts w:ascii="Arial" w:cs="Arial" w:eastAsia="Arial" w:hAnsi="Arial"/>
                <w:sz w:val="14"/>
                <w:szCs w:val="14"/>
                <w:b w:val="1"/>
                <w:bCs w:val="1"/>
                <w:color w:val="auto"/>
                <w:w w:val="98"/>
              </w:rPr>
              <w:t>Target</w:t>
            </w:r>
          </w:p>
        </w:tc>
        <w:tc>
          <w:tcPr>
            <w:tcW w:w="9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w:t>
            </w:r>
          </w:p>
        </w:tc>
      </w:tr>
      <w:tr>
        <w:trPr>
          <w:trHeight w:val="162"/>
        </w:trPr>
        <w:tc>
          <w:tcPr>
            <w:tcW w:w="2360" w:type="dxa"/>
            <w:vAlign w:val="bottom"/>
            <w:shd w:val="clear" w:color="auto" w:fill="9DB8D2"/>
          </w:tcPr>
          <w:p>
            <w:pPr>
              <w:spacing w:after="0"/>
              <w:rPr>
                <w:sz w:val="14"/>
                <w:szCs w:val="14"/>
                <w:color w:val="auto"/>
              </w:rPr>
            </w:pPr>
          </w:p>
        </w:tc>
        <w:tc>
          <w:tcPr>
            <w:tcW w:w="11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Base</w:t>
            </w:r>
          </w:p>
        </w:tc>
        <w:tc>
          <w:tcPr>
            <w:tcW w:w="11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Annual</w:t>
            </w:r>
          </w:p>
        </w:tc>
        <w:tc>
          <w:tcPr>
            <w:tcW w:w="1120" w:type="dxa"/>
            <w:vAlign w:val="bottom"/>
            <w:shd w:val="clear" w:color="auto" w:fill="9DB8D2"/>
          </w:tcPr>
          <w:p>
            <w:pPr>
              <w:jc w:val="right"/>
              <w:ind w:right="282"/>
              <w:spacing w:after="0"/>
              <w:rPr>
                <w:sz w:val="20"/>
                <w:szCs w:val="20"/>
                <w:color w:val="auto"/>
              </w:rPr>
            </w:pPr>
            <w:r>
              <w:rPr>
                <w:rFonts w:ascii="Arial" w:cs="Arial" w:eastAsia="Arial" w:hAnsi="Arial"/>
                <w:sz w:val="14"/>
                <w:szCs w:val="14"/>
                <w:b w:val="1"/>
                <w:bCs w:val="1"/>
                <w:color w:val="auto"/>
              </w:rPr>
              <w:t>Stock</w:t>
            </w:r>
          </w:p>
        </w:tc>
        <w:tc>
          <w:tcPr>
            <w:tcW w:w="1200" w:type="dxa"/>
            <w:vAlign w:val="bottom"/>
            <w:shd w:val="clear" w:color="auto" w:fill="9DB8D2"/>
          </w:tcPr>
          <w:p>
            <w:pPr>
              <w:jc w:val="right"/>
              <w:ind w:right="323"/>
              <w:spacing w:after="0"/>
              <w:rPr>
                <w:sz w:val="20"/>
                <w:szCs w:val="20"/>
                <w:color w:val="auto"/>
              </w:rPr>
            </w:pPr>
            <w:r>
              <w:rPr>
                <w:rFonts w:ascii="Arial" w:cs="Arial" w:eastAsia="Arial" w:hAnsi="Arial"/>
                <w:sz w:val="14"/>
                <w:szCs w:val="14"/>
                <w:b w:val="1"/>
                <w:bCs w:val="1"/>
                <w:color w:val="auto"/>
              </w:rPr>
              <w:t>Share</w:t>
            </w:r>
          </w:p>
        </w:tc>
        <w:tc>
          <w:tcPr>
            <w:tcW w:w="1140" w:type="dxa"/>
            <w:vAlign w:val="bottom"/>
            <w:shd w:val="clear" w:color="auto" w:fill="9DB8D2"/>
          </w:tcPr>
          <w:p>
            <w:pPr>
              <w:jc w:val="right"/>
              <w:ind w:right="323"/>
              <w:spacing w:after="0"/>
              <w:rPr>
                <w:sz w:val="20"/>
                <w:szCs w:val="20"/>
                <w:color w:val="auto"/>
              </w:rPr>
            </w:pPr>
            <w:r>
              <w:rPr>
                <w:rFonts w:ascii="Arial" w:cs="Arial" w:eastAsia="Arial" w:hAnsi="Arial"/>
                <w:sz w:val="14"/>
                <w:szCs w:val="14"/>
                <w:b w:val="1"/>
                <w:bCs w:val="1"/>
                <w:color w:val="auto"/>
              </w:rPr>
              <w:t>Stock</w:t>
            </w:r>
          </w:p>
        </w:tc>
        <w:tc>
          <w:tcPr>
            <w:tcW w:w="11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8"/>
              </w:rPr>
              <w:t>Target</w:t>
            </w:r>
          </w:p>
        </w:tc>
        <w:tc>
          <w:tcPr>
            <w:tcW w:w="820" w:type="dxa"/>
            <w:vAlign w:val="bottom"/>
            <w:shd w:val="clear" w:color="auto" w:fill="9DB8D2"/>
          </w:tcPr>
          <w:p>
            <w:pPr>
              <w:jc w:val="center"/>
              <w:ind w:left="23"/>
              <w:spacing w:after="0"/>
              <w:rPr>
                <w:sz w:val="20"/>
                <w:szCs w:val="20"/>
                <w:color w:val="auto"/>
              </w:rPr>
            </w:pPr>
            <w:r>
              <w:rPr>
                <w:rFonts w:ascii="Arial" w:cs="Arial" w:eastAsia="Arial" w:hAnsi="Arial"/>
                <w:sz w:val="14"/>
                <w:szCs w:val="14"/>
                <w:b w:val="1"/>
                <w:bCs w:val="1"/>
                <w:color w:val="auto"/>
              </w:rPr>
              <w:t>Comp</w:t>
            </w:r>
          </w:p>
        </w:tc>
        <w:tc>
          <w:tcPr>
            <w:tcW w:w="9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Performance-</w:t>
            </w:r>
          </w:p>
        </w:tc>
      </w:tr>
      <w:tr>
        <w:trPr>
          <w:trHeight w:val="191"/>
        </w:trPr>
        <w:tc>
          <w:tcPr>
            <w:tcW w:w="2360" w:type="dxa"/>
            <w:vAlign w:val="bottom"/>
            <w:shd w:val="clear" w:color="auto" w:fill="9DB8D2"/>
          </w:tcPr>
          <w:p>
            <w:pPr>
              <w:ind w:left="60"/>
              <w:spacing w:after="0"/>
              <w:rPr>
                <w:sz w:val="20"/>
                <w:szCs w:val="20"/>
                <w:color w:val="auto"/>
              </w:rPr>
            </w:pPr>
            <w:r>
              <w:rPr>
                <w:rFonts w:ascii="Arial" w:cs="Arial" w:eastAsia="Arial" w:hAnsi="Arial"/>
                <w:sz w:val="14"/>
                <w:szCs w:val="14"/>
                <w:b w:val="1"/>
                <w:bCs w:val="1"/>
                <w:color w:val="auto"/>
              </w:rPr>
              <w:t>NEO</w:t>
            </w:r>
          </w:p>
        </w:tc>
        <w:tc>
          <w:tcPr>
            <w:tcW w:w="11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Salary</w:t>
            </w:r>
          </w:p>
        </w:tc>
        <w:tc>
          <w:tcPr>
            <w:tcW w:w="11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Incentive</w:t>
            </w:r>
          </w:p>
        </w:tc>
        <w:tc>
          <w:tcPr>
            <w:tcW w:w="11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Options(1)</w:t>
            </w: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Units(1)</w:t>
            </w:r>
          </w:p>
        </w:tc>
        <w:tc>
          <w:tcPr>
            <w:tcW w:w="11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Units(1)</w:t>
            </w:r>
          </w:p>
        </w:tc>
        <w:tc>
          <w:tcPr>
            <w:tcW w:w="11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w:t>
            </w:r>
          </w:p>
        </w:tc>
        <w:tc>
          <w:tcPr>
            <w:tcW w:w="820" w:type="dxa"/>
            <w:vAlign w:val="bottom"/>
            <w:shd w:val="clear" w:color="auto" w:fill="9DB8D2"/>
          </w:tcPr>
          <w:p>
            <w:pPr>
              <w:jc w:val="center"/>
              <w:ind w:left="23"/>
              <w:spacing w:after="0"/>
              <w:rPr>
                <w:sz w:val="20"/>
                <w:szCs w:val="20"/>
                <w:color w:val="auto"/>
              </w:rPr>
            </w:pPr>
            <w:r>
              <w:rPr>
                <w:rFonts w:ascii="Arial" w:cs="Arial" w:eastAsia="Arial" w:hAnsi="Arial"/>
                <w:sz w:val="14"/>
                <w:szCs w:val="14"/>
                <w:b w:val="1"/>
                <w:bCs w:val="1"/>
                <w:color w:val="auto"/>
              </w:rPr>
              <w:t>Variable(2)</w:t>
            </w:r>
          </w:p>
        </w:tc>
        <w:tc>
          <w:tcPr>
            <w:tcW w:w="9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Based(3)</w:t>
            </w:r>
          </w:p>
        </w:tc>
      </w:tr>
      <w:tr>
        <w:trPr>
          <w:trHeight w:val="189"/>
        </w:trPr>
        <w:tc>
          <w:tcPr>
            <w:tcW w:w="2360" w:type="dxa"/>
            <w:vAlign w:val="bottom"/>
            <w:tcBorders>
              <w:bottom w:val="single" w:sz="8" w:color="auto"/>
            </w:tcBorders>
            <w:shd w:val="clear" w:color="auto" w:fill="9DB8D2"/>
          </w:tcPr>
          <w:p>
            <w:pPr>
              <w:spacing w:after="0"/>
              <w:rPr>
                <w:sz w:val="16"/>
                <w:szCs w:val="16"/>
                <w:color w:val="auto"/>
              </w:rPr>
            </w:pPr>
          </w:p>
        </w:tc>
        <w:tc>
          <w:tcPr>
            <w:tcW w:w="11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9DB8D2"/>
          </w:tcPr>
          <w:p>
            <w:pPr>
              <w:jc w:val="right"/>
              <w:ind w:right="44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9DB8D2"/>
          </w:tcPr>
          <w:p>
            <w:pPr>
              <w:jc w:val="right"/>
              <w:ind w:right="483"/>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9DB8D2"/>
          </w:tcPr>
          <w:p>
            <w:pPr>
              <w:jc w:val="right"/>
              <w:ind w:right="483"/>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9DB8D2"/>
          </w:tcPr>
          <w:p>
            <w:pPr>
              <w:spacing w:after="0"/>
              <w:rPr>
                <w:sz w:val="16"/>
                <w:szCs w:val="16"/>
                <w:color w:val="auto"/>
              </w:rPr>
            </w:pPr>
          </w:p>
        </w:tc>
        <w:tc>
          <w:tcPr>
            <w:tcW w:w="960" w:type="dxa"/>
            <w:vAlign w:val="bottom"/>
            <w:tcBorders>
              <w:bottom w:val="single" w:sz="8" w:color="auto"/>
            </w:tcBorders>
            <w:shd w:val="clear" w:color="auto" w:fill="9DB8D2"/>
          </w:tcPr>
          <w:p>
            <w:pPr>
              <w:spacing w:after="0"/>
              <w:rPr>
                <w:sz w:val="16"/>
                <w:szCs w:val="16"/>
                <w:color w:val="auto"/>
              </w:rPr>
            </w:pPr>
          </w:p>
        </w:tc>
      </w:tr>
      <w:tr>
        <w:trPr>
          <w:trHeight w:val="183"/>
        </w:trPr>
        <w:tc>
          <w:tcPr>
            <w:tcW w:w="2360" w:type="dxa"/>
            <w:vAlign w:val="bottom"/>
            <w:shd w:val="clear" w:color="auto" w:fill="E6EDF3"/>
          </w:tcPr>
          <w:p>
            <w:pPr>
              <w:ind w:left="60"/>
              <w:spacing w:after="0" w:line="183" w:lineRule="exact"/>
              <w:rPr>
                <w:sz w:val="20"/>
                <w:szCs w:val="20"/>
                <w:color w:val="auto"/>
              </w:rPr>
            </w:pPr>
            <w:r>
              <w:rPr>
                <w:rFonts w:ascii="Arial" w:cs="Arial" w:eastAsia="Arial" w:hAnsi="Arial"/>
                <w:sz w:val="16"/>
                <w:szCs w:val="16"/>
                <w:color w:val="auto"/>
              </w:rPr>
              <w:t>Jonas Prising</w:t>
            </w:r>
          </w:p>
        </w:tc>
        <w:tc>
          <w:tcPr>
            <w:tcW w:w="1180" w:type="dxa"/>
            <w:vAlign w:val="bottom"/>
            <w:shd w:val="clear" w:color="auto" w:fill="E6EDF3"/>
          </w:tcPr>
          <w:p>
            <w:pPr>
              <w:jc w:val="right"/>
              <w:ind w:right="142"/>
              <w:spacing w:after="0" w:line="183" w:lineRule="exact"/>
              <w:rPr>
                <w:sz w:val="20"/>
                <w:szCs w:val="20"/>
                <w:color w:val="auto"/>
              </w:rPr>
            </w:pPr>
            <w:r>
              <w:rPr>
                <w:rFonts w:ascii="Arial" w:cs="Arial" w:eastAsia="Arial" w:hAnsi="Arial"/>
                <w:sz w:val="16"/>
                <w:szCs w:val="16"/>
                <w:color w:val="auto"/>
              </w:rPr>
              <w:t>1,250,000</w:t>
            </w:r>
          </w:p>
        </w:tc>
        <w:tc>
          <w:tcPr>
            <w:tcW w:w="1120" w:type="dxa"/>
            <w:vAlign w:val="bottom"/>
            <w:shd w:val="clear" w:color="auto" w:fill="E6EDF3"/>
          </w:tcPr>
          <w:p>
            <w:pPr>
              <w:jc w:val="right"/>
              <w:ind w:right="122"/>
              <w:spacing w:after="0" w:line="183" w:lineRule="exact"/>
              <w:rPr>
                <w:sz w:val="20"/>
                <w:szCs w:val="20"/>
                <w:color w:val="auto"/>
              </w:rPr>
            </w:pPr>
            <w:r>
              <w:rPr>
                <w:rFonts w:ascii="Arial" w:cs="Arial" w:eastAsia="Arial" w:hAnsi="Arial"/>
                <w:sz w:val="16"/>
                <w:szCs w:val="16"/>
                <w:color w:val="auto"/>
              </w:rPr>
              <w:t>1,875,000</w:t>
            </w:r>
          </w:p>
        </w:tc>
        <w:tc>
          <w:tcPr>
            <w:tcW w:w="1120" w:type="dxa"/>
            <w:vAlign w:val="bottom"/>
            <w:shd w:val="clear" w:color="auto" w:fill="E6EDF3"/>
          </w:tcPr>
          <w:p>
            <w:pPr>
              <w:jc w:val="right"/>
              <w:ind w:right="82"/>
              <w:spacing w:after="0" w:line="183" w:lineRule="exact"/>
              <w:rPr>
                <w:sz w:val="20"/>
                <w:szCs w:val="20"/>
                <w:color w:val="auto"/>
              </w:rPr>
            </w:pPr>
            <w:r>
              <w:rPr>
                <w:rFonts w:ascii="Arial" w:cs="Arial" w:eastAsia="Arial" w:hAnsi="Arial"/>
                <w:sz w:val="16"/>
                <w:szCs w:val="16"/>
                <w:color w:val="auto"/>
              </w:rPr>
              <w:t>1,690,019</w:t>
            </w:r>
          </w:p>
        </w:tc>
        <w:tc>
          <w:tcPr>
            <w:tcW w:w="1200" w:type="dxa"/>
            <w:vAlign w:val="bottom"/>
            <w:shd w:val="clear" w:color="auto" w:fill="E6EDF3"/>
          </w:tcPr>
          <w:p>
            <w:pPr>
              <w:jc w:val="right"/>
              <w:ind w:right="143"/>
              <w:spacing w:after="0" w:line="183" w:lineRule="exact"/>
              <w:rPr>
                <w:sz w:val="20"/>
                <w:szCs w:val="20"/>
                <w:color w:val="auto"/>
              </w:rPr>
            </w:pPr>
            <w:r>
              <w:rPr>
                <w:rFonts w:ascii="Arial" w:cs="Arial" w:eastAsia="Arial" w:hAnsi="Arial"/>
                <w:sz w:val="16"/>
                <w:szCs w:val="16"/>
                <w:color w:val="auto"/>
              </w:rPr>
              <w:t>5,070,059</w:t>
            </w:r>
          </w:p>
        </w:tc>
        <w:tc>
          <w:tcPr>
            <w:tcW w:w="1140" w:type="dxa"/>
            <w:vAlign w:val="bottom"/>
            <w:shd w:val="clear" w:color="auto" w:fill="E6EDF3"/>
          </w:tcPr>
          <w:p>
            <w:pPr>
              <w:jc w:val="right"/>
              <w:ind w:right="123"/>
              <w:spacing w:after="0" w:line="183" w:lineRule="exact"/>
              <w:rPr>
                <w:sz w:val="20"/>
                <w:szCs w:val="20"/>
                <w:color w:val="auto"/>
              </w:rPr>
            </w:pPr>
            <w:r>
              <w:rPr>
                <w:rFonts w:ascii="Arial" w:cs="Arial" w:eastAsia="Arial" w:hAnsi="Arial"/>
                <w:sz w:val="16"/>
                <w:szCs w:val="16"/>
                <w:color w:val="auto"/>
              </w:rPr>
              <w:t>1,690,052</w:t>
            </w:r>
          </w:p>
        </w:tc>
        <w:tc>
          <w:tcPr>
            <w:tcW w:w="1120" w:type="dxa"/>
            <w:vAlign w:val="bottom"/>
            <w:shd w:val="clear" w:color="auto" w:fill="E6EDF3"/>
          </w:tcPr>
          <w:p>
            <w:pPr>
              <w:jc w:val="right"/>
              <w:ind w:right="23"/>
              <w:spacing w:after="0" w:line="183" w:lineRule="exact"/>
              <w:rPr>
                <w:sz w:val="20"/>
                <w:szCs w:val="20"/>
                <w:color w:val="auto"/>
              </w:rPr>
            </w:pPr>
            <w:r>
              <w:rPr>
                <w:rFonts w:ascii="Arial" w:cs="Arial" w:eastAsia="Arial" w:hAnsi="Arial"/>
                <w:sz w:val="16"/>
                <w:szCs w:val="16"/>
                <w:color w:val="auto"/>
              </w:rPr>
              <w:t>11,575,130</w:t>
            </w:r>
          </w:p>
        </w:tc>
        <w:tc>
          <w:tcPr>
            <w:tcW w:w="82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89%</w:t>
            </w:r>
          </w:p>
        </w:tc>
        <w:tc>
          <w:tcPr>
            <w:tcW w:w="96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75%</w:t>
            </w:r>
          </w:p>
        </w:tc>
      </w:tr>
      <w:tr>
        <w:trPr>
          <w:trHeight w:val="189"/>
        </w:trPr>
        <w:tc>
          <w:tcPr>
            <w:tcW w:w="2360" w:type="dxa"/>
            <w:vAlign w:val="bottom"/>
          </w:tcPr>
          <w:p>
            <w:pPr>
              <w:ind w:left="60"/>
              <w:spacing w:after="0"/>
              <w:rPr>
                <w:sz w:val="20"/>
                <w:szCs w:val="20"/>
                <w:color w:val="auto"/>
              </w:rPr>
            </w:pPr>
            <w:r>
              <w:rPr>
                <w:rFonts w:ascii="Arial" w:cs="Arial" w:eastAsia="Arial" w:hAnsi="Arial"/>
                <w:sz w:val="16"/>
                <w:szCs w:val="16"/>
                <w:color w:val="auto"/>
              </w:rPr>
              <w:t>John T. McGinnis</w:t>
            </w:r>
          </w:p>
        </w:tc>
        <w:tc>
          <w:tcPr>
            <w:tcW w:w="1180" w:type="dxa"/>
            <w:vAlign w:val="bottom"/>
          </w:tcPr>
          <w:p>
            <w:pPr>
              <w:jc w:val="right"/>
              <w:ind w:right="142"/>
              <w:spacing w:after="0"/>
              <w:rPr>
                <w:sz w:val="20"/>
                <w:szCs w:val="20"/>
                <w:color w:val="auto"/>
              </w:rPr>
            </w:pPr>
            <w:r>
              <w:rPr>
                <w:rFonts w:ascii="Arial" w:cs="Arial" w:eastAsia="Arial" w:hAnsi="Arial"/>
                <w:sz w:val="16"/>
                <w:szCs w:val="16"/>
                <w:color w:val="auto"/>
              </w:rPr>
              <w:t>650,000</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650,000</w:t>
            </w: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460,005</w:t>
            </w:r>
          </w:p>
        </w:tc>
        <w:tc>
          <w:tcPr>
            <w:tcW w:w="1200" w:type="dxa"/>
            <w:vAlign w:val="bottom"/>
          </w:tcPr>
          <w:p>
            <w:pPr>
              <w:jc w:val="right"/>
              <w:ind w:right="143"/>
              <w:spacing w:after="0"/>
              <w:rPr>
                <w:sz w:val="20"/>
                <w:szCs w:val="20"/>
                <w:color w:val="auto"/>
              </w:rPr>
            </w:pPr>
            <w:r>
              <w:rPr>
                <w:rFonts w:ascii="Arial" w:cs="Arial" w:eastAsia="Arial" w:hAnsi="Arial"/>
                <w:sz w:val="16"/>
                <w:szCs w:val="16"/>
                <w:color w:val="auto"/>
              </w:rPr>
              <w:t>1,380,038</w:t>
            </w:r>
          </w:p>
        </w:tc>
        <w:tc>
          <w:tcPr>
            <w:tcW w:w="1140" w:type="dxa"/>
            <w:vAlign w:val="bottom"/>
          </w:tcPr>
          <w:p>
            <w:pPr>
              <w:jc w:val="right"/>
              <w:ind w:right="123"/>
              <w:spacing w:after="0"/>
              <w:rPr>
                <w:sz w:val="20"/>
                <w:szCs w:val="20"/>
                <w:color w:val="auto"/>
              </w:rPr>
            </w:pPr>
            <w:r>
              <w:rPr>
                <w:rFonts w:ascii="Arial" w:cs="Arial" w:eastAsia="Arial" w:hAnsi="Arial"/>
                <w:sz w:val="16"/>
                <w:szCs w:val="16"/>
                <w:color w:val="auto"/>
              </w:rPr>
              <w:t>460,077</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3,600,120</w:t>
            </w:r>
          </w:p>
        </w:tc>
        <w:tc>
          <w:tcPr>
            <w:tcW w:w="820" w:type="dxa"/>
            <w:vAlign w:val="bottom"/>
          </w:tcPr>
          <w:p>
            <w:pPr>
              <w:jc w:val="right"/>
              <w:spacing w:after="0"/>
              <w:rPr>
                <w:sz w:val="20"/>
                <w:szCs w:val="20"/>
                <w:color w:val="auto"/>
              </w:rPr>
            </w:pPr>
            <w:r>
              <w:rPr>
                <w:rFonts w:ascii="Arial" w:cs="Arial" w:eastAsia="Arial" w:hAnsi="Arial"/>
                <w:sz w:val="16"/>
                <w:szCs w:val="16"/>
                <w:color w:val="auto"/>
              </w:rPr>
              <w:t>82%</w:t>
            </w:r>
          </w:p>
        </w:tc>
        <w:tc>
          <w:tcPr>
            <w:tcW w:w="9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189"/>
        </w:trPr>
        <w:tc>
          <w:tcPr>
            <w:tcW w:w="2360" w:type="dxa"/>
            <w:vAlign w:val="bottom"/>
            <w:shd w:val="clear" w:color="auto" w:fill="E6EDF3"/>
          </w:tcPr>
          <w:p>
            <w:pPr>
              <w:ind w:left="60"/>
              <w:spacing w:after="0"/>
              <w:rPr>
                <w:sz w:val="20"/>
                <w:szCs w:val="20"/>
                <w:color w:val="auto"/>
              </w:rPr>
            </w:pPr>
            <w:r>
              <w:rPr>
                <w:rFonts w:ascii="Arial" w:cs="Arial" w:eastAsia="Arial" w:hAnsi="Arial"/>
                <w:sz w:val="16"/>
                <w:szCs w:val="16"/>
                <w:color w:val="auto"/>
              </w:rPr>
              <w:t>Darryl Green</w:t>
            </w:r>
          </w:p>
        </w:tc>
        <w:tc>
          <w:tcPr>
            <w:tcW w:w="1180" w:type="dxa"/>
            <w:vAlign w:val="bottom"/>
            <w:shd w:val="clear" w:color="auto" w:fill="E6EDF3"/>
          </w:tcPr>
          <w:p>
            <w:pPr>
              <w:jc w:val="right"/>
              <w:ind w:right="142"/>
              <w:spacing w:after="0"/>
              <w:rPr>
                <w:sz w:val="20"/>
                <w:szCs w:val="20"/>
                <w:color w:val="auto"/>
              </w:rPr>
            </w:pPr>
            <w:r>
              <w:rPr>
                <w:rFonts w:ascii="Arial" w:cs="Arial" w:eastAsia="Arial" w:hAnsi="Arial"/>
                <w:sz w:val="16"/>
                <w:szCs w:val="16"/>
                <w:color w:val="auto"/>
              </w:rPr>
              <w:t>850,000</w:t>
            </w:r>
          </w:p>
        </w:tc>
        <w:tc>
          <w:tcPr>
            <w:tcW w:w="1120" w:type="dxa"/>
            <w:vAlign w:val="bottom"/>
            <w:shd w:val="clear" w:color="auto" w:fill="E6EDF3"/>
          </w:tcPr>
          <w:p>
            <w:pPr>
              <w:jc w:val="right"/>
              <w:ind w:right="122"/>
              <w:spacing w:after="0"/>
              <w:rPr>
                <w:sz w:val="20"/>
                <w:szCs w:val="20"/>
                <w:color w:val="auto"/>
              </w:rPr>
            </w:pPr>
            <w:r>
              <w:rPr>
                <w:rFonts w:ascii="Arial" w:cs="Arial" w:eastAsia="Arial" w:hAnsi="Arial"/>
                <w:sz w:val="16"/>
                <w:szCs w:val="16"/>
                <w:color w:val="auto"/>
              </w:rPr>
              <w:t>850,000</w:t>
            </w:r>
          </w:p>
        </w:tc>
        <w:tc>
          <w:tcPr>
            <w:tcW w:w="1120" w:type="dxa"/>
            <w:vAlign w:val="bottom"/>
            <w:shd w:val="clear" w:color="auto" w:fill="E6EDF3"/>
          </w:tcPr>
          <w:p>
            <w:pPr>
              <w:jc w:val="right"/>
              <w:ind w:right="82"/>
              <w:spacing w:after="0"/>
              <w:rPr>
                <w:sz w:val="20"/>
                <w:szCs w:val="20"/>
                <w:color w:val="auto"/>
              </w:rPr>
            </w:pPr>
            <w:r>
              <w:rPr>
                <w:rFonts w:ascii="Arial" w:cs="Arial" w:eastAsia="Arial" w:hAnsi="Arial"/>
                <w:sz w:val="16"/>
                <w:szCs w:val="16"/>
                <w:color w:val="auto"/>
              </w:rPr>
              <w:t>760,007</w:t>
            </w:r>
          </w:p>
        </w:tc>
        <w:tc>
          <w:tcPr>
            <w:tcW w:w="1200" w:type="dxa"/>
            <w:vAlign w:val="bottom"/>
            <w:shd w:val="clear" w:color="auto" w:fill="E6EDF3"/>
          </w:tcPr>
          <w:p>
            <w:pPr>
              <w:jc w:val="right"/>
              <w:ind w:right="143"/>
              <w:spacing w:after="0"/>
              <w:rPr>
                <w:sz w:val="20"/>
                <w:szCs w:val="20"/>
                <w:color w:val="auto"/>
              </w:rPr>
            </w:pPr>
            <w:r>
              <w:rPr>
                <w:rFonts w:ascii="Arial" w:cs="Arial" w:eastAsia="Arial" w:hAnsi="Arial"/>
                <w:sz w:val="16"/>
                <w:szCs w:val="16"/>
                <w:color w:val="auto"/>
              </w:rPr>
              <w:t>2,280,029</w:t>
            </w:r>
          </w:p>
        </w:tc>
        <w:tc>
          <w:tcPr>
            <w:tcW w:w="1140" w:type="dxa"/>
            <w:vAlign w:val="bottom"/>
            <w:shd w:val="clear" w:color="auto" w:fill="E6EDF3"/>
          </w:tcPr>
          <w:p>
            <w:pPr>
              <w:jc w:val="right"/>
              <w:ind w:right="123"/>
              <w:spacing w:after="0"/>
              <w:rPr>
                <w:sz w:val="20"/>
                <w:szCs w:val="20"/>
                <w:color w:val="auto"/>
              </w:rPr>
            </w:pPr>
            <w:r>
              <w:rPr>
                <w:rFonts w:ascii="Arial" w:cs="Arial" w:eastAsia="Arial" w:hAnsi="Arial"/>
                <w:sz w:val="16"/>
                <w:szCs w:val="16"/>
                <w:color w:val="auto"/>
              </w:rPr>
              <w:t>760,010</w:t>
            </w:r>
          </w:p>
        </w:tc>
        <w:tc>
          <w:tcPr>
            <w:tcW w:w="1120" w:type="dxa"/>
            <w:vAlign w:val="bottom"/>
            <w:shd w:val="clear" w:color="auto" w:fill="E6EDF3"/>
          </w:tcPr>
          <w:p>
            <w:pPr>
              <w:jc w:val="right"/>
              <w:ind w:right="23"/>
              <w:spacing w:after="0"/>
              <w:rPr>
                <w:sz w:val="20"/>
                <w:szCs w:val="20"/>
                <w:color w:val="auto"/>
              </w:rPr>
            </w:pPr>
            <w:r>
              <w:rPr>
                <w:rFonts w:ascii="Arial" w:cs="Arial" w:eastAsia="Arial" w:hAnsi="Arial"/>
                <w:sz w:val="16"/>
                <w:szCs w:val="16"/>
                <w:color w:val="auto"/>
              </w:rPr>
              <w:t>5,500,046</w:t>
            </w: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86%</w:t>
            </w:r>
          </w:p>
        </w:tc>
        <w:tc>
          <w:tcPr>
            <w:tcW w:w="9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72%</w:t>
            </w:r>
          </w:p>
        </w:tc>
      </w:tr>
      <w:tr>
        <w:trPr>
          <w:trHeight w:val="189"/>
        </w:trPr>
        <w:tc>
          <w:tcPr>
            <w:tcW w:w="2360" w:type="dxa"/>
            <w:vAlign w:val="bottom"/>
          </w:tcPr>
          <w:p>
            <w:pPr>
              <w:ind w:left="60"/>
              <w:spacing w:after="0"/>
              <w:rPr>
                <w:sz w:val="20"/>
                <w:szCs w:val="20"/>
                <w:color w:val="auto"/>
              </w:rPr>
            </w:pPr>
            <w:r>
              <w:rPr>
                <w:rFonts w:ascii="Arial" w:cs="Arial" w:eastAsia="Arial" w:hAnsi="Arial"/>
                <w:sz w:val="16"/>
                <w:szCs w:val="16"/>
                <w:color w:val="auto"/>
              </w:rPr>
              <w:t>Ram Chandrashekar</w:t>
            </w:r>
          </w:p>
        </w:tc>
        <w:tc>
          <w:tcPr>
            <w:tcW w:w="1180" w:type="dxa"/>
            <w:vAlign w:val="bottom"/>
          </w:tcPr>
          <w:p>
            <w:pPr>
              <w:jc w:val="right"/>
              <w:ind w:right="142"/>
              <w:spacing w:after="0"/>
              <w:rPr>
                <w:sz w:val="20"/>
                <w:szCs w:val="20"/>
                <w:color w:val="auto"/>
              </w:rPr>
            </w:pPr>
            <w:r>
              <w:rPr>
                <w:rFonts w:ascii="Arial" w:cs="Arial" w:eastAsia="Arial" w:hAnsi="Arial"/>
                <w:sz w:val="16"/>
                <w:szCs w:val="16"/>
                <w:color w:val="auto"/>
              </w:rPr>
              <w:t>627,849</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470,887</w:t>
            </w: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380,016</w:t>
            </w:r>
          </w:p>
        </w:tc>
        <w:tc>
          <w:tcPr>
            <w:tcW w:w="1200" w:type="dxa"/>
            <w:vAlign w:val="bottom"/>
          </w:tcPr>
          <w:p>
            <w:pPr>
              <w:jc w:val="right"/>
              <w:ind w:right="143"/>
              <w:spacing w:after="0"/>
              <w:rPr>
                <w:sz w:val="20"/>
                <w:szCs w:val="20"/>
                <w:color w:val="auto"/>
              </w:rPr>
            </w:pPr>
            <w:r>
              <w:rPr>
                <w:rFonts w:ascii="Arial" w:cs="Arial" w:eastAsia="Arial" w:hAnsi="Arial"/>
                <w:sz w:val="16"/>
                <w:szCs w:val="16"/>
                <w:color w:val="auto"/>
              </w:rPr>
              <w:t>1,140,014</w:t>
            </w:r>
          </w:p>
        </w:tc>
        <w:tc>
          <w:tcPr>
            <w:tcW w:w="1140" w:type="dxa"/>
            <w:vAlign w:val="bottom"/>
          </w:tcPr>
          <w:p>
            <w:pPr>
              <w:jc w:val="right"/>
              <w:ind w:right="123"/>
              <w:spacing w:after="0"/>
              <w:rPr>
                <w:sz w:val="20"/>
                <w:szCs w:val="20"/>
                <w:color w:val="auto"/>
              </w:rPr>
            </w:pPr>
            <w:r>
              <w:rPr>
                <w:rFonts w:ascii="Arial" w:cs="Arial" w:eastAsia="Arial" w:hAnsi="Arial"/>
                <w:sz w:val="16"/>
                <w:szCs w:val="16"/>
                <w:color w:val="auto"/>
              </w:rPr>
              <w:t>380,005</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2,998,771</w:t>
            </w:r>
          </w:p>
        </w:tc>
        <w:tc>
          <w:tcPr>
            <w:tcW w:w="820" w:type="dxa"/>
            <w:vAlign w:val="bottom"/>
          </w:tcPr>
          <w:p>
            <w:pPr>
              <w:jc w:val="right"/>
              <w:spacing w:after="0"/>
              <w:rPr>
                <w:sz w:val="20"/>
                <w:szCs w:val="20"/>
                <w:color w:val="auto"/>
              </w:rPr>
            </w:pPr>
            <w:r>
              <w:rPr>
                <w:rFonts w:ascii="Arial" w:cs="Arial" w:eastAsia="Arial" w:hAnsi="Arial"/>
                <w:sz w:val="16"/>
                <w:szCs w:val="16"/>
                <w:color w:val="auto"/>
              </w:rPr>
              <w:t>79%</w:t>
            </w: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6"/>
        </w:trPr>
        <w:tc>
          <w:tcPr>
            <w:tcW w:w="236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Mara E. Swan</w:t>
            </w:r>
          </w:p>
        </w:tc>
        <w:tc>
          <w:tcPr>
            <w:tcW w:w="1180" w:type="dxa"/>
            <w:vAlign w:val="bottom"/>
            <w:tcBorders>
              <w:bottom w:val="single" w:sz="8" w:color="auto"/>
            </w:tcBorders>
            <w:shd w:val="clear" w:color="auto" w:fill="E6EDF3"/>
          </w:tcPr>
          <w:p>
            <w:pPr>
              <w:jc w:val="right"/>
              <w:ind w:right="142"/>
              <w:spacing w:after="0"/>
              <w:rPr>
                <w:sz w:val="20"/>
                <w:szCs w:val="20"/>
                <w:color w:val="auto"/>
              </w:rPr>
            </w:pPr>
            <w:r>
              <w:rPr>
                <w:rFonts w:ascii="Arial" w:cs="Arial" w:eastAsia="Arial" w:hAnsi="Arial"/>
                <w:sz w:val="16"/>
                <w:szCs w:val="16"/>
                <w:color w:val="auto"/>
              </w:rPr>
              <w:t>610,000</w:t>
            </w:r>
          </w:p>
        </w:tc>
        <w:tc>
          <w:tcPr>
            <w:tcW w:w="1120" w:type="dxa"/>
            <w:vAlign w:val="bottom"/>
            <w:tcBorders>
              <w:bottom w:val="single" w:sz="8" w:color="auto"/>
            </w:tcBorders>
            <w:shd w:val="clear" w:color="auto" w:fill="E6EDF3"/>
          </w:tcPr>
          <w:p>
            <w:pPr>
              <w:jc w:val="right"/>
              <w:ind w:right="122"/>
              <w:spacing w:after="0"/>
              <w:rPr>
                <w:sz w:val="20"/>
                <w:szCs w:val="20"/>
                <w:color w:val="auto"/>
              </w:rPr>
            </w:pPr>
            <w:r>
              <w:rPr>
                <w:rFonts w:ascii="Arial" w:cs="Arial" w:eastAsia="Arial" w:hAnsi="Arial"/>
                <w:sz w:val="16"/>
                <w:szCs w:val="16"/>
                <w:color w:val="auto"/>
              </w:rPr>
              <w:t>457,500</w:t>
            </w:r>
          </w:p>
        </w:tc>
        <w:tc>
          <w:tcPr>
            <w:tcW w:w="1120" w:type="dxa"/>
            <w:vAlign w:val="bottom"/>
            <w:tcBorders>
              <w:bottom w:val="single" w:sz="8" w:color="auto"/>
            </w:tcBorders>
            <w:shd w:val="clear" w:color="auto" w:fill="E6EDF3"/>
          </w:tcPr>
          <w:p>
            <w:pPr>
              <w:jc w:val="right"/>
              <w:ind w:right="82"/>
              <w:spacing w:after="0"/>
              <w:rPr>
                <w:sz w:val="20"/>
                <w:szCs w:val="20"/>
                <w:color w:val="auto"/>
              </w:rPr>
            </w:pPr>
            <w:r>
              <w:rPr>
                <w:rFonts w:ascii="Arial" w:cs="Arial" w:eastAsia="Arial" w:hAnsi="Arial"/>
                <w:sz w:val="16"/>
                <w:szCs w:val="16"/>
                <w:color w:val="auto"/>
              </w:rPr>
              <w:t>270,022</w:t>
            </w:r>
          </w:p>
        </w:tc>
        <w:tc>
          <w:tcPr>
            <w:tcW w:w="1200" w:type="dxa"/>
            <w:vAlign w:val="bottom"/>
            <w:tcBorders>
              <w:bottom w:val="single" w:sz="8" w:color="auto"/>
            </w:tcBorders>
            <w:shd w:val="clear" w:color="auto" w:fill="E6EDF3"/>
          </w:tcPr>
          <w:p>
            <w:pPr>
              <w:jc w:val="right"/>
              <w:ind w:right="143"/>
              <w:spacing w:after="0"/>
              <w:rPr>
                <w:sz w:val="20"/>
                <w:szCs w:val="20"/>
                <w:color w:val="auto"/>
              </w:rPr>
            </w:pPr>
            <w:r>
              <w:rPr>
                <w:rFonts w:ascii="Arial" w:cs="Arial" w:eastAsia="Arial" w:hAnsi="Arial"/>
                <w:sz w:val="16"/>
                <w:szCs w:val="16"/>
                <w:color w:val="auto"/>
              </w:rPr>
              <w:t>810,031</w:t>
            </w:r>
          </w:p>
        </w:tc>
        <w:tc>
          <w:tcPr>
            <w:tcW w:w="1140" w:type="dxa"/>
            <w:vAlign w:val="bottom"/>
            <w:tcBorders>
              <w:bottom w:val="single" w:sz="8" w:color="auto"/>
            </w:tcBorders>
            <w:shd w:val="clear" w:color="auto" w:fill="E6EDF3"/>
          </w:tcPr>
          <w:p>
            <w:pPr>
              <w:jc w:val="right"/>
              <w:ind w:right="123"/>
              <w:spacing w:after="0"/>
              <w:rPr>
                <w:sz w:val="20"/>
                <w:szCs w:val="20"/>
                <w:color w:val="auto"/>
              </w:rPr>
            </w:pPr>
            <w:r>
              <w:rPr>
                <w:rFonts w:ascii="Arial" w:cs="Arial" w:eastAsia="Arial" w:hAnsi="Arial"/>
                <w:sz w:val="16"/>
                <w:szCs w:val="16"/>
                <w:color w:val="auto"/>
              </w:rPr>
              <w:t>270,075</w:t>
            </w:r>
          </w:p>
        </w:tc>
        <w:tc>
          <w:tcPr>
            <w:tcW w:w="1120" w:type="dxa"/>
            <w:vAlign w:val="bottom"/>
            <w:tcBorders>
              <w:bottom w:val="single" w:sz="8" w:color="auto"/>
            </w:tcBorders>
            <w:shd w:val="clear" w:color="auto" w:fill="E6EDF3"/>
          </w:tcPr>
          <w:p>
            <w:pPr>
              <w:jc w:val="right"/>
              <w:ind w:right="23"/>
              <w:spacing w:after="0"/>
              <w:rPr>
                <w:sz w:val="20"/>
                <w:szCs w:val="20"/>
                <w:color w:val="auto"/>
              </w:rPr>
            </w:pPr>
            <w:r>
              <w:rPr>
                <w:rFonts w:ascii="Arial" w:cs="Arial" w:eastAsia="Arial" w:hAnsi="Arial"/>
                <w:sz w:val="16"/>
                <w:szCs w:val="16"/>
                <w:color w:val="auto"/>
              </w:rPr>
              <w:t>2,417,628</w:t>
            </w:r>
          </w:p>
        </w:tc>
        <w:tc>
          <w:tcPr>
            <w:tcW w:w="8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75%</w:t>
            </w:r>
          </w:p>
        </w:tc>
        <w:tc>
          <w:tcPr>
            <w:tcW w:w="9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64%</w:t>
            </w:r>
          </w:p>
        </w:tc>
      </w:tr>
    </w:tbl>
    <w:p>
      <w:pPr>
        <w:spacing w:after="0" w:line="54" w:lineRule="exact"/>
        <w:rPr>
          <w:sz w:val="20"/>
          <w:szCs w:val="20"/>
          <w:color w:val="auto"/>
        </w:rPr>
      </w:pPr>
    </w:p>
    <w:p>
      <w:pPr>
        <w:ind w:left="520" w:right="240" w:hanging="316"/>
        <w:spacing w:after="0" w:line="291"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value of equity awards in this table represents the grant date fair value of the equity awards at the target levels granted in 2017, as computed in accordance with FASB ASC Topic 718.</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annual incentive, stock options, performance share units and restricted stock units.</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annual incentive, stock options and performance share units.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Balancing Short- and Long-Term Compensation</w:t>
      </w:r>
    </w:p>
    <w:p>
      <w:pPr>
        <w:spacing w:after="0" w:line="144" w:lineRule="exact"/>
        <w:rPr>
          <w:sz w:val="20"/>
          <w:szCs w:val="20"/>
          <w:color w:val="auto"/>
        </w:rPr>
      </w:pPr>
    </w:p>
    <w:p>
      <w:pPr>
        <w:jc w:val="both"/>
        <w:ind w:left="200" w:right="300"/>
        <w:spacing w:after="0" w:line="255" w:lineRule="auto"/>
        <w:rPr>
          <w:sz w:val="20"/>
          <w:szCs w:val="20"/>
          <w:color w:val="auto"/>
        </w:rPr>
      </w:pPr>
      <w:r>
        <w:rPr>
          <w:rFonts w:ascii="Arial" w:cs="Arial" w:eastAsia="Arial" w:hAnsi="Arial"/>
          <w:sz w:val="18"/>
          <w:szCs w:val="18"/>
          <w:color w:val="auto"/>
        </w:rPr>
        <w:t>The Committee also considers how much incentive compensation is short-term in nature, and how much is long-term, with the intention that a significant portion of incentive compensation be based on the long-term performance of the Company. This reduces the risk that executives will place too much focus on short-term achievements to the detriment of the long-term success of the Company.</w:t>
      </w:r>
    </w:p>
    <w:p>
      <w:pPr>
        <w:spacing w:after="0" w:line="83" w:lineRule="exact"/>
        <w:rPr>
          <w:sz w:val="20"/>
          <w:szCs w:val="20"/>
          <w:color w:val="auto"/>
        </w:rPr>
      </w:pPr>
    </w:p>
    <w:p>
      <w:pPr>
        <w:ind w:left="200" w:right="280"/>
        <w:spacing w:after="0" w:line="276" w:lineRule="auto"/>
        <w:rPr>
          <w:sz w:val="20"/>
          <w:szCs w:val="20"/>
          <w:color w:val="auto"/>
        </w:rPr>
      </w:pPr>
      <w:r>
        <w:rPr>
          <w:rFonts w:ascii="Arial" w:cs="Arial" w:eastAsia="Arial" w:hAnsi="Arial"/>
          <w:sz w:val="18"/>
          <w:szCs w:val="18"/>
          <w:color w:val="auto"/>
        </w:rPr>
        <w:t>The following chart details how incentive compensation is allocated between short-term (annual cash incentive) and long-term incentive compensation (stock options, performance share units and restricted stock units) for each of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123825</wp:posOffset>
            </wp:positionV>
            <wp:extent cx="5222875" cy="32670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22875"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36</w:t>
      </w:r>
    </w:p>
    <w:p>
      <w:pPr>
        <w:sectPr>
          <w:pgSz w:w="11900" w:h="16838" w:orient="portrait"/>
          <w:cols w:equalWidth="0" w:num="1">
            <w:col w:w="11240"/>
          </w:cols>
          <w:pgMar w:left="240" w:top="455" w:right="4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27" w:lineRule="exact"/>
        <w:rPr>
          <w:sz w:val="20"/>
          <w:szCs w:val="20"/>
          <w:color w:val="auto"/>
        </w:rPr>
      </w:pPr>
    </w:p>
    <w:p>
      <w:pPr>
        <w:ind w:left="200" w:right="340"/>
        <w:spacing w:after="0" w:line="306" w:lineRule="auto"/>
        <w:rPr>
          <w:sz w:val="20"/>
          <w:szCs w:val="20"/>
          <w:color w:val="auto"/>
        </w:rPr>
      </w:pPr>
      <w:r>
        <w:rPr>
          <w:rFonts w:ascii="Arial" w:cs="Arial" w:eastAsia="Arial" w:hAnsi="Arial"/>
          <w:sz w:val="25"/>
          <w:szCs w:val="25"/>
          <w:b w:val="1"/>
          <w:bCs w:val="1"/>
          <w:color w:val="5D89B4"/>
        </w:rPr>
        <w:t>Market Positioning: We Target Compensation Outcomes to the Median of the Competitive Market</w:t>
      </w:r>
    </w:p>
    <w:p>
      <w:pPr>
        <w:spacing w:after="0" w:line="21"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 xml:space="preserve">The Company’s practice is to target compensation outcomes generally to the 50th percentile of compensation paid in the competitive market for </w:t>
      </w:r>
      <w:r>
        <w:rPr>
          <w:rFonts w:ascii="Arial" w:cs="Arial" w:eastAsia="Arial" w:hAnsi="Arial"/>
          <w:sz w:val="18"/>
          <w:szCs w:val="18"/>
          <w:i w:val="1"/>
          <w:iCs w:val="1"/>
          <w:color w:val="auto"/>
        </w:rPr>
        <w:t>target</w:t>
      </w:r>
      <w:r>
        <w:rPr>
          <w:rFonts w:ascii="Arial" w:cs="Arial" w:eastAsia="Arial" w:hAnsi="Arial"/>
          <w:sz w:val="18"/>
          <w:szCs w:val="18"/>
          <w:color w:val="auto"/>
        </w:rPr>
        <w:t xml:space="preserve"> results. Our maximum award opportunities for </w:t>
      </w:r>
      <w:r>
        <w:rPr>
          <w:rFonts w:ascii="Arial" w:cs="Arial" w:eastAsia="Arial" w:hAnsi="Arial"/>
          <w:sz w:val="18"/>
          <w:szCs w:val="18"/>
          <w:i w:val="1"/>
          <w:iCs w:val="1"/>
          <w:color w:val="auto"/>
        </w:rPr>
        <w:t>outstanding</w:t>
      </w:r>
      <w:r>
        <w:rPr>
          <w:rFonts w:ascii="Arial" w:cs="Arial" w:eastAsia="Arial" w:hAnsi="Arial"/>
          <w:sz w:val="18"/>
          <w:szCs w:val="18"/>
          <w:color w:val="auto"/>
        </w:rPr>
        <w:t xml:space="preserve"> results are generally set to approximate the 75th percentile of the competitive market. This is not strictly formulaic and some compensation levels or award opportunities may fall above or below the reference points. When setting each component of compensation, the Company takes into consideration the allocation of awards in the competitive market between current cash compensation and non-cash compensation including stock options, performance share units and restricted stock units.</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How We Determine the Competitive Market: Challenges in Identifying a Relevant Peer Group</w:t>
      </w:r>
    </w:p>
    <w:p>
      <w:pPr>
        <w:spacing w:after="0" w:line="131" w:lineRule="exact"/>
        <w:rPr>
          <w:sz w:val="20"/>
          <w:szCs w:val="20"/>
          <w:color w:val="auto"/>
        </w:rPr>
      </w:pPr>
    </w:p>
    <w:p>
      <w:pPr>
        <w:ind w:left="200" w:right="540"/>
        <w:spacing w:after="0" w:line="248" w:lineRule="auto"/>
        <w:rPr>
          <w:sz w:val="20"/>
          <w:szCs w:val="20"/>
          <w:color w:val="auto"/>
        </w:rPr>
      </w:pPr>
      <w:r>
        <w:rPr>
          <w:rFonts w:ascii="Arial" w:cs="Arial" w:eastAsia="Arial" w:hAnsi="Arial"/>
          <w:sz w:val="18"/>
          <w:szCs w:val="18"/>
          <w:color w:val="auto"/>
        </w:rPr>
        <w:t>Our Committee has devoted considerable effort to identifying an appropriate competitive market for benchmarking our executive compensation, given that we are significantly larger and more global in scope than other U.S.-listed companies in our industry. The following outlines the analysis by the Committee, and its independent compensation consultant, Mercer, to develop meaningful peer groups.</w:t>
      </w:r>
    </w:p>
    <w:p>
      <w:pPr>
        <w:spacing w:after="0" w:line="103"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 xml:space="preserve">The Committee </w:t>
      </w:r>
      <w:r>
        <w:rPr>
          <w:rFonts w:ascii="Arial" w:cs="Arial" w:eastAsia="Arial" w:hAnsi="Arial"/>
          <w:sz w:val="18"/>
          <w:szCs w:val="18"/>
          <w:i w:val="1"/>
          <w:iCs w:val="1"/>
          <w:color w:val="auto"/>
        </w:rPr>
        <w:t>primarily</w:t>
      </w:r>
      <w:r>
        <w:rPr>
          <w:rFonts w:ascii="Arial" w:cs="Arial" w:eastAsia="Arial" w:hAnsi="Arial"/>
          <w:sz w:val="18"/>
          <w:szCs w:val="18"/>
          <w:color w:val="auto"/>
        </w:rPr>
        <w:t xml:space="preserve"> utilizes a customized peer group developed by Mercer consisting of companies within the S&amp;P 500. For ManpowerGroup, Mercer has removed companies that are not comparable to us, to arrive at a research subset of 89 companies within the S&amp;P 500 with minimum revenues of approximately $13 billion, maximum revenues of approximately $39 billion, and median revenues of $20 billion. The Committee believes that using this group provides a robust basis for assessing the competitive range of compensation for senior executives of companies of ManpowerGroup’s scale and that it also represents the universe of top-tier companies we consider when looking for executive talent. A list of the companies included in the peer group used by ManpowerGroup is attached as </w:t>
      </w:r>
      <w:r>
        <w:rPr>
          <w:rFonts w:ascii="Arial" w:cs="Arial" w:eastAsia="Arial" w:hAnsi="Arial"/>
          <w:sz w:val="18"/>
          <w:szCs w:val="18"/>
          <w:i w:val="1"/>
          <w:iCs w:val="1"/>
          <w:color w:val="auto"/>
        </w:rPr>
        <w:t>Appendix</w:t>
      </w:r>
      <w:r>
        <w:rPr>
          <w:rFonts w:ascii="Arial" w:cs="Arial" w:eastAsia="Arial" w:hAnsi="Arial"/>
          <w:sz w:val="18"/>
          <w:szCs w:val="18"/>
          <w:color w:val="auto"/>
        </w:rPr>
        <w:t xml:space="preserve"> </w:t>
      </w:r>
      <w:r>
        <w:rPr>
          <w:rFonts w:ascii="Arial" w:cs="Arial" w:eastAsia="Arial" w:hAnsi="Arial"/>
          <w:sz w:val="18"/>
          <w:szCs w:val="18"/>
          <w:i w:val="1"/>
          <w:iCs w:val="1"/>
          <w:color w:val="auto"/>
        </w:rPr>
        <w:t>A-1</w:t>
      </w:r>
      <w:r>
        <w:rPr>
          <w:rFonts w:ascii="Arial" w:cs="Arial" w:eastAsia="Arial" w:hAnsi="Arial"/>
          <w:sz w:val="18"/>
          <w:szCs w:val="18"/>
          <w:color w:val="auto"/>
        </w:rPr>
        <w:t>.</w:t>
      </w:r>
    </w:p>
    <w:p>
      <w:pPr>
        <w:spacing w:after="0" w:line="112" w:lineRule="exact"/>
        <w:rPr>
          <w:sz w:val="20"/>
          <w:szCs w:val="20"/>
          <w:color w:val="auto"/>
        </w:rPr>
      </w:pPr>
    </w:p>
    <w:p>
      <w:pPr>
        <w:ind w:left="200" w:right="320"/>
        <w:spacing w:after="0" w:line="243" w:lineRule="auto"/>
        <w:rPr>
          <w:sz w:val="20"/>
          <w:szCs w:val="20"/>
          <w:color w:val="auto"/>
        </w:rPr>
      </w:pPr>
      <w:r>
        <w:rPr>
          <w:rFonts w:ascii="Arial" w:cs="Arial" w:eastAsia="Arial" w:hAnsi="Arial"/>
          <w:sz w:val="18"/>
          <w:szCs w:val="18"/>
          <w:color w:val="auto"/>
        </w:rPr>
        <w:t>One reason we utilize the customized set of comparison companies is that it is difficult to find an industry-specific group of peer companies. Our two largest competitors, Adecco and Randstad, are based in Europe, and although we review available compensation data for these two companies, their pay practices are different and full compensation data is not disclosed. Our nearest U.S. public competitor had revenue of approximately $5.4 billion in 2017 compared to our revenue of $21.0 billion and the other U.S. public competitors are even smaller. Mercer has confirmed to the Committee that attempting to use such competitors would not produce meaningful data.</w:t>
      </w:r>
    </w:p>
    <w:p>
      <w:pPr>
        <w:spacing w:after="0" w:line="93" w:lineRule="exact"/>
        <w:rPr>
          <w:sz w:val="20"/>
          <w:szCs w:val="20"/>
          <w:color w:val="auto"/>
        </w:rPr>
      </w:pPr>
    </w:p>
    <w:p>
      <w:pPr>
        <w:ind w:left="200" w:right="200"/>
        <w:spacing w:after="0"/>
        <w:rPr>
          <w:sz w:val="20"/>
          <w:szCs w:val="20"/>
          <w:color w:val="auto"/>
        </w:rPr>
      </w:pPr>
      <w:r>
        <w:rPr>
          <w:rFonts w:ascii="Arial" w:cs="Arial" w:eastAsia="Arial" w:hAnsi="Arial"/>
          <w:sz w:val="18"/>
          <w:szCs w:val="18"/>
          <w:color w:val="auto"/>
        </w:rPr>
        <w:t xml:space="preserve">The Committee </w:t>
      </w:r>
      <w:r>
        <w:rPr>
          <w:rFonts w:ascii="Arial" w:cs="Arial" w:eastAsia="Arial" w:hAnsi="Arial"/>
          <w:sz w:val="18"/>
          <w:szCs w:val="18"/>
          <w:i w:val="1"/>
          <w:iCs w:val="1"/>
          <w:color w:val="auto"/>
        </w:rPr>
        <w:t>secondarily</w:t>
      </w:r>
      <w:r>
        <w:rPr>
          <w:rFonts w:ascii="Arial" w:cs="Arial" w:eastAsia="Arial" w:hAnsi="Arial"/>
          <w:sz w:val="18"/>
          <w:szCs w:val="18"/>
          <w:color w:val="auto"/>
        </w:rPr>
        <w:t xml:space="preserve"> utilizes data from U.S. compensation surveys published by Mercer and other third-party data providers that are recommended by Mercer as a means to evaluate compensation for certain NEO’s position. For the CEO, CFO and COO, their positions were only compared to companies within the subset group of the S&amp;P 500. For NEOs with responsibility for leading a business unit, their positions were compared with U.S. compensation survey data of similar sized groups and divisions. Compensation for global functional leaders was compared against U.S. compensation survey data recommended by Mercer for executives with similar roles and responsibilities. For executives whose positions were located outside of the U.S., ManpowerGroup also took into account international (regional and local) compensation survey data in an effort to set compensation that is not only equitable among the members of a global team, but also competitive within the global markets where ManpowerGroup competes for talent.</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Market data utilized by the Committee for benchmarking included the following survey data recommended by Mercer:</w:t>
      </w:r>
    </w:p>
    <w:p>
      <w:pPr>
        <w:spacing w:after="0" w:line="120"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2980" w:type="dxa"/>
            <w:vAlign w:val="bottom"/>
            <w:tcBorders>
              <w:top w:val="single" w:sz="8" w:color="auto"/>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NEO</w:t>
            </w:r>
          </w:p>
        </w:tc>
        <w:tc>
          <w:tcPr>
            <w:tcW w:w="6280" w:type="dxa"/>
            <w:vAlign w:val="bottom"/>
            <w:tcBorders>
              <w:top w:val="single" w:sz="8" w:color="auto"/>
              <w:bottom w:val="single" w:sz="8" w:color="auto"/>
            </w:tcBorders>
            <w:gridSpan w:val="2"/>
            <w:shd w:val="clear" w:color="auto" w:fill="9DB8D2"/>
          </w:tcPr>
          <w:p>
            <w:pPr>
              <w:ind w:left="180"/>
              <w:spacing w:after="0"/>
              <w:rPr>
                <w:sz w:val="20"/>
                <w:szCs w:val="20"/>
                <w:color w:val="auto"/>
              </w:rPr>
            </w:pPr>
            <w:r>
              <w:rPr>
                <w:rFonts w:ascii="Arial" w:cs="Arial" w:eastAsia="Arial" w:hAnsi="Arial"/>
                <w:sz w:val="14"/>
                <w:szCs w:val="14"/>
                <w:b w:val="1"/>
                <w:bCs w:val="1"/>
                <w:color w:val="auto"/>
              </w:rPr>
              <w:t>Market Data Utilized</w:t>
            </w:r>
          </w:p>
        </w:tc>
      </w:tr>
      <w:tr>
        <w:trPr>
          <w:trHeight w:val="250"/>
        </w:trPr>
        <w:tc>
          <w:tcPr>
            <w:tcW w:w="2980" w:type="dxa"/>
            <w:vAlign w:val="bottom"/>
            <w:shd w:val="clear" w:color="auto" w:fill="E6EDF3"/>
          </w:tcPr>
          <w:p>
            <w:pPr>
              <w:ind w:left="80"/>
              <w:spacing w:after="0"/>
              <w:rPr>
                <w:sz w:val="20"/>
                <w:szCs w:val="20"/>
                <w:color w:val="auto"/>
              </w:rPr>
            </w:pPr>
            <w:r>
              <w:rPr>
                <w:rFonts w:ascii="Arial" w:cs="Arial" w:eastAsia="Arial" w:hAnsi="Arial"/>
                <w:sz w:val="16"/>
                <w:szCs w:val="16"/>
                <w:color w:val="auto"/>
              </w:rPr>
              <w:t>Jonas Prising</w:t>
            </w:r>
          </w:p>
        </w:tc>
        <w:tc>
          <w:tcPr>
            <w:tcW w:w="6280" w:type="dxa"/>
            <w:vAlign w:val="bottom"/>
            <w:gridSpan w:val="2"/>
            <w:shd w:val="clear" w:color="auto" w:fill="E6EDF3"/>
          </w:tcPr>
          <w:p>
            <w:pPr>
              <w:ind w:left="180"/>
              <w:spacing w:after="0"/>
              <w:rPr>
                <w:sz w:val="20"/>
                <w:szCs w:val="20"/>
                <w:color w:val="auto"/>
              </w:rPr>
            </w:pPr>
            <w:r>
              <w:rPr>
                <w:rFonts w:ascii="Arial" w:cs="Arial" w:eastAsia="Arial" w:hAnsi="Arial"/>
                <w:sz w:val="16"/>
                <w:szCs w:val="16"/>
                <w:color w:val="auto"/>
              </w:rPr>
              <w:t>S&amp;P 500 Data for CEOs</w:t>
            </w:r>
          </w:p>
        </w:tc>
      </w:tr>
      <w:tr>
        <w:trPr>
          <w:trHeight w:val="249"/>
        </w:trPr>
        <w:tc>
          <w:tcPr>
            <w:tcW w:w="2980" w:type="dxa"/>
            <w:vAlign w:val="bottom"/>
          </w:tcPr>
          <w:p>
            <w:pPr>
              <w:ind w:left="80"/>
              <w:spacing w:after="0"/>
              <w:rPr>
                <w:sz w:val="20"/>
                <w:szCs w:val="20"/>
                <w:color w:val="auto"/>
              </w:rPr>
            </w:pPr>
            <w:r>
              <w:rPr>
                <w:rFonts w:ascii="Arial" w:cs="Arial" w:eastAsia="Arial" w:hAnsi="Arial"/>
                <w:sz w:val="16"/>
                <w:szCs w:val="16"/>
                <w:color w:val="auto"/>
              </w:rPr>
              <w:t>John T. McGinnis</w:t>
            </w:r>
          </w:p>
        </w:tc>
        <w:tc>
          <w:tcPr>
            <w:tcW w:w="840" w:type="dxa"/>
            <w:vAlign w:val="bottom"/>
          </w:tcPr>
          <w:p>
            <w:pPr>
              <w:ind w:left="180"/>
              <w:spacing w:after="0"/>
              <w:rPr>
                <w:sz w:val="20"/>
                <w:szCs w:val="20"/>
                <w:color w:val="auto"/>
              </w:rPr>
            </w:pPr>
            <w:r>
              <w:rPr>
                <w:rFonts w:ascii="Arial" w:cs="Arial" w:eastAsia="Arial" w:hAnsi="Arial"/>
                <w:sz w:val="16"/>
                <w:szCs w:val="16"/>
                <w:color w:val="auto"/>
              </w:rPr>
              <w:t>S&amp;P 500</w:t>
            </w:r>
          </w:p>
        </w:tc>
        <w:tc>
          <w:tcPr>
            <w:tcW w:w="5440" w:type="dxa"/>
            <w:vAlign w:val="bottom"/>
          </w:tcPr>
          <w:p>
            <w:pPr>
              <w:ind w:left="20"/>
              <w:spacing w:after="0"/>
              <w:rPr>
                <w:sz w:val="20"/>
                <w:szCs w:val="20"/>
                <w:color w:val="auto"/>
              </w:rPr>
            </w:pPr>
            <w:r>
              <w:rPr>
                <w:rFonts w:ascii="Arial" w:cs="Arial" w:eastAsia="Arial" w:hAnsi="Arial"/>
                <w:sz w:val="16"/>
                <w:szCs w:val="16"/>
                <w:color w:val="auto"/>
              </w:rPr>
              <w:t>Data for CFOs</w:t>
            </w:r>
          </w:p>
        </w:tc>
      </w:tr>
      <w:tr>
        <w:trPr>
          <w:trHeight w:val="264"/>
        </w:trPr>
        <w:tc>
          <w:tcPr>
            <w:tcW w:w="2980" w:type="dxa"/>
            <w:vAlign w:val="bottom"/>
            <w:shd w:val="clear" w:color="auto" w:fill="E6EDF3"/>
          </w:tcPr>
          <w:p>
            <w:pPr>
              <w:ind w:left="80"/>
              <w:spacing w:after="0"/>
              <w:rPr>
                <w:sz w:val="20"/>
                <w:szCs w:val="20"/>
                <w:color w:val="auto"/>
              </w:rPr>
            </w:pPr>
            <w:r>
              <w:rPr>
                <w:rFonts w:ascii="Arial" w:cs="Arial" w:eastAsia="Arial" w:hAnsi="Arial"/>
                <w:sz w:val="16"/>
                <w:szCs w:val="16"/>
                <w:color w:val="auto"/>
              </w:rPr>
              <w:t>Darryl Green</w:t>
            </w:r>
          </w:p>
        </w:tc>
        <w:tc>
          <w:tcPr>
            <w:tcW w:w="840" w:type="dxa"/>
            <w:vAlign w:val="bottom"/>
            <w:shd w:val="clear" w:color="auto" w:fill="E6EDF3"/>
          </w:tcPr>
          <w:p>
            <w:pPr>
              <w:ind w:left="180"/>
              <w:spacing w:after="0"/>
              <w:rPr>
                <w:sz w:val="20"/>
                <w:szCs w:val="20"/>
                <w:color w:val="auto"/>
              </w:rPr>
            </w:pPr>
            <w:r>
              <w:rPr>
                <w:rFonts w:ascii="Arial" w:cs="Arial" w:eastAsia="Arial" w:hAnsi="Arial"/>
                <w:sz w:val="16"/>
                <w:szCs w:val="16"/>
                <w:color w:val="auto"/>
              </w:rPr>
              <w:t>S&amp;P 500</w:t>
            </w:r>
          </w:p>
        </w:tc>
        <w:tc>
          <w:tcPr>
            <w:tcW w:w="5440" w:type="dxa"/>
            <w:vAlign w:val="bottom"/>
            <w:shd w:val="clear" w:color="auto" w:fill="E6EDF3"/>
          </w:tcPr>
          <w:p>
            <w:pPr>
              <w:ind w:left="20"/>
              <w:spacing w:after="0"/>
              <w:rPr>
                <w:sz w:val="20"/>
                <w:szCs w:val="20"/>
                <w:color w:val="auto"/>
              </w:rPr>
            </w:pPr>
            <w:r>
              <w:rPr>
                <w:rFonts w:ascii="Arial" w:cs="Arial" w:eastAsia="Arial" w:hAnsi="Arial"/>
                <w:sz w:val="16"/>
                <w:szCs w:val="16"/>
                <w:color w:val="auto"/>
              </w:rPr>
              <w:t>Data of COOs</w:t>
            </w:r>
          </w:p>
        </w:tc>
      </w:tr>
      <w:tr>
        <w:trPr>
          <w:trHeight w:val="241"/>
        </w:trPr>
        <w:tc>
          <w:tcPr>
            <w:tcW w:w="2980" w:type="dxa"/>
            <w:vAlign w:val="bottom"/>
          </w:tcPr>
          <w:p>
            <w:pPr>
              <w:ind w:left="80"/>
              <w:spacing w:after="0"/>
              <w:rPr>
                <w:sz w:val="20"/>
                <w:szCs w:val="20"/>
                <w:color w:val="auto"/>
              </w:rPr>
            </w:pPr>
            <w:r>
              <w:rPr>
                <w:rFonts w:ascii="Arial" w:cs="Arial" w:eastAsia="Arial" w:hAnsi="Arial"/>
                <w:sz w:val="16"/>
                <w:szCs w:val="16"/>
                <w:color w:val="auto"/>
              </w:rPr>
              <w:t>Ram Chandrashekar</w:t>
            </w:r>
          </w:p>
        </w:tc>
        <w:tc>
          <w:tcPr>
            <w:tcW w:w="840" w:type="dxa"/>
            <w:vAlign w:val="bottom"/>
          </w:tcPr>
          <w:p>
            <w:pPr>
              <w:ind w:left="180"/>
              <w:spacing w:after="0"/>
              <w:rPr>
                <w:sz w:val="20"/>
                <w:szCs w:val="20"/>
                <w:color w:val="auto"/>
              </w:rPr>
            </w:pPr>
            <w:r>
              <w:rPr>
                <w:rFonts w:ascii="Arial" w:cs="Arial" w:eastAsia="Arial" w:hAnsi="Arial"/>
                <w:sz w:val="16"/>
                <w:szCs w:val="16"/>
                <w:color w:val="auto"/>
              </w:rPr>
              <w:t>S&amp;P 500</w:t>
            </w:r>
          </w:p>
        </w:tc>
        <w:tc>
          <w:tcPr>
            <w:tcW w:w="5440" w:type="dxa"/>
            <w:vAlign w:val="bottom"/>
          </w:tcPr>
          <w:p>
            <w:pPr>
              <w:ind w:left="20"/>
              <w:spacing w:after="0"/>
              <w:rPr>
                <w:sz w:val="20"/>
                <w:szCs w:val="20"/>
                <w:color w:val="auto"/>
              </w:rPr>
            </w:pPr>
            <w:r>
              <w:rPr>
                <w:rFonts w:ascii="Arial" w:cs="Arial" w:eastAsia="Arial" w:hAnsi="Arial"/>
                <w:sz w:val="16"/>
                <w:szCs w:val="16"/>
                <w:color w:val="auto"/>
              </w:rPr>
              <w:t>Data of Top Division Executives</w:t>
            </w:r>
          </w:p>
        </w:tc>
      </w:tr>
      <w:tr>
        <w:trPr>
          <w:trHeight w:val="264"/>
        </w:trPr>
        <w:tc>
          <w:tcPr>
            <w:tcW w:w="2980" w:type="dxa"/>
            <w:vAlign w:val="bottom"/>
          </w:tcPr>
          <w:p>
            <w:pPr>
              <w:spacing w:after="0"/>
              <w:rPr>
                <w:sz w:val="22"/>
                <w:szCs w:val="22"/>
                <w:color w:val="auto"/>
              </w:rPr>
            </w:pPr>
          </w:p>
        </w:tc>
        <w:tc>
          <w:tcPr>
            <w:tcW w:w="6280" w:type="dxa"/>
            <w:vAlign w:val="bottom"/>
            <w:gridSpan w:val="2"/>
          </w:tcPr>
          <w:p>
            <w:pPr>
              <w:ind w:left="180"/>
              <w:spacing w:after="0"/>
              <w:rPr>
                <w:sz w:val="20"/>
                <w:szCs w:val="20"/>
                <w:color w:val="auto"/>
              </w:rPr>
            </w:pPr>
            <w:r>
              <w:rPr>
                <w:rFonts w:ascii="Arial" w:cs="Arial" w:eastAsia="Arial" w:hAnsi="Arial"/>
                <w:sz w:val="16"/>
                <w:szCs w:val="16"/>
                <w:color w:val="auto"/>
              </w:rPr>
              <w:t>U.S. Published Survey of Top Division Executives</w:t>
            </w:r>
          </w:p>
        </w:tc>
      </w:tr>
      <w:tr>
        <w:trPr>
          <w:trHeight w:val="249"/>
        </w:trPr>
        <w:tc>
          <w:tcPr>
            <w:tcW w:w="2980" w:type="dxa"/>
            <w:vAlign w:val="bottom"/>
            <w:shd w:val="clear" w:color="auto" w:fill="E6EDF3"/>
          </w:tcPr>
          <w:p>
            <w:pPr>
              <w:ind w:left="80"/>
              <w:spacing w:after="0"/>
              <w:rPr>
                <w:sz w:val="20"/>
                <w:szCs w:val="20"/>
                <w:color w:val="auto"/>
              </w:rPr>
            </w:pPr>
            <w:r>
              <w:rPr>
                <w:rFonts w:ascii="Arial" w:cs="Arial" w:eastAsia="Arial" w:hAnsi="Arial"/>
                <w:sz w:val="16"/>
                <w:szCs w:val="16"/>
                <w:color w:val="auto"/>
              </w:rPr>
              <w:t>Mara Swan(1)</w:t>
            </w:r>
          </w:p>
        </w:tc>
        <w:tc>
          <w:tcPr>
            <w:tcW w:w="840" w:type="dxa"/>
            <w:vAlign w:val="bottom"/>
            <w:shd w:val="clear" w:color="auto" w:fill="E6EDF3"/>
          </w:tcPr>
          <w:p>
            <w:pPr>
              <w:ind w:left="180"/>
              <w:spacing w:after="0"/>
              <w:rPr>
                <w:sz w:val="20"/>
                <w:szCs w:val="20"/>
                <w:color w:val="auto"/>
              </w:rPr>
            </w:pPr>
            <w:r>
              <w:rPr>
                <w:rFonts w:ascii="Arial" w:cs="Arial" w:eastAsia="Arial" w:hAnsi="Arial"/>
                <w:sz w:val="16"/>
                <w:szCs w:val="16"/>
                <w:color w:val="auto"/>
              </w:rPr>
              <w:t>S&amp;P 500</w:t>
            </w:r>
          </w:p>
        </w:tc>
        <w:tc>
          <w:tcPr>
            <w:tcW w:w="5440" w:type="dxa"/>
            <w:vAlign w:val="bottom"/>
            <w:shd w:val="clear" w:color="auto" w:fill="E6EDF3"/>
          </w:tcPr>
          <w:p>
            <w:pPr>
              <w:ind w:left="20"/>
              <w:spacing w:after="0"/>
              <w:rPr>
                <w:sz w:val="20"/>
                <w:szCs w:val="20"/>
                <w:color w:val="auto"/>
              </w:rPr>
            </w:pPr>
            <w:r>
              <w:rPr>
                <w:rFonts w:ascii="Arial" w:cs="Arial" w:eastAsia="Arial" w:hAnsi="Arial"/>
                <w:sz w:val="16"/>
                <w:szCs w:val="16"/>
                <w:color w:val="auto"/>
              </w:rPr>
              <w:t>Data of Top HR Management Executive</w:t>
            </w:r>
          </w:p>
        </w:tc>
      </w:tr>
      <w:tr>
        <w:trPr>
          <w:trHeight w:val="266"/>
        </w:trPr>
        <w:tc>
          <w:tcPr>
            <w:tcW w:w="2980" w:type="dxa"/>
            <w:vAlign w:val="bottom"/>
            <w:tcBorders>
              <w:bottom w:val="single" w:sz="8" w:color="auto"/>
            </w:tcBorders>
            <w:shd w:val="clear" w:color="auto" w:fill="E6EDF3"/>
          </w:tcPr>
          <w:p>
            <w:pPr>
              <w:spacing w:after="0"/>
              <w:rPr>
                <w:sz w:val="23"/>
                <w:szCs w:val="23"/>
                <w:color w:val="auto"/>
              </w:rPr>
            </w:pPr>
          </w:p>
        </w:tc>
        <w:tc>
          <w:tcPr>
            <w:tcW w:w="6280" w:type="dxa"/>
            <w:vAlign w:val="bottom"/>
            <w:tcBorders>
              <w:bottom w:val="single" w:sz="8" w:color="auto"/>
            </w:tcBorders>
            <w:gridSpan w:val="2"/>
            <w:shd w:val="clear" w:color="auto" w:fill="E6EDF3"/>
          </w:tcPr>
          <w:p>
            <w:pPr>
              <w:ind w:left="180"/>
              <w:spacing w:after="0"/>
              <w:rPr>
                <w:sz w:val="20"/>
                <w:szCs w:val="20"/>
                <w:color w:val="auto"/>
              </w:rPr>
            </w:pPr>
            <w:r>
              <w:rPr>
                <w:rFonts w:ascii="Arial" w:cs="Arial" w:eastAsia="Arial" w:hAnsi="Arial"/>
                <w:sz w:val="16"/>
                <w:szCs w:val="16"/>
                <w:color w:val="auto"/>
              </w:rPr>
              <w:t>U.S. Published Survey of Top HR Executives</w:t>
            </w:r>
          </w:p>
        </w:tc>
      </w:tr>
    </w:tbl>
    <w:p>
      <w:pPr>
        <w:spacing w:after="0" w:line="108" w:lineRule="exact"/>
        <w:rPr>
          <w:sz w:val="20"/>
          <w:szCs w:val="20"/>
          <w:color w:val="auto"/>
        </w:rPr>
      </w:pPr>
    </w:p>
    <w:p>
      <w:pPr>
        <w:ind w:left="1520" w:hanging="438"/>
        <w:spacing w:after="0"/>
        <w:tabs>
          <w:tab w:leader="none" w:pos="1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market data used for Ms. Swan includes a 20% premium to reflect additional global strategy responsibilities.</w:t>
      </w:r>
    </w:p>
    <w:p>
      <w:pPr>
        <w:spacing w:after="0" w:line="140"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Prior to setting compensation for 2017 for our NEOs, the Committee reviewed the following table which illustrates how the total opportunity at target performance for total direct compensation for 2016 compared to the median compensation of executives in similar positions taken from the primary data source used for that executive.</w:t>
      </w:r>
    </w:p>
    <w:p>
      <w:pPr>
        <w:spacing w:after="0" w:line="162" w:lineRule="exact"/>
        <w:rPr>
          <w:sz w:val="20"/>
          <w:szCs w:val="20"/>
          <w:color w:val="auto"/>
        </w:rPr>
      </w:pPr>
    </w:p>
    <w:tbl>
      <w:tblPr>
        <w:tblLayout w:type="fixed"/>
        <w:tblInd w:w="1080" w:type="dxa"/>
        <w:tblCellMar>
          <w:top w:w="0" w:type="dxa"/>
          <w:left w:w="0" w:type="dxa"/>
          <w:bottom w:w="0" w:type="dxa"/>
          <w:right w:w="0" w:type="dxa"/>
        </w:tblCellMar>
      </w:tblPr>
      <w:tr>
        <w:trPr>
          <w:trHeight w:val="253"/>
        </w:trPr>
        <w:tc>
          <w:tcPr>
            <w:tcW w:w="2540" w:type="dxa"/>
            <w:vAlign w:val="bottom"/>
          </w:tcPr>
          <w:p>
            <w:pPr>
              <w:spacing w:after="0"/>
              <w:rPr>
                <w:sz w:val="21"/>
                <w:szCs w:val="21"/>
                <w:color w:val="auto"/>
              </w:rPr>
            </w:pPr>
          </w:p>
        </w:tc>
        <w:tc>
          <w:tcPr>
            <w:tcW w:w="6720" w:type="dxa"/>
            <w:vAlign w:val="bottom"/>
          </w:tcPr>
          <w:p>
            <w:pPr>
              <w:jc w:val="right"/>
              <w:ind w:right="3400"/>
              <w:spacing w:after="0"/>
              <w:rPr>
                <w:sz w:val="20"/>
                <w:szCs w:val="20"/>
                <w:color w:val="auto"/>
              </w:rPr>
            </w:pPr>
            <w:r>
              <w:rPr>
                <w:rFonts w:ascii="Arial" w:cs="Arial" w:eastAsia="Arial" w:hAnsi="Arial"/>
                <w:sz w:val="18"/>
                <w:szCs w:val="18"/>
                <w:b w:val="1"/>
                <w:bCs w:val="1"/>
                <w:color w:val="auto"/>
              </w:rPr>
              <w:t>Total Direct Compensation</w:t>
            </w:r>
          </w:p>
        </w:tc>
      </w:tr>
      <w:tr>
        <w:trPr>
          <w:trHeight w:val="96"/>
        </w:trPr>
        <w:tc>
          <w:tcPr>
            <w:tcW w:w="2540" w:type="dxa"/>
            <w:vAlign w:val="bottom"/>
            <w:tcBorders>
              <w:bottom w:val="single" w:sz="8" w:color="auto"/>
            </w:tcBorders>
          </w:tcPr>
          <w:p>
            <w:pPr>
              <w:spacing w:after="0"/>
              <w:rPr>
                <w:sz w:val="8"/>
                <w:szCs w:val="8"/>
                <w:color w:val="auto"/>
              </w:rPr>
            </w:pPr>
          </w:p>
        </w:tc>
        <w:tc>
          <w:tcPr>
            <w:tcW w:w="6720" w:type="dxa"/>
            <w:vAlign w:val="bottom"/>
            <w:tcBorders>
              <w:bottom w:val="single" w:sz="8" w:color="auto"/>
            </w:tcBorders>
          </w:tcPr>
          <w:p>
            <w:pPr>
              <w:spacing w:after="0"/>
              <w:rPr>
                <w:sz w:val="8"/>
                <w:szCs w:val="8"/>
                <w:color w:val="auto"/>
              </w:rPr>
            </w:pPr>
          </w:p>
        </w:tc>
      </w:tr>
      <w:tr>
        <w:trPr>
          <w:trHeight w:val="235"/>
        </w:trPr>
        <w:tc>
          <w:tcPr>
            <w:tcW w:w="2540" w:type="dxa"/>
            <w:vAlign w:val="bottom"/>
            <w:shd w:val="clear" w:color="auto" w:fill="9DB8D2"/>
          </w:tcPr>
          <w:p>
            <w:pPr>
              <w:spacing w:after="0"/>
              <w:rPr>
                <w:sz w:val="20"/>
                <w:szCs w:val="20"/>
                <w:color w:val="auto"/>
              </w:rPr>
            </w:pPr>
          </w:p>
        </w:tc>
        <w:tc>
          <w:tcPr>
            <w:tcW w:w="6720" w:type="dxa"/>
            <w:vAlign w:val="bottom"/>
            <w:shd w:val="clear" w:color="auto" w:fill="9DB8D2"/>
          </w:tcPr>
          <w:p>
            <w:pPr>
              <w:jc w:val="right"/>
              <w:ind w:right="200"/>
              <w:spacing w:after="0"/>
              <w:rPr>
                <w:sz w:val="20"/>
                <w:szCs w:val="20"/>
                <w:color w:val="auto"/>
              </w:rPr>
            </w:pPr>
            <w:r>
              <w:rPr>
                <w:rFonts w:ascii="Arial" w:cs="Arial" w:eastAsia="Arial" w:hAnsi="Arial"/>
                <w:sz w:val="14"/>
                <w:szCs w:val="14"/>
                <w:b w:val="1"/>
                <w:bCs w:val="1"/>
                <w:color w:val="auto"/>
              </w:rPr>
              <w:t>% Variance Median of</w:t>
            </w:r>
          </w:p>
        </w:tc>
      </w:tr>
      <w:tr>
        <w:trPr>
          <w:trHeight w:val="177"/>
        </w:trPr>
        <w:tc>
          <w:tcPr>
            <w:tcW w:w="254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NEO</w:t>
            </w:r>
          </w:p>
        </w:tc>
        <w:tc>
          <w:tcPr>
            <w:tcW w:w="6720" w:type="dxa"/>
            <w:vAlign w:val="bottom"/>
            <w:tcBorders>
              <w:bottom w:val="single" w:sz="8" w:color="auto"/>
            </w:tcBorders>
            <w:shd w:val="clear" w:color="auto" w:fill="9DB8D2"/>
          </w:tcPr>
          <w:p>
            <w:pPr>
              <w:jc w:val="right"/>
              <w:ind w:right="180"/>
              <w:spacing w:after="0"/>
              <w:rPr>
                <w:sz w:val="20"/>
                <w:szCs w:val="20"/>
                <w:color w:val="auto"/>
              </w:rPr>
            </w:pPr>
            <w:r>
              <w:rPr>
                <w:rFonts w:ascii="Arial" w:cs="Arial" w:eastAsia="Arial" w:hAnsi="Arial"/>
                <w:sz w:val="14"/>
                <w:szCs w:val="14"/>
                <w:b w:val="1"/>
                <w:bCs w:val="1"/>
                <w:color w:val="auto"/>
              </w:rPr>
              <w:t>Competitive Market(1)</w:t>
            </w:r>
          </w:p>
        </w:tc>
      </w:tr>
      <w:tr>
        <w:trPr>
          <w:trHeight w:val="257"/>
        </w:trPr>
        <w:tc>
          <w:tcPr>
            <w:tcW w:w="2540" w:type="dxa"/>
            <w:vAlign w:val="bottom"/>
            <w:tcBorders>
              <w:bottom w:val="single" w:sz="8" w:color="E6EDF3"/>
            </w:tcBorders>
            <w:shd w:val="clear" w:color="auto" w:fill="E6EDF3"/>
          </w:tcPr>
          <w:p>
            <w:pPr>
              <w:ind w:left="80"/>
              <w:spacing w:after="0"/>
              <w:rPr>
                <w:sz w:val="20"/>
                <w:szCs w:val="20"/>
                <w:color w:val="auto"/>
              </w:rPr>
            </w:pPr>
            <w:r>
              <w:rPr>
                <w:rFonts w:ascii="Arial" w:cs="Arial" w:eastAsia="Arial" w:hAnsi="Arial"/>
                <w:sz w:val="16"/>
                <w:szCs w:val="16"/>
                <w:color w:val="auto"/>
              </w:rPr>
              <w:t>Jonas Prising</w:t>
            </w:r>
          </w:p>
        </w:tc>
        <w:tc>
          <w:tcPr>
            <w:tcW w:w="6720" w:type="dxa"/>
            <w:vAlign w:val="bottom"/>
            <w:tcBorders>
              <w:bottom w:val="single" w:sz="8" w:color="E6EDF3"/>
            </w:tcBorders>
            <w:shd w:val="clear" w:color="auto" w:fill="E6EDF3"/>
          </w:tcPr>
          <w:p>
            <w:pPr>
              <w:jc w:val="right"/>
              <w:ind w:right="500"/>
              <w:spacing w:after="0"/>
              <w:rPr>
                <w:sz w:val="20"/>
                <w:szCs w:val="20"/>
                <w:color w:val="auto"/>
              </w:rPr>
            </w:pPr>
            <w:r>
              <w:rPr>
                <w:rFonts w:ascii="Arial" w:cs="Arial" w:eastAsia="Arial" w:hAnsi="Arial"/>
                <w:sz w:val="16"/>
                <w:szCs w:val="16"/>
                <w:color w:val="auto"/>
              </w:rPr>
              <w:t>(15)%</w:t>
            </w:r>
          </w:p>
        </w:tc>
      </w:tr>
      <w:tr>
        <w:trPr>
          <w:trHeight w:val="241"/>
        </w:trPr>
        <w:tc>
          <w:tcPr>
            <w:tcW w:w="2540" w:type="dxa"/>
            <w:vAlign w:val="bottom"/>
          </w:tcPr>
          <w:p>
            <w:pPr>
              <w:ind w:left="80"/>
              <w:spacing w:after="0"/>
              <w:rPr>
                <w:sz w:val="20"/>
                <w:szCs w:val="20"/>
                <w:color w:val="auto"/>
              </w:rPr>
            </w:pPr>
            <w:r>
              <w:rPr>
                <w:rFonts w:ascii="Arial" w:cs="Arial" w:eastAsia="Arial" w:hAnsi="Arial"/>
                <w:sz w:val="16"/>
                <w:szCs w:val="16"/>
                <w:color w:val="auto"/>
              </w:rPr>
              <w:t>John T. McGinnis</w:t>
            </w:r>
          </w:p>
        </w:tc>
        <w:tc>
          <w:tcPr>
            <w:tcW w:w="6720" w:type="dxa"/>
            <w:vAlign w:val="bottom"/>
          </w:tcPr>
          <w:p>
            <w:pPr>
              <w:jc w:val="right"/>
              <w:ind w:right="500"/>
              <w:spacing w:after="0"/>
              <w:rPr>
                <w:sz w:val="20"/>
                <w:szCs w:val="20"/>
                <w:color w:val="auto"/>
              </w:rPr>
            </w:pPr>
            <w:r>
              <w:rPr>
                <w:rFonts w:ascii="Arial" w:cs="Arial" w:eastAsia="Arial" w:hAnsi="Arial"/>
                <w:sz w:val="16"/>
                <w:szCs w:val="16"/>
                <w:color w:val="auto"/>
              </w:rPr>
              <w:t>(12)%</w:t>
            </w:r>
          </w:p>
        </w:tc>
      </w:tr>
      <w:tr>
        <w:trPr>
          <w:trHeight w:val="43"/>
        </w:trPr>
        <w:tc>
          <w:tcPr>
            <w:tcW w:w="2540" w:type="dxa"/>
            <w:vAlign w:val="bottom"/>
          </w:tcPr>
          <w:p>
            <w:pPr>
              <w:spacing w:after="0"/>
              <w:rPr>
                <w:sz w:val="3"/>
                <w:szCs w:val="3"/>
                <w:color w:val="auto"/>
              </w:rPr>
            </w:pPr>
          </w:p>
        </w:tc>
        <w:tc>
          <w:tcPr>
            <w:tcW w:w="6720" w:type="dxa"/>
            <w:vAlign w:val="bottom"/>
          </w:tcPr>
          <w:p>
            <w:pPr>
              <w:spacing w:after="0"/>
              <w:rPr>
                <w:sz w:val="3"/>
                <w:szCs w:val="3"/>
                <w:color w:val="auto"/>
              </w:rPr>
            </w:pPr>
          </w:p>
        </w:tc>
      </w:tr>
      <w:tr>
        <w:trPr>
          <w:trHeight w:val="264"/>
        </w:trPr>
        <w:tc>
          <w:tcPr>
            <w:tcW w:w="2540" w:type="dxa"/>
            <w:vAlign w:val="bottom"/>
            <w:tcBorders>
              <w:bottom w:val="single" w:sz="8" w:color="E6EDF3"/>
            </w:tcBorders>
            <w:shd w:val="clear" w:color="auto" w:fill="E6EDF3"/>
          </w:tcPr>
          <w:p>
            <w:pPr>
              <w:ind w:left="80"/>
              <w:spacing w:after="0"/>
              <w:rPr>
                <w:sz w:val="20"/>
                <w:szCs w:val="20"/>
                <w:color w:val="auto"/>
              </w:rPr>
            </w:pPr>
            <w:r>
              <w:rPr>
                <w:rFonts w:ascii="Arial" w:cs="Arial" w:eastAsia="Arial" w:hAnsi="Arial"/>
                <w:sz w:val="16"/>
                <w:szCs w:val="16"/>
                <w:color w:val="auto"/>
              </w:rPr>
              <w:t>Darryl Green</w:t>
            </w:r>
          </w:p>
        </w:tc>
        <w:tc>
          <w:tcPr>
            <w:tcW w:w="6720" w:type="dxa"/>
            <w:vAlign w:val="bottom"/>
            <w:tcBorders>
              <w:bottom w:val="single" w:sz="8" w:color="E6EDF3"/>
            </w:tcBorders>
            <w:shd w:val="clear" w:color="auto" w:fill="E6EDF3"/>
          </w:tcPr>
          <w:p>
            <w:pPr>
              <w:jc w:val="right"/>
              <w:ind w:right="540"/>
              <w:spacing w:after="0"/>
              <w:rPr>
                <w:sz w:val="20"/>
                <w:szCs w:val="20"/>
                <w:color w:val="auto"/>
              </w:rPr>
            </w:pPr>
            <w:r>
              <w:rPr>
                <w:rFonts w:ascii="Arial" w:cs="Arial" w:eastAsia="Arial" w:hAnsi="Arial"/>
                <w:sz w:val="16"/>
                <w:szCs w:val="16"/>
                <w:color w:val="auto"/>
              </w:rPr>
              <w:t>18%</w:t>
            </w:r>
          </w:p>
        </w:tc>
      </w:tr>
      <w:tr>
        <w:trPr>
          <w:trHeight w:val="241"/>
        </w:trPr>
        <w:tc>
          <w:tcPr>
            <w:tcW w:w="2540" w:type="dxa"/>
            <w:vAlign w:val="bottom"/>
          </w:tcPr>
          <w:p>
            <w:pPr>
              <w:ind w:left="80"/>
              <w:spacing w:after="0"/>
              <w:rPr>
                <w:sz w:val="20"/>
                <w:szCs w:val="20"/>
                <w:color w:val="auto"/>
              </w:rPr>
            </w:pPr>
            <w:r>
              <w:rPr>
                <w:rFonts w:ascii="Arial" w:cs="Arial" w:eastAsia="Arial" w:hAnsi="Arial"/>
                <w:sz w:val="16"/>
                <w:szCs w:val="16"/>
                <w:color w:val="auto"/>
              </w:rPr>
              <w:t>Ram Chandrashekar</w:t>
            </w:r>
          </w:p>
        </w:tc>
        <w:tc>
          <w:tcPr>
            <w:tcW w:w="6720" w:type="dxa"/>
            <w:vAlign w:val="bottom"/>
          </w:tcPr>
          <w:p>
            <w:pPr>
              <w:jc w:val="right"/>
              <w:ind w:right="500"/>
              <w:spacing w:after="0"/>
              <w:rPr>
                <w:sz w:val="20"/>
                <w:szCs w:val="20"/>
                <w:color w:val="auto"/>
              </w:rPr>
            </w:pPr>
            <w:r>
              <w:rPr>
                <w:rFonts w:ascii="Arial" w:cs="Arial" w:eastAsia="Arial" w:hAnsi="Arial"/>
                <w:sz w:val="16"/>
                <w:szCs w:val="16"/>
                <w:color w:val="auto"/>
              </w:rPr>
              <w:t>(15)%</w:t>
            </w:r>
          </w:p>
        </w:tc>
      </w:tr>
      <w:tr>
        <w:trPr>
          <w:trHeight w:val="43"/>
        </w:trPr>
        <w:tc>
          <w:tcPr>
            <w:tcW w:w="2540" w:type="dxa"/>
            <w:vAlign w:val="bottom"/>
          </w:tcPr>
          <w:p>
            <w:pPr>
              <w:spacing w:after="0"/>
              <w:rPr>
                <w:sz w:val="3"/>
                <w:szCs w:val="3"/>
                <w:color w:val="auto"/>
              </w:rPr>
            </w:pPr>
          </w:p>
        </w:tc>
        <w:tc>
          <w:tcPr>
            <w:tcW w:w="6720" w:type="dxa"/>
            <w:vAlign w:val="bottom"/>
          </w:tcPr>
          <w:p>
            <w:pPr>
              <w:spacing w:after="0"/>
              <w:rPr>
                <w:sz w:val="3"/>
                <w:szCs w:val="3"/>
                <w:color w:val="auto"/>
              </w:rPr>
            </w:pPr>
          </w:p>
        </w:tc>
      </w:tr>
      <w:tr>
        <w:trPr>
          <w:trHeight w:val="264"/>
        </w:trPr>
        <w:tc>
          <w:tcPr>
            <w:tcW w:w="2540" w:type="dxa"/>
            <w:vAlign w:val="bottom"/>
            <w:tcBorders>
              <w:bottom w:val="single" w:sz="8" w:color="E6EDF3"/>
            </w:tcBorders>
            <w:shd w:val="clear" w:color="auto" w:fill="E6EDF3"/>
          </w:tcPr>
          <w:p>
            <w:pPr>
              <w:ind w:left="80"/>
              <w:spacing w:after="0"/>
              <w:rPr>
                <w:sz w:val="20"/>
                <w:szCs w:val="20"/>
                <w:color w:val="auto"/>
              </w:rPr>
            </w:pPr>
            <w:r>
              <w:rPr>
                <w:rFonts w:ascii="Arial" w:cs="Arial" w:eastAsia="Arial" w:hAnsi="Arial"/>
                <w:sz w:val="16"/>
                <w:szCs w:val="16"/>
                <w:color w:val="auto"/>
              </w:rPr>
              <w:t>Mara E. Swan</w:t>
            </w:r>
          </w:p>
        </w:tc>
        <w:tc>
          <w:tcPr>
            <w:tcW w:w="6720" w:type="dxa"/>
            <w:vAlign w:val="bottom"/>
            <w:tcBorders>
              <w:bottom w:val="single" w:sz="8" w:color="E6EDF3"/>
            </w:tcBorders>
            <w:shd w:val="clear" w:color="auto" w:fill="E6EDF3"/>
          </w:tcPr>
          <w:p>
            <w:pPr>
              <w:jc w:val="right"/>
              <w:ind w:right="540"/>
              <w:spacing w:after="0"/>
              <w:rPr>
                <w:sz w:val="20"/>
                <w:szCs w:val="20"/>
                <w:color w:val="auto"/>
              </w:rPr>
            </w:pPr>
            <w:r>
              <w:rPr>
                <w:rFonts w:ascii="Arial" w:cs="Arial" w:eastAsia="Arial" w:hAnsi="Arial"/>
                <w:sz w:val="16"/>
                <w:szCs w:val="16"/>
                <w:color w:val="auto"/>
              </w:rPr>
              <w:t>1%</w:t>
            </w:r>
          </w:p>
        </w:tc>
      </w:tr>
      <w:tr>
        <w:trPr>
          <w:trHeight w:val="20"/>
        </w:trPr>
        <w:tc>
          <w:tcPr>
            <w:tcW w:w="2540" w:type="dxa"/>
            <w:vAlign w:val="bottom"/>
            <w:shd w:val="clear" w:color="auto" w:fill="000000"/>
          </w:tcPr>
          <w:p>
            <w:pPr>
              <w:spacing w:after="0" w:line="20" w:lineRule="exact"/>
              <w:rPr>
                <w:sz w:val="1"/>
                <w:szCs w:val="1"/>
                <w:color w:val="auto"/>
              </w:rPr>
            </w:pPr>
          </w:p>
        </w:tc>
        <w:tc>
          <w:tcPr>
            <w:tcW w:w="6720" w:type="dxa"/>
            <w:vAlign w:val="bottom"/>
            <w:shd w:val="clear" w:color="auto" w:fill="000000"/>
          </w:tcPr>
          <w:p>
            <w:pPr>
              <w:spacing w:after="0" w:line="20" w:lineRule="exact"/>
              <w:rPr>
                <w:sz w:val="1"/>
                <w:szCs w:val="1"/>
                <w:color w:val="auto"/>
              </w:rPr>
            </w:pPr>
          </w:p>
        </w:tc>
      </w:tr>
    </w:tbl>
    <w:p>
      <w:pPr>
        <w:spacing w:after="0" w:line="108" w:lineRule="exact"/>
        <w:rPr>
          <w:sz w:val="20"/>
          <w:szCs w:val="20"/>
          <w:color w:val="auto"/>
        </w:rPr>
      </w:pPr>
    </w:p>
    <w:p>
      <w:pPr>
        <w:ind w:left="1520" w:hanging="438"/>
        <w:spacing w:after="0" w:line="291" w:lineRule="auto"/>
        <w:tabs>
          <w:tab w:leader="none" w:pos="1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Mr. Prising, Mr. McGinnis and Mr. Green, the primary data source was the peer group subset of the S&amp;P 500. For Mr. Chandrashekar and Ms. Swan, the primary data source was a composite of the peer group subset of the S&amp;P 500 and published surveys.</w:t>
      </w:r>
    </w:p>
    <w:p>
      <w:pPr>
        <w:spacing w:after="0" w:line="73" w:lineRule="exact"/>
        <w:rPr>
          <w:sz w:val="20"/>
          <w:szCs w:val="20"/>
          <w:color w:val="auto"/>
        </w:rPr>
      </w:pPr>
    </w:p>
    <w:p>
      <w:pPr>
        <w:ind w:left="200" w:right="80"/>
        <w:spacing w:after="0" w:line="276" w:lineRule="auto"/>
        <w:rPr>
          <w:sz w:val="20"/>
          <w:szCs w:val="20"/>
          <w:color w:val="auto"/>
        </w:rPr>
      </w:pPr>
      <w:r>
        <w:rPr>
          <w:rFonts w:ascii="Arial" w:cs="Arial" w:eastAsia="Arial" w:hAnsi="Arial"/>
          <w:sz w:val="18"/>
          <w:szCs w:val="18"/>
          <w:color w:val="auto"/>
        </w:rPr>
        <w:t>Based on the foregoing benchmarking, and the input of Mercer, compensation levels for the NEOs were increased in 2017 after review by the Committee. In each case, base salary and equity were increased.</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Assessing Individual Factors</w:t>
      </w:r>
    </w:p>
    <w:p>
      <w:pPr>
        <w:spacing w:after="0" w:line="144" w:lineRule="exact"/>
        <w:rPr>
          <w:sz w:val="20"/>
          <w:szCs w:val="20"/>
          <w:color w:val="auto"/>
        </w:rPr>
      </w:pPr>
    </w:p>
    <w:p>
      <w:pPr>
        <w:ind w:left="200" w:right="380"/>
        <w:spacing w:after="0" w:line="243" w:lineRule="auto"/>
        <w:rPr>
          <w:sz w:val="20"/>
          <w:szCs w:val="20"/>
          <w:color w:val="auto"/>
        </w:rPr>
      </w:pPr>
      <w:r>
        <w:rPr>
          <w:rFonts w:ascii="Arial" w:cs="Arial" w:eastAsia="Arial" w:hAnsi="Arial"/>
          <w:sz w:val="18"/>
          <w:szCs w:val="18"/>
          <w:color w:val="auto"/>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internal equity (which means that comparably positioned executives within ManpowerGroup should have comparable award opportunities), the NEO’s historical compensation, and any retention concerns. The Committee uses a historical compensation report to review the compensation and benefits provided to each NEO in connection with its compensation decisions concerning that NEO.</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How the Committee Determines Compensation Levels</w:t>
      </w:r>
    </w:p>
    <w:p>
      <w:pPr>
        <w:spacing w:after="0" w:line="129" w:lineRule="exact"/>
        <w:rPr>
          <w:sz w:val="20"/>
          <w:szCs w:val="20"/>
          <w:color w:val="auto"/>
        </w:rPr>
      </w:pPr>
    </w:p>
    <w:p>
      <w:pPr>
        <w:ind w:left="200" w:right="80"/>
        <w:spacing w:after="0" w:line="243" w:lineRule="auto"/>
        <w:rPr>
          <w:sz w:val="20"/>
          <w:szCs w:val="20"/>
          <w:color w:val="auto"/>
        </w:rPr>
      </w:pPr>
      <w:r>
        <w:rPr>
          <w:rFonts w:ascii="Arial" w:cs="Arial" w:eastAsia="Arial" w:hAnsi="Arial"/>
          <w:sz w:val="18"/>
          <w:szCs w:val="18"/>
          <w:color w:val="auto"/>
        </w:rPr>
        <w:t>The Committee determines the CEO compensation levels, including base salary, establishing and determining the achievement of the financial goals and operating objectives for the annual cash incentives, and any equity-based compensation awards, subject to ratification by the board of directors. Generally, the CEO establishes and determines the achievement of the goals and objectives for the annual incentive for the other NEOs, with the Committee making the final determinations. Similarly, the CEO generally recommends to the Committee any salary adjustments, cash incentive awards or equity-based awards for the other NEOs, which are then evaluated and determined by the Committee. Mercer also provided input to the Committee regarding the final 2017 compensation</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38</w:t>
      </w:r>
    </w:p>
    <w:p>
      <w:pPr>
        <w:sectPr>
          <w:pgSz w:w="11900" w:h="16838" w:orient="portrait"/>
          <w:cols w:equalWidth="0" w:num="1">
            <w:col w:w="11220"/>
          </w:cols>
          <w:pgMar w:left="24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right="160"/>
        <w:spacing w:after="0" w:line="248" w:lineRule="auto"/>
        <w:rPr>
          <w:sz w:val="20"/>
          <w:szCs w:val="20"/>
          <w:color w:val="auto"/>
        </w:rPr>
      </w:pPr>
      <w:r>
        <w:rPr>
          <w:rFonts w:ascii="Arial" w:cs="Arial" w:eastAsia="Arial" w:hAnsi="Arial"/>
          <w:sz w:val="18"/>
          <w:szCs w:val="18"/>
          <w:color w:val="auto"/>
        </w:rPr>
        <w:t>for all of the NEOs. This input reflected the Company’s performance results for 2017, external market references against the peer group, internal compensation references and the individual performance of each of the NEOs. Under the Committee’s charter, compensation for our CEO, CFO and President (who is our COO) is subject to ratification by the board of directors. Accordingly, the board of directors ratified the determinations for Mr. Prising, Mr. McGinnis and Mr. Green, who were our executives at this level.</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Setting Annual Incentive Goals and Equity Awards for Mr. Prising</w:t>
      </w:r>
    </w:p>
    <w:p>
      <w:pPr>
        <w:spacing w:after="0" w:line="144" w:lineRule="exact"/>
        <w:rPr>
          <w:sz w:val="20"/>
          <w:szCs w:val="20"/>
          <w:color w:val="auto"/>
        </w:rPr>
      </w:pPr>
    </w:p>
    <w:p>
      <w:pPr>
        <w:ind w:left="200" w:right="120"/>
        <w:spacing w:after="0" w:line="243" w:lineRule="auto"/>
        <w:rPr>
          <w:sz w:val="20"/>
          <w:szCs w:val="20"/>
          <w:color w:val="auto"/>
        </w:rPr>
      </w:pPr>
      <w:r>
        <w:rPr>
          <w:rFonts w:ascii="Arial" w:cs="Arial" w:eastAsia="Arial" w:hAnsi="Arial"/>
          <w:sz w:val="18"/>
          <w:szCs w:val="18"/>
          <w:color w:val="auto"/>
        </w:rPr>
        <w:t>The annual financial goals for the CEO are based on EPS and ROIC for the year. The process begins with collaboration between Mercer, the CFO and the Executive Vice President, Global Strategy and Talent. The full Committee then reviews and determines the goals and range of award opportunities for achievement of the goals, including the weighting of each goal for the CEO, subject to ratification by the board of directors. In determining these goals, the Committee considers financial information including historical and projected earnings growth, the prior year financial results and the Company’s expected financial performance for the current year, consulting with management, including financial personnel, and Mercer.</w:t>
      </w:r>
    </w:p>
    <w:p>
      <w:pPr>
        <w:spacing w:after="0" w:line="93"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Setting the operating objectives for the CEO begins with the CEO recommending to the Committee the objectives for himself for the year. The Committee reviews and ultimately approves these operating objectives, subject to any adjustments, in the context of ManpowerGroup’s strategic and financial plans.</w:t>
      </w:r>
    </w:p>
    <w:p>
      <w:pPr>
        <w:spacing w:after="0" w:line="97" w:lineRule="exact"/>
        <w:rPr>
          <w:sz w:val="20"/>
          <w:szCs w:val="20"/>
          <w:color w:val="auto"/>
        </w:rPr>
      </w:pPr>
    </w:p>
    <w:p>
      <w:pPr>
        <w:ind w:left="200" w:right="40"/>
        <w:spacing w:after="0" w:line="245" w:lineRule="auto"/>
        <w:rPr>
          <w:sz w:val="20"/>
          <w:szCs w:val="20"/>
          <w:color w:val="auto"/>
        </w:rPr>
      </w:pPr>
      <w:r>
        <w:rPr>
          <w:rFonts w:ascii="Arial" w:cs="Arial" w:eastAsia="Arial" w:hAnsi="Arial"/>
          <w:sz w:val="18"/>
          <w:szCs w:val="18"/>
          <w:color w:val="auto"/>
        </w:rPr>
        <w:t>At each Committee meeting during the year, the Committee reviews the progress the CEO is making towards the achievement of his financial goals and operating objectives for the year. After the close of each year, the Committee reviews and approves, subject to ratification by the board of directors, an award amount for the annual cash incentive based on whether the annual objective financial goals have been achieved, the pool allocation earned under the Pool Plan, and based on the CEO’s performance towards each of his annual operating objectives.</w:t>
      </w:r>
    </w:p>
    <w:p>
      <w:pPr>
        <w:spacing w:after="0" w:line="105" w:lineRule="exact"/>
        <w:rPr>
          <w:sz w:val="20"/>
          <w:szCs w:val="20"/>
          <w:color w:val="auto"/>
        </w:rPr>
      </w:pPr>
    </w:p>
    <w:p>
      <w:pPr>
        <w:ind w:left="200" w:right="340"/>
        <w:spacing w:after="0" w:line="255" w:lineRule="auto"/>
        <w:rPr>
          <w:sz w:val="20"/>
          <w:szCs w:val="20"/>
          <w:color w:val="auto"/>
        </w:rPr>
      </w:pPr>
      <w:r>
        <w:rPr>
          <w:rFonts w:ascii="Arial" w:cs="Arial" w:eastAsia="Arial" w:hAnsi="Arial"/>
          <w:sz w:val="18"/>
          <w:szCs w:val="18"/>
          <w:color w:val="auto"/>
        </w:rPr>
        <w:t>The Committee will generally determine and approve equity awards to the CEO and the related vesting schedules, at its regularly scheduled meeting in February each year, subject to ratification by the board of directors. The grant date for the awards is the date the Committee approves the awards. The exercise price for any options granted is the closing price on the date of grant.</w:t>
      </w:r>
    </w:p>
    <w:p>
      <w:pPr>
        <w:spacing w:after="0" w:line="83" w:lineRule="exact"/>
        <w:rPr>
          <w:sz w:val="20"/>
          <w:szCs w:val="20"/>
          <w:color w:val="auto"/>
        </w:rPr>
      </w:pPr>
    </w:p>
    <w:p>
      <w:pPr>
        <w:ind w:left="200" w:right="140"/>
        <w:spacing w:after="0" w:line="276" w:lineRule="auto"/>
        <w:rPr>
          <w:sz w:val="20"/>
          <w:szCs w:val="20"/>
          <w:color w:val="auto"/>
        </w:rPr>
      </w:pPr>
      <w:r>
        <w:rPr>
          <w:rFonts w:ascii="Arial" w:cs="Arial" w:eastAsia="Arial" w:hAnsi="Arial"/>
          <w:sz w:val="18"/>
          <w:szCs w:val="18"/>
          <w:color w:val="auto"/>
        </w:rPr>
        <w:t>As part of the decision making process for the CEO’s compensation matters, any decisions of the Committee or ratifications by the board of directors regarding the CEO’s compensation, are done in executive session without any other management present.</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Setting Annual Incentive Goals and Equity Awards for Messrs. McGinnis, Green, Chandrashekar and Ms. Swan</w:t>
      </w:r>
    </w:p>
    <w:p>
      <w:pPr>
        <w:spacing w:after="0" w:line="144"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The process for setting the annual financial goals for the other NEOs also begins with collaboration between Mercer, the CFO and the Executive Vice President, Global Strategy and Talent selecting the objective financial metrics and establishing proposed goals for those selected metrics for each of the NEOs. The recommended financial metrics and proposed goals are then reviewed and approved by the CEO. The EPS and ROIC metric is used for each NEO, with the same goals as those used for the CEO. The CFO and the Executive Vice President, Global Strategy and Talent recommend the proposed goals and award opportunities for Mr. Chandrashekar’s other objective financial metric, AOUP, which is then reviewed and approved by the CEO. The Committee reviews these recommended financial goals, makes any adjustments it deems appropriate and then approves the financial goals and range of award opportunities, including the weighting of each goal.</w:t>
      </w:r>
    </w:p>
    <w:p>
      <w:pPr>
        <w:spacing w:after="0" w:line="100" w:lineRule="exact"/>
        <w:rPr>
          <w:sz w:val="20"/>
          <w:szCs w:val="20"/>
          <w:color w:val="auto"/>
        </w:rPr>
      </w:pPr>
    </w:p>
    <w:p>
      <w:pPr>
        <w:ind w:left="200" w:right="740"/>
        <w:spacing w:after="0" w:line="276" w:lineRule="auto"/>
        <w:rPr>
          <w:sz w:val="20"/>
          <w:szCs w:val="20"/>
          <w:color w:val="auto"/>
        </w:rPr>
      </w:pPr>
      <w:r>
        <w:rPr>
          <w:rFonts w:ascii="Arial" w:cs="Arial" w:eastAsia="Arial" w:hAnsi="Arial"/>
          <w:sz w:val="18"/>
          <w:szCs w:val="18"/>
          <w:color w:val="auto"/>
        </w:rPr>
        <w:t>For 2017, Mr. Prising approved the operating objectives for Messrs. McGinnis, Green, Chandrashekar and Ms. Swan, which were reviewed by the Committee.</w:t>
      </w:r>
    </w:p>
    <w:p>
      <w:pPr>
        <w:spacing w:after="0" w:line="78" w:lineRule="exact"/>
        <w:rPr>
          <w:sz w:val="20"/>
          <w:szCs w:val="20"/>
          <w:color w:val="auto"/>
        </w:rPr>
      </w:pPr>
    </w:p>
    <w:p>
      <w:pPr>
        <w:ind w:left="200" w:right="200"/>
        <w:spacing w:after="0" w:line="245" w:lineRule="auto"/>
        <w:rPr>
          <w:sz w:val="20"/>
          <w:szCs w:val="20"/>
          <w:color w:val="auto"/>
        </w:rPr>
      </w:pPr>
      <w:r>
        <w:rPr>
          <w:rFonts w:ascii="Arial" w:cs="Arial" w:eastAsia="Arial" w:hAnsi="Arial"/>
          <w:sz w:val="18"/>
          <w:szCs w:val="18"/>
          <w:color w:val="auto"/>
        </w:rPr>
        <w:t>After the close of each year, the Committee reviews and approves an award amount for the annual incentive to each NEO based on achievement of the NEO’s annual objective financial goals and the pool allocation earned under the Pool Plan. The CEO determines the amount of any award to each of the NEOs for performance towards each of their annual operating objectives. The CEO presents the recommended award for each NEO to the Committee for its review and approval, subject to ratification by the board of directors for Messrs. McGinnis and Green.</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right="60"/>
        <w:spacing w:after="0" w:line="245" w:lineRule="auto"/>
        <w:rPr>
          <w:sz w:val="20"/>
          <w:szCs w:val="20"/>
          <w:color w:val="auto"/>
        </w:rPr>
      </w:pPr>
      <w:r>
        <w:rPr>
          <w:rFonts w:ascii="Arial" w:cs="Arial" w:eastAsia="Arial" w:hAnsi="Arial"/>
          <w:sz w:val="18"/>
          <w:szCs w:val="18"/>
          <w:color w:val="auto"/>
        </w:rPr>
        <w:t>The Committee generally determines and approves equity awards to the other NEOs, including vesting schedules, at its regularly scheduled meeting in February each year, subject to ratification by the board of directors in the case of the CFO and President. These are generally based on recommendations by the CEO (although not with regard to himself). The Committee may make grants to NEOs at other times during the year, as it deems appropriate. The grant date for the awards is the date the Committee approves the awards. The exercise price for any options granted is the closing price on the date of grant.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Components of the 2017 Executive Compensation Program</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Base Salary</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Base salaries for NEOs are set near the median of base salaries paid in the relevant competitive market, for the particular position, subject</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individual performance factors as described earlier. For 2017, the committee increased the base salary paid to each of the NEOs as</w:t>
      </w:r>
    </w:p>
    <w:p>
      <w:pPr>
        <w:ind w:left="200"/>
        <w:spacing w:after="0" w:line="234" w:lineRule="auto"/>
        <w:rPr>
          <w:sz w:val="20"/>
          <w:szCs w:val="20"/>
          <w:color w:val="auto"/>
        </w:rPr>
      </w:pPr>
      <w:r>
        <w:rPr>
          <w:rFonts w:ascii="Arial" w:cs="Arial" w:eastAsia="Arial" w:hAnsi="Arial"/>
          <w:sz w:val="18"/>
          <w:szCs w:val="18"/>
          <w:color w:val="auto"/>
        </w:rPr>
        <w:t>follows: Mr. Prising, $1,250,000; Mr. McGinnis, $650,000; Mr. Green, $850,000; Mr. Chandrashekar, $795,736 Singapore Dollars</w:t>
      </w:r>
    </w:p>
    <w:p>
      <w:pPr>
        <w:ind w:left="200"/>
        <w:spacing w:after="0" w:line="235" w:lineRule="auto"/>
        <w:rPr>
          <w:sz w:val="20"/>
          <w:szCs w:val="20"/>
          <w:color w:val="auto"/>
        </w:rPr>
      </w:pPr>
      <w:r>
        <w:rPr>
          <w:rFonts w:ascii="Arial" w:cs="Arial" w:eastAsia="Arial" w:hAnsi="Arial"/>
          <w:sz w:val="18"/>
          <w:szCs w:val="18"/>
          <w:color w:val="auto"/>
        </w:rPr>
        <w:t>($627,849, using an exchange rate of $0.789017 (in U.S. Dollars)), the rate in effect on February 11, 2014, the date Mr. Chandrashekar</w:t>
      </w:r>
    </w:p>
    <w:p>
      <w:pPr>
        <w:ind w:left="200"/>
        <w:spacing w:after="0" w:line="235" w:lineRule="auto"/>
        <w:rPr>
          <w:sz w:val="20"/>
          <w:szCs w:val="20"/>
          <w:color w:val="auto"/>
        </w:rPr>
      </w:pPr>
      <w:r>
        <w:rPr>
          <w:rFonts w:ascii="Arial" w:cs="Arial" w:eastAsia="Arial" w:hAnsi="Arial"/>
          <w:sz w:val="18"/>
          <w:szCs w:val="18"/>
          <w:color w:val="auto"/>
        </w:rPr>
        <w:t>was promoted to Executive Vice President, Operational Excellence &amp; IT and President, Asia Pacific Middle East); and Ms. Swan,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$610,000.</w:t>
      </w:r>
    </w:p>
    <w:p>
      <w:pPr>
        <w:spacing w:after="0" w:line="122" w:lineRule="exact"/>
        <w:rPr>
          <w:sz w:val="20"/>
          <w:szCs w:val="20"/>
          <w:color w:val="auto"/>
        </w:rPr>
      </w:pPr>
    </w:p>
    <w:p>
      <w:pPr>
        <w:ind w:left="200" w:right="80"/>
        <w:spacing w:after="0" w:line="248" w:lineRule="auto"/>
        <w:rPr>
          <w:sz w:val="20"/>
          <w:szCs w:val="20"/>
          <w:color w:val="auto"/>
        </w:rPr>
      </w:pPr>
      <w:r>
        <w:rPr>
          <w:rFonts w:ascii="Arial" w:cs="Arial" w:eastAsia="Arial" w:hAnsi="Arial"/>
          <w:sz w:val="18"/>
          <w:szCs w:val="18"/>
          <w:color w:val="auto"/>
        </w:rPr>
        <w:t>Base salary levels affect the value of the annual incentive awarded to the NEOs because the incentive award is awarded as a percentage of base salary. A higher base salary will result in a higher annual incentive, assuming the same level of achievement against goals. The level of severance benefit each NEO may receive is also increased if his or her salary is increased. The value of long-term incentive awards is not determined as a multiple of base salary.</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Annual Cash Incentives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5D89B4"/>
        </w:rPr>
        <w:t>Pool Plan</w:t>
      </w:r>
    </w:p>
    <w:p>
      <w:pPr>
        <w:spacing w:after="0" w:line="102"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For 2017, annual incentive grants for our NEOs were granted under the ManpowerGroup Inc. Corporate Senior Management Annual Incentive Pool Plan (the “Pool Plan”). The design of the Pool Plan sets maximum incentive levels for executives subject to the plan, and then enables the Committee to use negative discretion to establish actual incentives for our NEOs. This is done based on a subjective assessment of the individual’s achievements and performance and overall contribution to the Company and even more importantly, based on the Committee’s assessment of performance towards the pre-specified financial goals and operating objectives which are set at the beginning of the year. The Pool Plan was designed to maintain our ability to deduct the incentives to the greatest extent permitted under Section 162(m) of the Internal Revenue Code. Despite the repeal of the performance-based compensation exception under</w:t>
      </w:r>
    </w:p>
    <w:p>
      <w:pPr>
        <w:spacing w:after="0" w:line="3" w:lineRule="exact"/>
        <w:rPr>
          <w:sz w:val="20"/>
          <w:szCs w:val="20"/>
          <w:color w:val="auto"/>
        </w:rPr>
      </w:pPr>
    </w:p>
    <w:p>
      <w:pPr>
        <w:ind w:left="200" w:right="520"/>
        <w:spacing w:after="0" w:line="251" w:lineRule="auto"/>
        <w:rPr>
          <w:sz w:val="20"/>
          <w:szCs w:val="20"/>
          <w:color w:val="auto"/>
        </w:rPr>
      </w:pPr>
      <w:r>
        <w:rPr>
          <w:rFonts w:ascii="Arial" w:cs="Arial" w:eastAsia="Arial" w:hAnsi="Arial"/>
          <w:sz w:val="18"/>
          <w:szCs w:val="18"/>
          <w:color w:val="auto"/>
        </w:rPr>
        <w:t>Section 162(m) at the end of 2017, the Committee chose to maintain the design of the Pool Plan and continued to use the Pool Plan procedures for its 2017 annual incentive awards.</w:t>
      </w:r>
    </w:p>
    <w:p>
      <w:pPr>
        <w:spacing w:after="0" w:line="99" w:lineRule="exact"/>
        <w:rPr>
          <w:sz w:val="20"/>
          <w:szCs w:val="20"/>
          <w:color w:val="auto"/>
        </w:rPr>
      </w:pPr>
    </w:p>
    <w:p>
      <w:pPr>
        <w:ind w:left="200" w:right="220"/>
        <w:spacing w:after="0" w:line="248" w:lineRule="auto"/>
        <w:rPr>
          <w:sz w:val="20"/>
          <w:szCs w:val="20"/>
          <w:color w:val="auto"/>
        </w:rPr>
      </w:pPr>
      <w:r>
        <w:rPr>
          <w:rFonts w:ascii="Arial" w:cs="Arial" w:eastAsia="Arial" w:hAnsi="Arial"/>
          <w:sz w:val="18"/>
          <w:szCs w:val="18"/>
          <w:color w:val="auto"/>
        </w:rPr>
        <w:t>For 2017, the Committee determined that the aggregate annual cash incentive awards for the NEOs who are subject to the Pool Plan cannot exceed .75% percent of gross profit. The maximum amount of the individual awards for each participating NEO was the lesser of the shareholder approved maximum individual payout under the Pool Plan of $5.0 million or a percentage of the gross profit pool as approved by the Committee in advance.</w:t>
      </w:r>
    </w:p>
    <w:p>
      <w:pPr>
        <w:spacing w:after="0" w:line="90"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color w:val="auto"/>
        </w:rPr>
        <w:t>Under the Pool Plan, the total incentive payout to executives is limited to 100% of the pool. During the first quarter of 2017, the Committee approved the pool allocations for each of the NEOs as follows: Mr. Prising (32%), Mr. McGinnis (9%), Mr. Green (12%),</w:t>
      </w:r>
    </w:p>
    <w:p>
      <w:pPr>
        <w:spacing w:after="0" w:line="1"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Mr. Chandrashekar (7%) and Ms. Swan (7%), with the balance of the pool being allocated to other executives and for any new executives hired or promoted during the year. Within this structure, the Committee used negative discretion to determine incentives for our NEOs by continuing to use the goals of EPS, ROIC, AOUP and various operational objectives to calculate the amount for each of the NEOs, capped by each executive’s allocable share of the pool. Each of the NEOs who was a participant in the Pool Plan for 2017 received a cash incentive payment significantly less than his or her allocable share of the pool.</w:t>
      </w:r>
    </w:p>
    <w:p>
      <w:pPr>
        <w:spacing w:after="0" w:line="109" w:lineRule="exact"/>
        <w:rPr>
          <w:sz w:val="20"/>
          <w:szCs w:val="20"/>
          <w:color w:val="auto"/>
        </w:rPr>
      </w:pPr>
    </w:p>
    <w:p>
      <w:pPr>
        <w:ind w:left="200" w:right="680"/>
        <w:spacing w:after="0" w:line="276" w:lineRule="auto"/>
        <w:rPr>
          <w:sz w:val="20"/>
          <w:szCs w:val="20"/>
          <w:color w:val="auto"/>
        </w:rPr>
      </w:pPr>
      <w:r>
        <w:rPr>
          <w:rFonts w:ascii="Arial" w:cs="Arial" w:eastAsia="Arial" w:hAnsi="Arial"/>
          <w:sz w:val="18"/>
          <w:szCs w:val="18"/>
          <w:color w:val="auto"/>
        </w:rPr>
        <w:t>For 2018, the Committee determined not to grant incentive awards under the Pool Plan in light of the repeal of the exemption from Section 162(m)’s deduction limit for performance-based compensation. Rather, in February 2018</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40</w:t>
      </w:r>
    </w:p>
    <w:p>
      <w:pPr>
        <w:sectPr>
          <w:pgSz w:w="11900" w:h="16838" w:orient="portrait"/>
          <w:cols w:equalWidth="0" w:num="1">
            <w:col w:w="11220"/>
          </w:cols>
          <w:pgMar w:left="24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right="20"/>
        <w:spacing w:after="0" w:line="241" w:lineRule="auto"/>
        <w:rPr>
          <w:sz w:val="20"/>
          <w:szCs w:val="20"/>
          <w:color w:val="auto"/>
        </w:rPr>
      </w:pPr>
      <w:r>
        <w:rPr>
          <w:rFonts w:ascii="Arial" w:cs="Arial" w:eastAsia="Arial" w:hAnsi="Arial"/>
          <w:sz w:val="18"/>
          <w:szCs w:val="18"/>
          <w:color w:val="auto"/>
        </w:rPr>
        <w:t>the committee approved the Annual Incentive Plan (the “Incentive Plan”). The Incentive Plan provides for the payment of annual awards to a participant based on the Company’s attainment of one or more financial goals and operating objectives established for that participant for the relevant year. Under the Incentive Plan, the participant is assigned award opportunities for threshold, target, and outstanding performance upon the attainment of the financial goal or goals established for the participant, as determined by the committee at the beginning of the year. Depending upon the actual performance of ManpowerGroup for the year as measured against these financial goals, and the assessment of the participant’s performance in achieving the operating objectives, the participant would be paid a cash award following the close of the year. The maximum award that a participant may receive for any year under the Incentive Plan is $5 million.</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5D89B4"/>
        </w:rPr>
        <w:t>How the Committee Sets Underlying Goals for EPS and ROIC</w:t>
      </w:r>
    </w:p>
    <w:p>
      <w:pPr>
        <w:spacing w:after="0" w:line="142" w:lineRule="exact"/>
        <w:rPr>
          <w:sz w:val="20"/>
          <w:szCs w:val="20"/>
          <w:color w:val="auto"/>
        </w:rPr>
      </w:pPr>
    </w:p>
    <w:p>
      <w:pPr>
        <w:ind w:left="200" w:right="40"/>
        <w:spacing w:after="0" w:line="243" w:lineRule="auto"/>
        <w:rPr>
          <w:sz w:val="20"/>
          <w:szCs w:val="20"/>
          <w:color w:val="auto"/>
        </w:rPr>
      </w:pPr>
      <w:r>
        <w:rPr>
          <w:rFonts w:ascii="Arial" w:cs="Arial" w:eastAsia="Arial" w:hAnsi="Arial"/>
          <w:sz w:val="18"/>
          <w:szCs w:val="18"/>
          <w:color w:val="auto"/>
        </w:rPr>
        <w:t>As noted above, the annual cash incentives for NEOs are based on two objective factors — EPS and ROIC — plus regional operating unit performance, where applicable, and individual performance objectives. For EPS and ROIC, the Committee sets target outcomes at a number that reflects an annual growth target. As mentioned earlier, beginning in 2016, the Committee has determined to exclude the impact of currency when calculating EPS and ROIC to ensure that payments under our annual incentives reflect the underlying performance of our business. Also beginning in 2016, the Committee has determined to exclude the benefit of current year share repurchases in excess of dilution when calculating EPS. The calculation of EPS and ROIC are as follows:</w:t>
      </w:r>
    </w:p>
    <w:p>
      <w:pPr>
        <w:spacing w:after="0" w:line="78" w:lineRule="exact"/>
        <w:rPr>
          <w:sz w:val="20"/>
          <w:szCs w:val="20"/>
          <w:color w:val="auto"/>
        </w:rPr>
      </w:pPr>
    </w:p>
    <w:p>
      <w:pPr>
        <w:jc w:val="both"/>
        <w:ind w:left="640" w:right="400" w:hanging="328"/>
        <w:spacing w:after="0" w:line="256" w:lineRule="auto"/>
        <w:tabs>
          <w:tab w:leader="none" w:pos="640" w:val="left"/>
        </w:tabs>
        <w:numPr>
          <w:ilvl w:val="0"/>
          <w:numId w:val="46"/>
        </w:numPr>
        <w:rPr>
          <w:rFonts w:ascii="Arial" w:cs="Arial" w:eastAsia="Arial" w:hAnsi="Arial"/>
          <w:sz w:val="18"/>
          <w:szCs w:val="18"/>
          <w:color w:val="5D89B4"/>
        </w:rPr>
      </w:pPr>
      <w:r>
        <w:rPr>
          <w:rFonts w:ascii="Arial" w:cs="Arial" w:eastAsia="Arial" w:hAnsi="Arial"/>
          <w:sz w:val="18"/>
          <w:szCs w:val="18"/>
          <w:b w:val="1"/>
          <w:bCs w:val="1"/>
          <w:color w:val="auto"/>
        </w:rPr>
        <w:t xml:space="preserve">EPS </w:t>
      </w:r>
      <w:r>
        <w:rPr>
          <w:rFonts w:ascii="Arial" w:cs="Arial" w:eastAsia="Arial" w:hAnsi="Arial"/>
          <w:sz w:val="18"/>
          <w:szCs w:val="18"/>
          <w:color w:val="auto"/>
        </w:rPr>
        <w:t>— net earnings per share — diluted, including net earnings from continuing and discontinued operations, but excluding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currency, any cumulative effects of changes in accounting principles, extraordinary items or goodwill impairment or the benefit of current year share repurchases in excess of dilution.</w:t>
      </w:r>
    </w:p>
    <w:p>
      <w:pPr>
        <w:spacing w:after="0" w:line="26" w:lineRule="exact"/>
        <w:rPr>
          <w:rFonts w:ascii="Arial" w:cs="Arial" w:eastAsia="Arial" w:hAnsi="Arial"/>
          <w:sz w:val="18"/>
          <w:szCs w:val="18"/>
          <w:color w:val="5D89B4"/>
        </w:rPr>
      </w:pPr>
    </w:p>
    <w:p>
      <w:pPr>
        <w:ind w:left="640" w:right="120" w:hanging="328"/>
        <w:spacing w:after="0" w:line="249" w:lineRule="auto"/>
        <w:tabs>
          <w:tab w:leader="none" w:pos="640" w:val="left"/>
        </w:tabs>
        <w:numPr>
          <w:ilvl w:val="0"/>
          <w:numId w:val="46"/>
        </w:numPr>
        <w:rPr>
          <w:rFonts w:ascii="Arial" w:cs="Arial" w:eastAsia="Arial" w:hAnsi="Arial"/>
          <w:sz w:val="18"/>
          <w:szCs w:val="18"/>
          <w:color w:val="5D89B4"/>
        </w:rPr>
      </w:pPr>
      <w:r>
        <w:rPr>
          <w:rFonts w:ascii="Arial" w:cs="Arial" w:eastAsia="Arial" w:hAnsi="Arial"/>
          <w:sz w:val="18"/>
          <w:szCs w:val="18"/>
          <w:b w:val="1"/>
          <w:bCs w:val="1"/>
          <w:color w:val="auto"/>
        </w:rPr>
        <w:t xml:space="preserve">ROIC </w:t>
      </w:r>
      <w:r>
        <w:rPr>
          <w:rFonts w:ascii="Arial" w:cs="Arial" w:eastAsia="Arial" w:hAnsi="Arial"/>
          <w:sz w:val="18"/>
          <w:szCs w:val="18"/>
          <w:color w:val="auto"/>
        </w:rPr>
        <w:t>— consolidated net operating profit after taxes divided by average capital. Net operating profit equals earnings before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plus net interest expense and goodwill impairment (including the results of continuing and discontinued operations) minus taxes, excluding the impact of currency. Average capital is the average monthly ending balance of capital employed plus or minus adjustments.</w:t>
      </w:r>
    </w:p>
    <w:p>
      <w:pPr>
        <w:spacing w:after="0" w:line="88" w:lineRule="exact"/>
        <w:rPr>
          <w:sz w:val="20"/>
          <w:szCs w:val="20"/>
          <w:color w:val="auto"/>
        </w:rPr>
      </w:pPr>
    </w:p>
    <w:p>
      <w:pPr>
        <w:ind w:left="200" w:right="80"/>
        <w:spacing w:after="0" w:line="243" w:lineRule="auto"/>
        <w:rPr>
          <w:sz w:val="20"/>
          <w:szCs w:val="20"/>
          <w:color w:val="auto"/>
        </w:rPr>
      </w:pPr>
      <w:r>
        <w:rPr>
          <w:rFonts w:ascii="Arial" w:cs="Arial" w:eastAsia="Arial" w:hAnsi="Arial"/>
          <w:sz w:val="18"/>
          <w:szCs w:val="18"/>
          <w:color w:val="auto"/>
        </w:rPr>
        <w:t>The EPS target is generally based on the Company’s targeted long-term growth rate for EPS, but may be adjusted year-by-year based on economic conditions and the Company’s expected financial performance for the year. From that target, the Committee then sets levels for threshold and outstanding performance. The threshold EPS growth rate reflects a level of performance that is below target but still appropriate for a partial award to be earned. Conversely, the outstanding EPS growth rate reflects a level of performance appropriate for the maximum incentive to be earned. So the comparisons are valid between the two years, the growth rates are based on growth over results of the previous year excluding non-recurring items.</w:t>
      </w:r>
    </w:p>
    <w:p>
      <w:pPr>
        <w:spacing w:after="0" w:line="107" w:lineRule="exact"/>
        <w:rPr>
          <w:sz w:val="20"/>
          <w:szCs w:val="20"/>
          <w:color w:val="auto"/>
        </w:rPr>
      </w:pPr>
    </w:p>
    <w:p>
      <w:pPr>
        <w:ind w:left="200" w:right="60"/>
        <w:spacing w:after="0" w:line="241" w:lineRule="auto"/>
        <w:rPr>
          <w:sz w:val="20"/>
          <w:szCs w:val="20"/>
          <w:color w:val="auto"/>
        </w:rPr>
      </w:pPr>
      <w:r>
        <w:rPr>
          <w:rFonts w:ascii="Arial" w:cs="Arial" w:eastAsia="Arial" w:hAnsi="Arial"/>
          <w:sz w:val="18"/>
          <w:szCs w:val="18"/>
          <w:color w:val="auto"/>
        </w:rPr>
        <w:t>The ROIC target is then determined based on the earnings growth reflected by the EPS target as well as consideration by the Committee of factors relating to the Company’s level of capital. The other financial performance metrics under the plan used to determine the annual incentives earned by the other NEOs are determined in a similar way, taking into consideration the economic conditions and expected financial performance of each individual region, where applicable, as well as the overall EPS and ROIC targets. This methodology is not the same as the Company’s financial budgeting or business outlook for the year. As a result, target performance for purposes of achieving an incentive award will not be the same as performance at the budgeted financial plan, which may be higher or lower than target performance depending on economic conditions and trends at the time.</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5D89B4"/>
        </w:rPr>
        <w:t>Why the Company Uses EPS and ROIC</w:t>
      </w:r>
    </w:p>
    <w:p>
      <w:pPr>
        <w:spacing w:after="0" w:line="129" w:lineRule="exact"/>
        <w:rPr>
          <w:sz w:val="20"/>
          <w:szCs w:val="20"/>
          <w:color w:val="auto"/>
        </w:rPr>
      </w:pPr>
    </w:p>
    <w:p>
      <w:pPr>
        <w:ind w:left="200" w:right="60"/>
        <w:spacing w:after="0" w:line="241" w:lineRule="auto"/>
        <w:rPr>
          <w:sz w:val="20"/>
          <w:szCs w:val="20"/>
          <w:color w:val="auto"/>
        </w:rPr>
      </w:pPr>
      <w:r>
        <w:rPr>
          <w:rFonts w:ascii="Arial" w:cs="Arial" w:eastAsia="Arial" w:hAnsi="Arial"/>
          <w:sz w:val="18"/>
          <w:szCs w:val="18"/>
          <w:color w:val="auto"/>
        </w:rPr>
        <w:t>The Committee believes using EPS as a performance goal keeps the NEOs focused on producing financial results that align with shareholder interests. In that regard, ManpowerGroup is in a cyclical business, which is influenced by economic and labor market cycles that are outside of ManpowerGroup’s control, and it is important that the senior executives manage short-term results closely to be able to adjust strategy and execution in quick response to external cycle changes. The Company uses ROIC as a performance goal for the NEOs because it measures how effectively our senior management is converting our services into cash. Although we are a provider of services, and not a manufacturer of products, our business is still highly capital intensive. Our requirement for capital arises from the timing characteristics of our business. We typically pay our associates and consultants before we can bill and collect from our clients.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Using an ROIC metric incentivizes our executives to manage our accounts receivable and other capital investments carefully in order to maximize the return on capital deployed. Our goal is to continuously improve our internal capital employed each year resulting in stable to improving ROIC. For 2017, the Committee continued its practice of setting threshold, target and outstanding goals for EPS and ROIC that were based on its view of appropriate rates of EPS growth compared to prior year achievement. In setting these levels, the Committee assumed continuing improvement in global economic conditions. Correspondingly, the EPS and ROIC targets for outstanding performance represent what the Committee believes is an appropriate growth rate for outstanding performance. The Committee believes the threshold levels for EPS and ROIC are the minimum levels at which it was appropriate to earn an incentive, mainly due to continued uncertainty in the global economic conditions that existed at the time when the goals were set.</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EPS and ROIC goals established by the Committee for 2017:</w:t>
      </w:r>
    </w:p>
    <w:p>
      <w:pPr>
        <w:spacing w:after="0" w:line="147"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280" w:type="dxa"/>
            <w:vAlign w:val="bottom"/>
            <w:tcBorders>
              <w:top w:val="single" w:sz="8" w:color="auto"/>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Goal</w:t>
            </w:r>
          </w:p>
        </w:tc>
        <w:tc>
          <w:tcPr>
            <w:tcW w:w="2040" w:type="dxa"/>
            <w:vAlign w:val="bottom"/>
            <w:tcBorders>
              <w:top w:val="single" w:sz="8" w:color="auto"/>
              <w:bottom w:val="single" w:sz="8" w:color="auto"/>
            </w:tcBorders>
            <w:shd w:val="clear" w:color="auto" w:fill="9DB8D2"/>
          </w:tcPr>
          <w:p>
            <w:pPr>
              <w:jc w:val="right"/>
              <w:ind w:right="362"/>
              <w:spacing w:after="0"/>
              <w:rPr>
                <w:sz w:val="20"/>
                <w:szCs w:val="20"/>
                <w:color w:val="auto"/>
              </w:rPr>
            </w:pPr>
            <w:r>
              <w:rPr>
                <w:rFonts w:ascii="Arial" w:cs="Arial" w:eastAsia="Arial" w:hAnsi="Arial"/>
                <w:sz w:val="14"/>
                <w:szCs w:val="14"/>
                <w:b w:val="1"/>
                <w:bCs w:val="1"/>
                <w:color w:val="auto"/>
              </w:rPr>
              <w:t>Threshold</w:t>
            </w:r>
          </w:p>
        </w:tc>
        <w:tc>
          <w:tcPr>
            <w:tcW w:w="1420" w:type="dxa"/>
            <w:vAlign w:val="bottom"/>
            <w:tcBorders>
              <w:top w:val="single" w:sz="8" w:color="auto"/>
              <w:bottom w:val="single" w:sz="8" w:color="auto"/>
            </w:tcBorders>
            <w:shd w:val="clear" w:color="auto" w:fill="9DB8D2"/>
          </w:tcPr>
          <w:p>
            <w:pPr>
              <w:jc w:val="right"/>
              <w:ind w:right="422"/>
              <w:spacing w:after="0"/>
              <w:rPr>
                <w:sz w:val="20"/>
                <w:szCs w:val="20"/>
                <w:color w:val="auto"/>
              </w:rPr>
            </w:pPr>
            <w:r>
              <w:rPr>
                <w:rFonts w:ascii="Arial" w:cs="Arial" w:eastAsia="Arial" w:hAnsi="Arial"/>
                <w:sz w:val="14"/>
                <w:szCs w:val="14"/>
                <w:b w:val="1"/>
                <w:bCs w:val="1"/>
                <w:color w:val="auto"/>
              </w:rPr>
              <w:t>Target</w:t>
            </w:r>
          </w:p>
        </w:tc>
        <w:tc>
          <w:tcPr>
            <w:tcW w:w="1520" w:type="dxa"/>
            <w:vAlign w:val="bottom"/>
            <w:tcBorders>
              <w:top w:val="single" w:sz="8" w:color="auto"/>
              <w:bottom w:val="single" w:sz="8" w:color="auto"/>
            </w:tcBorders>
            <w:shd w:val="clear" w:color="auto" w:fill="9DB8D2"/>
          </w:tcPr>
          <w:p>
            <w:pPr>
              <w:jc w:val="right"/>
              <w:ind w:right="202"/>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4280" w:type="dxa"/>
            <w:vAlign w:val="bottom"/>
            <w:shd w:val="clear" w:color="auto" w:fill="E6EDF3"/>
          </w:tcPr>
          <w:p>
            <w:pPr>
              <w:ind w:left="80"/>
              <w:spacing w:after="0"/>
              <w:rPr>
                <w:sz w:val="20"/>
                <w:szCs w:val="20"/>
                <w:color w:val="auto"/>
              </w:rPr>
            </w:pPr>
            <w:r>
              <w:rPr>
                <w:rFonts w:ascii="Arial" w:cs="Arial" w:eastAsia="Arial" w:hAnsi="Arial"/>
                <w:sz w:val="16"/>
                <w:szCs w:val="16"/>
                <w:color w:val="auto"/>
              </w:rPr>
              <w:t>EPS</w:t>
            </w:r>
          </w:p>
        </w:tc>
        <w:tc>
          <w:tcPr>
            <w:tcW w:w="2040" w:type="dxa"/>
            <w:vAlign w:val="bottom"/>
            <w:shd w:val="clear" w:color="auto" w:fill="E6EDF3"/>
          </w:tcPr>
          <w:p>
            <w:pPr>
              <w:jc w:val="right"/>
              <w:ind w:right="502"/>
              <w:spacing w:after="0"/>
              <w:rPr>
                <w:sz w:val="20"/>
                <w:szCs w:val="20"/>
                <w:color w:val="auto"/>
              </w:rPr>
            </w:pPr>
            <w:r>
              <w:rPr>
                <w:rFonts w:ascii="Arial" w:cs="Arial" w:eastAsia="Arial" w:hAnsi="Arial"/>
                <w:sz w:val="16"/>
                <w:szCs w:val="16"/>
                <w:color w:val="auto"/>
              </w:rPr>
              <w:t>$ 6.38</w:t>
            </w:r>
          </w:p>
        </w:tc>
        <w:tc>
          <w:tcPr>
            <w:tcW w:w="1420" w:type="dxa"/>
            <w:vAlign w:val="bottom"/>
            <w:shd w:val="clear" w:color="auto" w:fill="E6EDF3"/>
          </w:tcPr>
          <w:p>
            <w:pPr>
              <w:jc w:val="right"/>
              <w:ind w:right="482"/>
              <w:spacing w:after="0"/>
              <w:rPr>
                <w:sz w:val="20"/>
                <w:szCs w:val="20"/>
                <w:color w:val="auto"/>
              </w:rPr>
            </w:pPr>
            <w:r>
              <w:rPr>
                <w:rFonts w:ascii="Arial" w:cs="Arial" w:eastAsia="Arial" w:hAnsi="Arial"/>
                <w:sz w:val="16"/>
                <w:szCs w:val="16"/>
                <w:color w:val="auto"/>
              </w:rPr>
              <w:t>$ 6.90</w:t>
            </w:r>
          </w:p>
        </w:tc>
        <w:tc>
          <w:tcPr>
            <w:tcW w:w="1520" w:type="dxa"/>
            <w:vAlign w:val="bottom"/>
            <w:shd w:val="clear" w:color="auto" w:fill="E6EDF3"/>
          </w:tcPr>
          <w:p>
            <w:pPr>
              <w:jc w:val="right"/>
              <w:ind w:right="362"/>
              <w:spacing w:after="0"/>
              <w:rPr>
                <w:sz w:val="20"/>
                <w:szCs w:val="20"/>
                <w:color w:val="auto"/>
              </w:rPr>
            </w:pPr>
            <w:r>
              <w:rPr>
                <w:rFonts w:ascii="Arial" w:cs="Arial" w:eastAsia="Arial" w:hAnsi="Arial"/>
                <w:sz w:val="16"/>
                <w:szCs w:val="16"/>
                <w:color w:val="auto"/>
              </w:rPr>
              <w:t>$ 7.53</w:t>
            </w:r>
          </w:p>
        </w:tc>
      </w:tr>
      <w:tr>
        <w:trPr>
          <w:trHeight w:val="250"/>
        </w:trPr>
        <w:tc>
          <w:tcPr>
            <w:tcW w:w="4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ROIC</w:t>
            </w:r>
          </w:p>
        </w:tc>
        <w:tc>
          <w:tcPr>
            <w:tcW w:w="20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13.0%</w:t>
            </w:r>
          </w:p>
        </w:tc>
        <w:tc>
          <w:tcPr>
            <w:tcW w:w="14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14.3%</w:t>
            </w:r>
          </w:p>
        </w:tc>
        <w:tc>
          <w:tcPr>
            <w:tcW w:w="15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16.0%</w:t>
            </w:r>
          </w:p>
        </w:tc>
      </w:tr>
    </w:tbl>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5D89B4"/>
        </w:rPr>
        <w:t>The Committee Also Uses AOUP for Certain NEOs</w:t>
      </w:r>
    </w:p>
    <w:p>
      <w:pPr>
        <w:spacing w:after="0" w:line="129" w:lineRule="exact"/>
        <w:rPr>
          <w:sz w:val="20"/>
          <w:szCs w:val="20"/>
          <w:color w:val="auto"/>
        </w:rPr>
      </w:pPr>
    </w:p>
    <w:p>
      <w:pPr>
        <w:jc w:val="both"/>
        <w:ind w:left="200" w:right="260"/>
        <w:spacing w:after="0" w:line="255" w:lineRule="auto"/>
        <w:rPr>
          <w:sz w:val="20"/>
          <w:szCs w:val="20"/>
          <w:color w:val="auto"/>
        </w:rPr>
      </w:pPr>
      <w:r>
        <w:rPr>
          <w:rFonts w:ascii="Arial" w:cs="Arial" w:eastAsia="Arial" w:hAnsi="Arial"/>
          <w:sz w:val="18"/>
          <w:szCs w:val="18"/>
          <w:color w:val="auto"/>
        </w:rPr>
        <w:t>Where an individual executive has specific responsibility for a geographic operating unit, the Committee also uses AOUP as a financial performance metric, to drive profitability in the executive’s business unit, while factoring in the cost of carrying accounts receivable. The calculation of AOUP is as follows:</w:t>
      </w:r>
    </w:p>
    <w:p>
      <w:pPr>
        <w:spacing w:after="0" w:line="95" w:lineRule="exact"/>
        <w:rPr>
          <w:sz w:val="20"/>
          <w:szCs w:val="20"/>
          <w:color w:val="auto"/>
        </w:rPr>
      </w:pPr>
    </w:p>
    <w:p>
      <w:pPr>
        <w:ind w:left="640" w:hanging="328"/>
        <w:spacing w:after="0"/>
        <w:tabs>
          <w:tab w:leader="none" w:pos="640" w:val="left"/>
        </w:tabs>
        <w:numPr>
          <w:ilvl w:val="0"/>
          <w:numId w:val="47"/>
        </w:numPr>
        <w:rPr>
          <w:rFonts w:ascii="Arial" w:cs="Arial" w:eastAsia="Arial" w:hAnsi="Arial"/>
          <w:sz w:val="18"/>
          <w:szCs w:val="18"/>
          <w:color w:val="5D89B4"/>
        </w:rPr>
      </w:pPr>
      <w:r>
        <w:rPr>
          <w:rFonts w:ascii="Arial" w:cs="Arial" w:eastAsia="Arial" w:hAnsi="Arial"/>
          <w:sz w:val="18"/>
          <w:szCs w:val="18"/>
          <w:b w:val="1"/>
          <w:bCs w:val="1"/>
          <w:color w:val="auto"/>
        </w:rPr>
        <w:t xml:space="preserve">AOUP </w:t>
      </w:r>
      <w:r>
        <w:rPr>
          <w:rFonts w:ascii="Arial" w:cs="Arial" w:eastAsia="Arial" w:hAnsi="Arial"/>
          <w:sz w:val="18"/>
          <w:szCs w:val="18"/>
          <w:color w:val="auto"/>
        </w:rPr>
        <w:t>— Operating unit profit less a cost of net capital.</w:t>
      </w:r>
    </w:p>
    <w:p>
      <w:pPr>
        <w:spacing w:after="0" w:line="146" w:lineRule="exact"/>
        <w:rPr>
          <w:rFonts w:ascii="Arial" w:cs="Arial" w:eastAsia="Arial" w:hAnsi="Arial"/>
          <w:sz w:val="18"/>
          <w:szCs w:val="18"/>
          <w:color w:val="5D89B4"/>
        </w:rPr>
      </w:pPr>
    </w:p>
    <w:p>
      <w:pPr>
        <w:ind w:left="1060" w:right="20" w:hanging="316"/>
        <w:spacing w:after="0" w:line="276" w:lineRule="auto"/>
        <w:tabs>
          <w:tab w:leader="none" w:pos="1060" w:val="left"/>
        </w:tabs>
        <w:numPr>
          <w:ilvl w:val="1"/>
          <w:numId w:val="47"/>
        </w:numPr>
        <w:rPr>
          <w:rFonts w:ascii="Arial" w:cs="Arial" w:eastAsia="Arial" w:hAnsi="Arial"/>
          <w:sz w:val="18"/>
          <w:szCs w:val="18"/>
          <w:color w:val="5D89B4"/>
        </w:rPr>
      </w:pPr>
      <w:r>
        <w:rPr>
          <w:rFonts w:ascii="Arial" w:cs="Arial" w:eastAsia="Arial" w:hAnsi="Arial"/>
          <w:sz w:val="18"/>
          <w:szCs w:val="18"/>
          <w:color w:val="auto"/>
        </w:rPr>
        <w:t>Operating unit profit is equal to revenues less direct costs and branch and national headquarters operating costs translated into U.S. Dollars in constant currency.</w:t>
      </w:r>
    </w:p>
    <w:p>
      <w:pPr>
        <w:spacing w:after="0" w:line="77" w:lineRule="exact"/>
        <w:rPr>
          <w:rFonts w:ascii="Arial" w:cs="Arial" w:eastAsia="Arial" w:hAnsi="Arial"/>
          <w:sz w:val="18"/>
          <w:szCs w:val="18"/>
          <w:color w:val="5D89B4"/>
        </w:rPr>
      </w:pPr>
    </w:p>
    <w:p>
      <w:pPr>
        <w:ind w:left="1060" w:right="120" w:hanging="316"/>
        <w:spacing w:after="0" w:line="255" w:lineRule="auto"/>
        <w:tabs>
          <w:tab w:leader="none" w:pos="1060" w:val="left"/>
        </w:tabs>
        <w:numPr>
          <w:ilvl w:val="1"/>
          <w:numId w:val="47"/>
        </w:numPr>
        <w:rPr>
          <w:rFonts w:ascii="Arial" w:cs="Arial" w:eastAsia="Arial" w:hAnsi="Arial"/>
          <w:sz w:val="18"/>
          <w:szCs w:val="18"/>
          <w:color w:val="5D89B4"/>
        </w:rPr>
      </w:pPr>
      <w:r>
        <w:rPr>
          <w:rFonts w:ascii="Arial" w:cs="Arial" w:eastAsia="Arial" w:hAnsi="Arial"/>
          <w:sz w:val="18"/>
          <w:szCs w:val="18"/>
          <w:color w:val="auto"/>
        </w:rPr>
        <w:t>Cost of net capital is average net capital multiplied by 12%. Average net capital equals trade accounts receivable less allowance for doubtful accounts and other miscellaneous adjustments, calculated based on the average of the monthly ending balances, translated into U.S. Dollars using the same monthly exchange rates as used for operating unit profit.</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2017, Mr. Chandrashekar was the only NEO with AOUP used as a performance metric for his annual incentive goals.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Annual Incentive Award Opportunities by NEO</w:t>
      </w:r>
    </w:p>
    <w:p>
      <w:pPr>
        <w:spacing w:after="0" w:line="131" w:lineRule="exact"/>
        <w:rPr>
          <w:sz w:val="20"/>
          <w:szCs w:val="20"/>
          <w:color w:val="auto"/>
        </w:rPr>
      </w:pPr>
    </w:p>
    <w:p>
      <w:pPr>
        <w:ind w:left="3560"/>
        <w:spacing w:after="0"/>
        <w:rPr>
          <w:sz w:val="20"/>
          <w:szCs w:val="20"/>
          <w:color w:val="auto"/>
        </w:rPr>
      </w:pPr>
      <w:r>
        <w:rPr>
          <w:rFonts w:ascii="Arial" w:cs="Arial" w:eastAsia="Arial" w:hAnsi="Arial"/>
          <w:sz w:val="18"/>
          <w:szCs w:val="18"/>
          <w:b w:val="1"/>
          <w:bCs w:val="1"/>
          <w:i w:val="1"/>
          <w:iCs w:val="1"/>
          <w:color w:val="5D89B4"/>
        </w:rPr>
        <w:t xml:space="preserve">Jonas Prising </w:t>
      </w:r>
      <w:r>
        <w:rPr>
          <w:rFonts w:ascii="Arial" w:cs="Arial" w:eastAsia="Arial" w:hAnsi="Arial"/>
          <w:sz w:val="18"/>
          <w:szCs w:val="18"/>
          <w:i w:val="1"/>
          <w:iCs w:val="1"/>
          <w:color w:val="5D89B4"/>
        </w:rPr>
        <w:t>—</w:t>
      </w:r>
      <w:r>
        <w:rPr>
          <w:rFonts w:ascii="Arial" w:cs="Arial" w:eastAsia="Arial" w:hAnsi="Arial"/>
          <w:sz w:val="18"/>
          <w:szCs w:val="18"/>
          <w:b w:val="1"/>
          <w:bCs w:val="1"/>
          <w:i w:val="1"/>
          <w:iCs w:val="1"/>
          <w:color w:val="5D89B4"/>
        </w:rPr>
        <w:t xml:space="preserve"> Annual Incentive Award Opportunities</w:t>
      </w:r>
    </w:p>
    <w:p>
      <w:pPr>
        <w:spacing w:after="0" w:line="144"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The Committee determined that EPS and ROIC were the appropriate performance metrics in 2017 for Mr. Prising as the CEO. The following chart shows the Committee’s determination of award opportunities for the annual incentive payable to Mr. Prising for 2017, as a percentage of his 2017 base salary of $1,250,000:</w:t>
      </w:r>
    </w:p>
    <w:p>
      <w:pPr>
        <w:spacing w:after="0" w:line="194"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5920" w:type="dxa"/>
            <w:vAlign w:val="bottom"/>
            <w:tcBorders>
              <w:top w:val="single" w:sz="8" w:color="auto"/>
              <w:bottom w:val="single" w:sz="8" w:color="auto"/>
            </w:tcBorders>
            <w:shd w:val="clear" w:color="auto" w:fill="9DB8D2"/>
          </w:tcPr>
          <w:p>
            <w:pPr>
              <w:spacing w:after="0"/>
              <w:rPr>
                <w:sz w:val="23"/>
                <w:szCs w:val="23"/>
                <w:color w:val="auto"/>
              </w:rPr>
            </w:pPr>
          </w:p>
        </w:tc>
        <w:tc>
          <w:tcPr>
            <w:tcW w:w="1160" w:type="dxa"/>
            <w:vAlign w:val="bottom"/>
            <w:tcBorders>
              <w:top w:val="single" w:sz="8" w:color="auto"/>
              <w:bottom w:val="single" w:sz="8" w:color="auto"/>
            </w:tcBorders>
            <w:shd w:val="clear" w:color="auto" w:fill="9DB8D2"/>
          </w:tcPr>
          <w:p>
            <w:pPr>
              <w:jc w:val="right"/>
              <w:ind w:right="221"/>
              <w:spacing w:after="0"/>
              <w:rPr>
                <w:sz w:val="20"/>
                <w:szCs w:val="20"/>
                <w:color w:val="auto"/>
              </w:rPr>
            </w:pPr>
            <w:r>
              <w:rPr>
                <w:rFonts w:ascii="Arial" w:cs="Arial" w:eastAsia="Arial" w:hAnsi="Arial"/>
                <w:sz w:val="14"/>
                <w:szCs w:val="14"/>
                <w:b w:val="1"/>
                <w:bCs w:val="1"/>
                <w:color w:val="auto"/>
              </w:rPr>
              <w:t>Threshold</w:t>
            </w:r>
          </w:p>
        </w:tc>
        <w:tc>
          <w:tcPr>
            <w:tcW w:w="1060" w:type="dxa"/>
            <w:vAlign w:val="bottom"/>
            <w:tcBorders>
              <w:top w:val="single" w:sz="8" w:color="auto"/>
              <w:bottom w:val="single" w:sz="8" w:color="auto"/>
            </w:tcBorders>
            <w:shd w:val="clear" w:color="auto" w:fill="9DB8D2"/>
          </w:tcPr>
          <w:p>
            <w:pPr>
              <w:jc w:val="right"/>
              <w:ind w:right="341"/>
              <w:spacing w:after="0"/>
              <w:rPr>
                <w:sz w:val="20"/>
                <w:szCs w:val="20"/>
                <w:color w:val="auto"/>
              </w:rPr>
            </w:pPr>
            <w:r>
              <w:rPr>
                <w:rFonts w:ascii="Arial" w:cs="Arial" w:eastAsia="Arial" w:hAnsi="Arial"/>
                <w:sz w:val="14"/>
                <w:szCs w:val="14"/>
                <w:b w:val="1"/>
                <w:bCs w:val="1"/>
                <w:color w:val="auto"/>
              </w:rPr>
              <w:t>Target</w:t>
            </w:r>
          </w:p>
        </w:tc>
        <w:tc>
          <w:tcPr>
            <w:tcW w:w="1120" w:type="dxa"/>
            <w:vAlign w:val="bottom"/>
            <w:tcBorders>
              <w:top w:val="single" w:sz="8" w:color="auto"/>
              <w:bottom w:val="single" w:sz="8" w:color="auto"/>
            </w:tcBorders>
            <w:shd w:val="clear" w:color="auto" w:fill="9DB8D2"/>
          </w:tcPr>
          <w:p>
            <w:pPr>
              <w:jc w:val="right"/>
              <w:ind w:right="81"/>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5920" w:type="dxa"/>
            <w:vAlign w:val="bottom"/>
            <w:shd w:val="clear" w:color="auto" w:fill="E6EDF3"/>
          </w:tcPr>
          <w:p>
            <w:pPr>
              <w:ind w:left="80"/>
              <w:spacing w:after="0"/>
              <w:rPr>
                <w:sz w:val="20"/>
                <w:szCs w:val="20"/>
                <w:color w:val="auto"/>
              </w:rPr>
            </w:pPr>
            <w:r>
              <w:rPr>
                <w:rFonts w:ascii="Arial" w:cs="Arial" w:eastAsia="Arial" w:hAnsi="Arial"/>
                <w:sz w:val="16"/>
                <w:szCs w:val="16"/>
                <w:color w:val="auto"/>
              </w:rPr>
              <w:t>EPS goal (weighted 40%)</w:t>
            </w:r>
          </w:p>
        </w:tc>
        <w:tc>
          <w:tcPr>
            <w:tcW w:w="1160" w:type="dxa"/>
            <w:vAlign w:val="bottom"/>
            <w:shd w:val="clear" w:color="auto" w:fill="E6EDF3"/>
          </w:tcPr>
          <w:p>
            <w:pPr>
              <w:jc w:val="right"/>
              <w:ind w:right="121"/>
              <w:spacing w:after="0"/>
              <w:rPr>
                <w:sz w:val="20"/>
                <w:szCs w:val="20"/>
                <w:color w:val="auto"/>
              </w:rPr>
            </w:pPr>
            <w:r>
              <w:rPr>
                <w:rFonts w:ascii="Arial" w:cs="Arial" w:eastAsia="Arial" w:hAnsi="Arial"/>
                <w:sz w:val="16"/>
                <w:szCs w:val="16"/>
                <w:color w:val="auto"/>
              </w:rPr>
              <w:t>15.0%</w:t>
            </w:r>
          </w:p>
        </w:tc>
        <w:tc>
          <w:tcPr>
            <w:tcW w:w="1060" w:type="dxa"/>
            <w:vAlign w:val="bottom"/>
            <w:shd w:val="clear" w:color="auto" w:fill="E6EDF3"/>
          </w:tcPr>
          <w:p>
            <w:pPr>
              <w:jc w:val="right"/>
              <w:ind w:right="21"/>
              <w:spacing w:after="0"/>
              <w:rPr>
                <w:sz w:val="20"/>
                <w:szCs w:val="20"/>
                <w:color w:val="auto"/>
              </w:rPr>
            </w:pPr>
            <w:r>
              <w:rPr>
                <w:rFonts w:ascii="Arial" w:cs="Arial" w:eastAsia="Arial" w:hAnsi="Arial"/>
                <w:sz w:val="16"/>
                <w:szCs w:val="16"/>
                <w:color w:val="auto"/>
              </w:rPr>
              <w:t>60.0%</w:t>
            </w:r>
          </w:p>
        </w:tc>
        <w:tc>
          <w:tcPr>
            <w:tcW w:w="11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120.0%</w:t>
            </w:r>
          </w:p>
        </w:tc>
      </w:tr>
      <w:tr>
        <w:trPr>
          <w:trHeight w:val="249"/>
        </w:trPr>
        <w:tc>
          <w:tcPr>
            <w:tcW w:w="5920" w:type="dxa"/>
            <w:vAlign w:val="bottom"/>
          </w:tcPr>
          <w:p>
            <w:pPr>
              <w:ind w:left="80"/>
              <w:spacing w:after="0"/>
              <w:rPr>
                <w:sz w:val="20"/>
                <w:szCs w:val="20"/>
                <w:color w:val="auto"/>
              </w:rPr>
            </w:pPr>
            <w:r>
              <w:rPr>
                <w:rFonts w:ascii="Arial" w:cs="Arial" w:eastAsia="Arial" w:hAnsi="Arial"/>
                <w:sz w:val="16"/>
                <w:szCs w:val="16"/>
                <w:color w:val="auto"/>
              </w:rPr>
              <w:t>ROIC goal (weighted 40%)</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15.0%</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60.0%</w:t>
            </w:r>
          </w:p>
        </w:tc>
        <w:tc>
          <w:tcPr>
            <w:tcW w:w="112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64"/>
        </w:trPr>
        <w:tc>
          <w:tcPr>
            <w:tcW w:w="592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 (weighted 20%)</w:t>
            </w:r>
          </w:p>
        </w:tc>
        <w:tc>
          <w:tcPr>
            <w:tcW w:w="1160" w:type="dxa"/>
            <w:vAlign w:val="bottom"/>
            <w:shd w:val="clear" w:color="auto" w:fill="E6EDF3"/>
          </w:tcPr>
          <w:p>
            <w:pPr>
              <w:jc w:val="right"/>
              <w:ind w:right="121"/>
              <w:spacing w:after="0"/>
              <w:rPr>
                <w:sz w:val="20"/>
                <w:szCs w:val="20"/>
                <w:color w:val="auto"/>
              </w:rPr>
            </w:pPr>
            <w:r>
              <w:rPr>
                <w:rFonts w:ascii="Arial" w:cs="Arial" w:eastAsia="Arial" w:hAnsi="Arial"/>
                <w:sz w:val="16"/>
                <w:szCs w:val="16"/>
                <w:color w:val="auto"/>
              </w:rPr>
              <w:t>7.5%</w:t>
            </w:r>
          </w:p>
        </w:tc>
        <w:tc>
          <w:tcPr>
            <w:tcW w:w="1060" w:type="dxa"/>
            <w:vAlign w:val="bottom"/>
            <w:shd w:val="clear" w:color="auto" w:fill="E6EDF3"/>
          </w:tcPr>
          <w:p>
            <w:pPr>
              <w:jc w:val="right"/>
              <w:ind w:right="21"/>
              <w:spacing w:after="0"/>
              <w:rPr>
                <w:sz w:val="20"/>
                <w:szCs w:val="20"/>
                <w:color w:val="auto"/>
              </w:rPr>
            </w:pPr>
            <w:r>
              <w:rPr>
                <w:rFonts w:ascii="Arial" w:cs="Arial" w:eastAsia="Arial" w:hAnsi="Arial"/>
                <w:sz w:val="16"/>
                <w:szCs w:val="16"/>
                <w:color w:val="auto"/>
              </w:rPr>
              <w:t>30.0%</w:t>
            </w:r>
          </w:p>
        </w:tc>
        <w:tc>
          <w:tcPr>
            <w:tcW w:w="11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60.0%</w:t>
            </w:r>
          </w:p>
        </w:tc>
      </w:tr>
      <w:tr>
        <w:trPr>
          <w:trHeight w:val="250"/>
        </w:trPr>
        <w:tc>
          <w:tcPr>
            <w:tcW w:w="5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37.5%</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150.0%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r>
    </w:tbl>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operating objectives for Mr. Prising for 2017 are as follows:</w:t>
      </w:r>
    </w:p>
    <w:p>
      <w:pPr>
        <w:spacing w:after="0" w:line="117" w:lineRule="exact"/>
        <w:rPr>
          <w:sz w:val="20"/>
          <w:szCs w:val="20"/>
          <w:color w:val="auto"/>
        </w:rPr>
      </w:pPr>
    </w:p>
    <w:p>
      <w:pPr>
        <w:ind w:left="640" w:hanging="328"/>
        <w:spacing w:after="0"/>
        <w:tabs>
          <w:tab w:leader="none" w:pos="640" w:val="left"/>
        </w:tabs>
        <w:numPr>
          <w:ilvl w:val="0"/>
          <w:numId w:val="48"/>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48"/>
        </w:numPr>
        <w:rPr>
          <w:rFonts w:ascii="Arial" w:cs="Arial" w:eastAsia="Arial" w:hAnsi="Arial"/>
          <w:sz w:val="18"/>
          <w:szCs w:val="18"/>
          <w:color w:val="5D89B4"/>
        </w:rPr>
      </w:pPr>
      <w:r>
        <w:rPr>
          <w:rFonts w:ascii="Arial" w:cs="Arial" w:eastAsia="Arial" w:hAnsi="Arial"/>
          <w:sz w:val="18"/>
          <w:szCs w:val="18"/>
          <w:color w:val="auto"/>
        </w:rPr>
        <w:t>Make progress towards strategic plans within each of the brands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48"/>
        </w:numPr>
        <w:rPr>
          <w:rFonts w:ascii="Arial" w:cs="Arial" w:eastAsia="Arial" w:hAnsi="Arial"/>
          <w:sz w:val="18"/>
          <w:szCs w:val="18"/>
          <w:color w:val="5D89B4"/>
        </w:rPr>
      </w:pPr>
      <w:r>
        <w:rPr>
          <w:rFonts w:ascii="Arial" w:cs="Arial" w:eastAsia="Arial" w:hAnsi="Arial"/>
          <w:sz w:val="18"/>
          <w:szCs w:val="18"/>
          <w:color w:val="auto"/>
        </w:rPr>
        <w:t>Develop a strong team and a robust and diverse talent pipeline, including key leadership</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42</w:t>
      </w:r>
    </w:p>
    <w:p>
      <w:pPr>
        <w:sectPr>
          <w:pgSz w:w="11900" w:h="16838" w:orient="portrait"/>
          <w:cols w:equalWidth="0" w:num="1">
            <w:col w:w="11200"/>
          </w:cols>
          <w:pgMar w:left="24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320" w:lineRule="exact"/>
        <w:rPr>
          <w:sz w:val="20"/>
          <w:szCs w:val="20"/>
          <w:color w:val="auto"/>
        </w:rPr>
      </w:pPr>
    </w:p>
    <w:p>
      <w:pPr>
        <w:ind w:left="640" w:right="120" w:hanging="328"/>
        <w:spacing w:after="0" w:line="276" w:lineRule="auto"/>
        <w:tabs>
          <w:tab w:leader="none" w:pos="640" w:val="left"/>
        </w:tabs>
        <w:numPr>
          <w:ilvl w:val="0"/>
          <w:numId w:val="49"/>
        </w:numPr>
        <w:rPr>
          <w:rFonts w:ascii="Arial" w:cs="Arial" w:eastAsia="Arial" w:hAnsi="Arial"/>
          <w:sz w:val="18"/>
          <w:szCs w:val="18"/>
          <w:color w:val="5D89B4"/>
        </w:rPr>
      </w:pPr>
      <w:r>
        <w:rPr>
          <w:rFonts w:ascii="Arial" w:cs="Arial" w:eastAsia="Arial" w:hAnsi="Arial"/>
          <w:sz w:val="18"/>
          <w:szCs w:val="18"/>
          <w:color w:val="auto"/>
        </w:rPr>
        <w:t>Drive continuing transformation of the Company’s IT operating model and platform to enhance governance and accelerate business performance</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49"/>
        </w:numPr>
        <w:rPr>
          <w:rFonts w:ascii="Arial" w:cs="Arial" w:eastAsia="Arial" w:hAnsi="Arial"/>
          <w:sz w:val="18"/>
          <w:szCs w:val="18"/>
          <w:color w:val="5D89B4"/>
        </w:rPr>
      </w:pPr>
      <w:r>
        <w:rPr>
          <w:rFonts w:ascii="Arial" w:cs="Arial" w:eastAsia="Arial" w:hAnsi="Arial"/>
          <w:sz w:val="18"/>
          <w:szCs w:val="18"/>
          <w:color w:val="auto"/>
        </w:rPr>
        <w:t>Plan, design and execute strategic initiatives focused on transformation of the business</w:t>
      </w:r>
    </w:p>
    <w:p>
      <w:pPr>
        <w:spacing w:after="0" w:line="144" w:lineRule="exact"/>
        <w:rPr>
          <w:sz w:val="20"/>
          <w:szCs w:val="20"/>
          <w:color w:val="auto"/>
        </w:rPr>
      </w:pPr>
    </w:p>
    <w:p>
      <w:pPr>
        <w:ind w:left="200" w:right="80"/>
        <w:spacing w:after="0" w:line="248" w:lineRule="auto"/>
        <w:rPr>
          <w:sz w:val="20"/>
          <w:szCs w:val="20"/>
          <w:color w:val="auto"/>
        </w:rPr>
      </w:pPr>
      <w:r>
        <w:rPr>
          <w:rFonts w:ascii="Arial" w:cs="Arial" w:eastAsia="Arial" w:hAnsi="Arial"/>
          <w:sz w:val="18"/>
          <w:szCs w:val="18"/>
          <w:color w:val="auto"/>
        </w:rPr>
        <w:t>The Committee determined that Mr. Prising earned a cash incentive award for 2017 between target and outstanding for all of his financial objectives in 2017. The Committee also approved an incentive award to Mr. Prising based on its determination of the level of performance towards achievement of his various operating objectives. Based on these accomplishments, the Committee determined to pay the 2017 award to Mr. Prising as follows:</w:t>
      </w:r>
    </w:p>
    <w:p>
      <w:pPr>
        <w:spacing w:after="0" w:line="79"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980" w:type="dxa"/>
            <w:vAlign w:val="bottom"/>
            <w:tcBorders>
              <w:top w:val="single" w:sz="8" w:color="auto"/>
              <w:bottom w:val="single" w:sz="8" w:color="auto"/>
            </w:tcBorders>
            <w:shd w:val="clear" w:color="auto" w:fill="9DB8D2"/>
          </w:tcPr>
          <w:p>
            <w:pPr>
              <w:spacing w:after="0"/>
              <w:rPr>
                <w:sz w:val="23"/>
                <w:szCs w:val="23"/>
                <w:color w:val="auto"/>
              </w:rPr>
            </w:pPr>
          </w:p>
        </w:tc>
        <w:tc>
          <w:tcPr>
            <w:tcW w:w="2300" w:type="dxa"/>
            <w:vAlign w:val="bottom"/>
            <w:tcBorders>
              <w:top w:val="single" w:sz="8" w:color="auto"/>
              <w:bottom w:val="single" w:sz="8" w:color="auto"/>
            </w:tcBorders>
            <w:shd w:val="clear" w:color="auto" w:fill="9DB8D2"/>
          </w:tcPr>
          <w:p>
            <w:pPr>
              <w:jc w:val="center"/>
              <w:ind w:left="83"/>
              <w:spacing w:after="0"/>
              <w:rPr>
                <w:sz w:val="20"/>
                <w:szCs w:val="20"/>
                <w:color w:val="auto"/>
              </w:rPr>
            </w:pPr>
            <w:r>
              <w:rPr>
                <w:rFonts w:ascii="Arial" w:cs="Arial" w:eastAsia="Arial" w:hAnsi="Arial"/>
                <w:sz w:val="14"/>
                <w:szCs w:val="14"/>
                <w:b w:val="1"/>
                <w:bCs w:val="1"/>
                <w:color w:val="auto"/>
              </w:rPr>
              <w:t>Target Award</w:t>
            </w:r>
          </w:p>
        </w:tc>
        <w:tc>
          <w:tcPr>
            <w:tcW w:w="1980" w:type="dxa"/>
            <w:vAlign w:val="bottom"/>
            <w:tcBorders>
              <w:top w:val="single" w:sz="8" w:color="auto"/>
              <w:bottom w:val="single" w:sz="8" w:color="auto"/>
            </w:tcBorders>
            <w:shd w:val="clear" w:color="auto" w:fill="9DB8D2"/>
          </w:tcPr>
          <w:p>
            <w:pPr>
              <w:jc w:val="right"/>
              <w:ind w:right="363"/>
              <w:spacing w:after="0"/>
              <w:rPr>
                <w:sz w:val="20"/>
                <w:szCs w:val="20"/>
                <w:color w:val="auto"/>
              </w:rPr>
            </w:pPr>
            <w:r>
              <w:rPr>
                <w:rFonts w:ascii="Arial" w:cs="Arial" w:eastAsia="Arial" w:hAnsi="Arial"/>
                <w:sz w:val="14"/>
                <w:szCs w:val="14"/>
                <w:b w:val="1"/>
                <w:bCs w:val="1"/>
                <w:color w:val="auto"/>
              </w:rPr>
              <w:t>Actual Award</w:t>
            </w:r>
          </w:p>
        </w:tc>
      </w:tr>
      <w:tr>
        <w:trPr>
          <w:trHeight w:val="244"/>
        </w:trPr>
        <w:tc>
          <w:tcPr>
            <w:tcW w:w="498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CEO</w:t>
            </w:r>
          </w:p>
        </w:tc>
        <w:tc>
          <w:tcPr>
            <w:tcW w:w="2300" w:type="dxa"/>
            <w:vAlign w:val="bottom"/>
            <w:tcBorders>
              <w:bottom w:val="single" w:sz="8" w:color="auto"/>
            </w:tcBorders>
            <w:shd w:val="clear" w:color="auto" w:fill="E6EDF3"/>
          </w:tcPr>
          <w:p>
            <w:pPr>
              <w:jc w:val="right"/>
              <w:ind w:right="583"/>
              <w:spacing w:after="0"/>
              <w:rPr>
                <w:sz w:val="20"/>
                <w:szCs w:val="20"/>
                <w:color w:val="auto"/>
              </w:rPr>
            </w:pPr>
            <w:r>
              <w:rPr>
                <w:rFonts w:ascii="Arial" w:cs="Arial" w:eastAsia="Arial" w:hAnsi="Arial"/>
                <w:sz w:val="16"/>
                <w:szCs w:val="16"/>
                <w:color w:val="auto"/>
              </w:rPr>
              <w:t>$ 1,875,000</w:t>
            </w:r>
          </w:p>
        </w:tc>
        <w:tc>
          <w:tcPr>
            <w:tcW w:w="1980" w:type="dxa"/>
            <w:vAlign w:val="bottom"/>
            <w:tcBorders>
              <w:bottom w:val="single" w:sz="8" w:color="auto"/>
            </w:tcBorders>
            <w:shd w:val="clear" w:color="auto" w:fill="E6EDF3"/>
          </w:tcPr>
          <w:p>
            <w:pPr>
              <w:jc w:val="right"/>
              <w:ind w:right="363"/>
              <w:spacing w:after="0"/>
              <w:rPr>
                <w:sz w:val="20"/>
                <w:szCs w:val="20"/>
                <w:color w:val="auto"/>
              </w:rPr>
            </w:pPr>
            <w:r>
              <w:rPr>
                <w:rFonts w:ascii="Arial" w:cs="Arial" w:eastAsia="Arial" w:hAnsi="Arial"/>
                <w:sz w:val="16"/>
                <w:szCs w:val="16"/>
                <w:color w:val="auto"/>
              </w:rPr>
              <w:t>$ 2,240,546</w:t>
            </w:r>
          </w:p>
        </w:tc>
      </w:tr>
    </w:tbl>
    <w:p>
      <w:pPr>
        <w:spacing w:after="0" w:line="193" w:lineRule="exact"/>
        <w:rPr>
          <w:sz w:val="20"/>
          <w:szCs w:val="20"/>
          <w:color w:val="auto"/>
        </w:rPr>
      </w:pPr>
    </w:p>
    <w:p>
      <w:pPr>
        <w:ind w:left="200" w:right="20"/>
        <w:spacing w:after="0" w:line="245" w:lineRule="auto"/>
        <w:rPr>
          <w:sz w:val="20"/>
          <w:szCs w:val="20"/>
          <w:color w:val="auto"/>
        </w:rPr>
      </w:pPr>
      <w:r>
        <w:rPr>
          <w:rFonts w:ascii="Arial" w:cs="Arial" w:eastAsia="Arial" w:hAnsi="Arial"/>
          <w:sz w:val="18"/>
          <w:szCs w:val="18"/>
          <w:color w:val="auto"/>
        </w:rPr>
        <w:t>For 2017, the calculation for EPS for Mr. Prising and the other NEOs continued to exclude the impact of changes in foreign currency exchange rates and the impact of share repurchase activity during the year except to the extent necessary to offset dilution resulting from shares issued under equity plans. ROIC continued to exclude the impact of currency. For 2017, the EPS and ROIC calculations also excluded the one-time benefit from U.S. and French tax reform and restructuring charges, net of the savings related to these charges. See page 56 for the calculations for Mr. Prising and the other NEOs.</w:t>
      </w:r>
    </w:p>
    <w:p>
      <w:pPr>
        <w:spacing w:after="0" w:line="105"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5D89B4"/>
        </w:rPr>
        <w:t xml:space="preserve">John T. McGinnis </w:t>
      </w:r>
      <w:r>
        <w:rPr>
          <w:rFonts w:ascii="Arial" w:cs="Arial" w:eastAsia="Arial" w:hAnsi="Arial"/>
          <w:sz w:val="18"/>
          <w:szCs w:val="18"/>
          <w:i w:val="1"/>
          <w:iCs w:val="1"/>
          <w:color w:val="5D89B4"/>
        </w:rPr>
        <w:t>—</w:t>
      </w:r>
      <w:r>
        <w:rPr>
          <w:rFonts w:ascii="Arial" w:cs="Arial" w:eastAsia="Arial" w:hAnsi="Arial"/>
          <w:sz w:val="18"/>
          <w:szCs w:val="18"/>
          <w:b w:val="1"/>
          <w:bCs w:val="1"/>
          <w:i w:val="1"/>
          <w:iCs w:val="1"/>
          <w:color w:val="5D89B4"/>
        </w:rPr>
        <w:t xml:space="preserve"> Annual Incentive Award Opportunities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Similar to the CEO, the Committee determined EPS and ROIC as the appropriate performance metrics for Mr. McGinnis as the CFO.</w:t>
      </w:r>
    </w:p>
    <w:p>
      <w:pPr>
        <w:spacing w:after="0" w:line="144" w:lineRule="exact"/>
        <w:rPr>
          <w:sz w:val="20"/>
          <w:szCs w:val="20"/>
          <w:color w:val="auto"/>
        </w:rPr>
      </w:pPr>
    </w:p>
    <w:p>
      <w:pPr>
        <w:ind w:left="200" w:right="480"/>
        <w:spacing w:after="0" w:line="276"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McGinnis for 2017, as a percentage of his 2017 base salary of $650,000.</w:t>
      </w:r>
    </w:p>
    <w:p>
      <w:pPr>
        <w:spacing w:after="0" w:line="175"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500" w:type="dxa"/>
            <w:vAlign w:val="bottom"/>
            <w:tcBorders>
              <w:top w:val="single" w:sz="8" w:color="auto"/>
              <w:bottom w:val="single" w:sz="8" w:color="auto"/>
            </w:tcBorders>
            <w:shd w:val="clear" w:color="auto" w:fill="9DB8D2"/>
          </w:tcPr>
          <w:p>
            <w:pPr>
              <w:spacing w:after="0"/>
              <w:rPr>
                <w:sz w:val="23"/>
                <w:szCs w:val="23"/>
                <w:color w:val="auto"/>
              </w:rPr>
            </w:pPr>
          </w:p>
        </w:tc>
        <w:tc>
          <w:tcPr>
            <w:tcW w:w="1940" w:type="dxa"/>
            <w:vAlign w:val="bottom"/>
            <w:tcBorders>
              <w:top w:val="single" w:sz="8" w:color="auto"/>
              <w:bottom w:val="single" w:sz="8" w:color="auto"/>
            </w:tcBorders>
            <w:shd w:val="clear" w:color="auto" w:fill="9DB8D2"/>
          </w:tcPr>
          <w:p>
            <w:pPr>
              <w:jc w:val="right"/>
              <w:ind w:right="341"/>
              <w:spacing w:after="0"/>
              <w:rPr>
                <w:sz w:val="20"/>
                <w:szCs w:val="20"/>
                <w:color w:val="auto"/>
              </w:rPr>
            </w:pPr>
            <w:r>
              <w:rPr>
                <w:rFonts w:ascii="Arial" w:cs="Arial" w:eastAsia="Arial" w:hAnsi="Arial"/>
                <w:sz w:val="14"/>
                <w:szCs w:val="14"/>
                <w:b w:val="1"/>
                <w:bCs w:val="1"/>
                <w:color w:val="auto"/>
              </w:rPr>
              <w:t>Threshold</w:t>
            </w:r>
          </w:p>
        </w:tc>
        <w:tc>
          <w:tcPr>
            <w:tcW w:w="1340" w:type="dxa"/>
            <w:vAlign w:val="bottom"/>
            <w:tcBorders>
              <w:top w:val="single" w:sz="8" w:color="auto"/>
              <w:bottom w:val="single" w:sz="8" w:color="auto"/>
            </w:tcBorders>
            <w:shd w:val="clear" w:color="auto" w:fill="9DB8D2"/>
          </w:tcPr>
          <w:p>
            <w:pPr>
              <w:jc w:val="right"/>
              <w:ind w:right="401"/>
              <w:spacing w:after="0"/>
              <w:rPr>
                <w:sz w:val="20"/>
                <w:szCs w:val="20"/>
                <w:color w:val="auto"/>
              </w:rPr>
            </w:pPr>
            <w:r>
              <w:rPr>
                <w:rFonts w:ascii="Arial" w:cs="Arial" w:eastAsia="Arial" w:hAnsi="Arial"/>
                <w:sz w:val="14"/>
                <w:szCs w:val="14"/>
                <w:b w:val="1"/>
                <w:bCs w:val="1"/>
                <w:color w:val="auto"/>
              </w:rPr>
              <w:t>Target</w:t>
            </w:r>
          </w:p>
        </w:tc>
        <w:tc>
          <w:tcPr>
            <w:tcW w:w="1480" w:type="dxa"/>
            <w:vAlign w:val="bottom"/>
            <w:tcBorders>
              <w:top w:val="single" w:sz="8" w:color="auto"/>
              <w:bottom w:val="single" w:sz="8" w:color="auto"/>
            </w:tcBorders>
            <w:shd w:val="clear" w:color="auto" w:fill="9DB8D2"/>
          </w:tcPr>
          <w:p>
            <w:pPr>
              <w:jc w:val="right"/>
              <w:ind w:right="181"/>
              <w:spacing w:after="0"/>
              <w:rPr>
                <w:sz w:val="20"/>
                <w:szCs w:val="20"/>
                <w:color w:val="auto"/>
              </w:rPr>
            </w:pPr>
            <w:r>
              <w:rPr>
                <w:rFonts w:ascii="Arial" w:cs="Arial" w:eastAsia="Arial" w:hAnsi="Arial"/>
                <w:sz w:val="14"/>
                <w:szCs w:val="14"/>
                <w:b w:val="1"/>
                <w:bCs w:val="1"/>
                <w:color w:val="auto"/>
              </w:rPr>
              <w:t>Outstanding</w:t>
            </w:r>
          </w:p>
        </w:tc>
      </w:tr>
      <w:tr>
        <w:trPr>
          <w:trHeight w:val="183"/>
        </w:trPr>
        <w:tc>
          <w:tcPr>
            <w:tcW w:w="450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EPS goal (weighted 40%)</w:t>
            </w:r>
          </w:p>
        </w:tc>
        <w:tc>
          <w:tcPr>
            <w:tcW w:w="1940" w:type="dxa"/>
            <w:vAlign w:val="bottom"/>
            <w:shd w:val="clear" w:color="auto" w:fill="E6EDF3"/>
          </w:tcPr>
          <w:p>
            <w:pPr>
              <w:jc w:val="right"/>
              <w:ind w:right="361"/>
              <w:spacing w:after="0" w:line="183" w:lineRule="exact"/>
              <w:rPr>
                <w:sz w:val="20"/>
                <w:szCs w:val="20"/>
                <w:color w:val="auto"/>
              </w:rPr>
            </w:pPr>
            <w:r>
              <w:rPr>
                <w:rFonts w:ascii="Arial" w:cs="Arial" w:eastAsia="Arial" w:hAnsi="Arial"/>
                <w:sz w:val="16"/>
                <w:szCs w:val="16"/>
                <w:color w:val="auto"/>
              </w:rPr>
              <w:t>10.0%</w:t>
            </w:r>
          </w:p>
        </w:tc>
        <w:tc>
          <w:tcPr>
            <w:tcW w:w="1340" w:type="dxa"/>
            <w:vAlign w:val="bottom"/>
            <w:shd w:val="clear" w:color="auto" w:fill="E6EDF3"/>
          </w:tcPr>
          <w:p>
            <w:pPr>
              <w:jc w:val="right"/>
              <w:ind w:right="281"/>
              <w:spacing w:after="0" w:line="183" w:lineRule="exact"/>
              <w:rPr>
                <w:sz w:val="20"/>
                <w:szCs w:val="20"/>
                <w:color w:val="auto"/>
              </w:rPr>
            </w:pPr>
            <w:r>
              <w:rPr>
                <w:rFonts w:ascii="Arial" w:cs="Arial" w:eastAsia="Arial" w:hAnsi="Arial"/>
                <w:sz w:val="16"/>
                <w:szCs w:val="16"/>
                <w:color w:val="auto"/>
              </w:rPr>
              <w:t>40.0%</w:t>
            </w:r>
          </w:p>
        </w:tc>
        <w:tc>
          <w:tcPr>
            <w:tcW w:w="1480" w:type="dxa"/>
            <w:vAlign w:val="bottom"/>
            <w:shd w:val="clear" w:color="auto" w:fill="E6EDF3"/>
          </w:tcPr>
          <w:p>
            <w:pPr>
              <w:jc w:val="right"/>
              <w:ind w:right="181"/>
              <w:spacing w:after="0" w:line="183" w:lineRule="exact"/>
              <w:rPr>
                <w:sz w:val="20"/>
                <w:szCs w:val="20"/>
                <w:color w:val="auto"/>
              </w:rPr>
            </w:pPr>
            <w:r>
              <w:rPr>
                <w:rFonts w:ascii="Arial" w:cs="Arial" w:eastAsia="Arial" w:hAnsi="Arial"/>
                <w:sz w:val="16"/>
                <w:szCs w:val="16"/>
                <w:color w:val="auto"/>
              </w:rPr>
              <w:t>80.0%</w:t>
            </w:r>
          </w:p>
        </w:tc>
      </w:tr>
      <w:tr>
        <w:trPr>
          <w:trHeight w:val="189"/>
        </w:trPr>
        <w:tc>
          <w:tcPr>
            <w:tcW w:w="4500" w:type="dxa"/>
            <w:vAlign w:val="bottom"/>
          </w:tcPr>
          <w:p>
            <w:pPr>
              <w:ind w:left="80"/>
              <w:spacing w:after="0"/>
              <w:rPr>
                <w:sz w:val="20"/>
                <w:szCs w:val="20"/>
                <w:color w:val="auto"/>
              </w:rPr>
            </w:pPr>
            <w:r>
              <w:rPr>
                <w:rFonts w:ascii="Arial" w:cs="Arial" w:eastAsia="Arial" w:hAnsi="Arial"/>
                <w:sz w:val="16"/>
                <w:szCs w:val="16"/>
                <w:color w:val="auto"/>
              </w:rPr>
              <w:t>ROIC goal (weighted 40%)</w:t>
            </w:r>
          </w:p>
        </w:tc>
        <w:tc>
          <w:tcPr>
            <w:tcW w:w="1940" w:type="dxa"/>
            <w:vAlign w:val="bottom"/>
          </w:tcPr>
          <w:p>
            <w:pPr>
              <w:jc w:val="right"/>
              <w:ind w:right="361"/>
              <w:spacing w:after="0"/>
              <w:rPr>
                <w:sz w:val="20"/>
                <w:szCs w:val="20"/>
                <w:color w:val="auto"/>
              </w:rPr>
            </w:pPr>
            <w:r>
              <w:rPr>
                <w:rFonts w:ascii="Arial" w:cs="Arial" w:eastAsia="Arial" w:hAnsi="Arial"/>
                <w:sz w:val="16"/>
                <w:szCs w:val="16"/>
                <w:color w:val="auto"/>
              </w:rPr>
              <w:t>10.0%</w:t>
            </w:r>
          </w:p>
        </w:tc>
        <w:tc>
          <w:tcPr>
            <w:tcW w:w="1340" w:type="dxa"/>
            <w:vAlign w:val="bottom"/>
          </w:tcPr>
          <w:p>
            <w:pPr>
              <w:jc w:val="right"/>
              <w:ind w:right="281"/>
              <w:spacing w:after="0"/>
              <w:rPr>
                <w:sz w:val="20"/>
                <w:szCs w:val="20"/>
                <w:color w:val="auto"/>
              </w:rPr>
            </w:pPr>
            <w:r>
              <w:rPr>
                <w:rFonts w:ascii="Arial" w:cs="Arial" w:eastAsia="Arial" w:hAnsi="Arial"/>
                <w:sz w:val="16"/>
                <w:szCs w:val="16"/>
                <w:color w:val="auto"/>
              </w:rPr>
              <w:t>40.0%</w:t>
            </w:r>
          </w:p>
        </w:tc>
        <w:tc>
          <w:tcPr>
            <w:tcW w:w="1480" w:type="dxa"/>
            <w:vAlign w:val="bottom"/>
          </w:tcPr>
          <w:p>
            <w:pPr>
              <w:jc w:val="right"/>
              <w:ind w:right="181"/>
              <w:spacing w:after="0"/>
              <w:rPr>
                <w:sz w:val="20"/>
                <w:szCs w:val="20"/>
                <w:color w:val="auto"/>
              </w:rPr>
            </w:pPr>
            <w:r>
              <w:rPr>
                <w:rFonts w:ascii="Arial" w:cs="Arial" w:eastAsia="Arial" w:hAnsi="Arial"/>
                <w:sz w:val="16"/>
                <w:szCs w:val="16"/>
                <w:color w:val="auto"/>
              </w:rPr>
              <w:t>80.0%</w:t>
            </w:r>
          </w:p>
        </w:tc>
      </w:tr>
      <w:tr>
        <w:trPr>
          <w:trHeight w:val="189"/>
        </w:trPr>
        <w:tc>
          <w:tcPr>
            <w:tcW w:w="450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 (weighted 20%)</w:t>
            </w:r>
          </w:p>
        </w:tc>
        <w:tc>
          <w:tcPr>
            <w:tcW w:w="1940" w:type="dxa"/>
            <w:vAlign w:val="bottom"/>
            <w:shd w:val="clear" w:color="auto" w:fill="E6EDF3"/>
          </w:tcPr>
          <w:p>
            <w:pPr>
              <w:jc w:val="right"/>
              <w:ind w:right="361"/>
              <w:spacing w:after="0"/>
              <w:rPr>
                <w:sz w:val="20"/>
                <w:szCs w:val="20"/>
                <w:color w:val="auto"/>
              </w:rPr>
            </w:pPr>
            <w:r>
              <w:rPr>
                <w:rFonts w:ascii="Arial" w:cs="Arial" w:eastAsia="Arial" w:hAnsi="Arial"/>
                <w:sz w:val="16"/>
                <w:szCs w:val="16"/>
                <w:color w:val="auto"/>
              </w:rPr>
              <w:t>5.0%</w:t>
            </w:r>
          </w:p>
        </w:tc>
        <w:tc>
          <w:tcPr>
            <w:tcW w:w="134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20.0%</w:t>
            </w:r>
          </w:p>
        </w:tc>
        <w:tc>
          <w:tcPr>
            <w:tcW w:w="1480" w:type="dxa"/>
            <w:vAlign w:val="bottom"/>
            <w:shd w:val="clear" w:color="auto" w:fill="E6EDF3"/>
          </w:tcPr>
          <w:p>
            <w:pPr>
              <w:jc w:val="right"/>
              <w:ind w:right="181"/>
              <w:spacing w:after="0"/>
              <w:rPr>
                <w:sz w:val="20"/>
                <w:szCs w:val="20"/>
                <w:color w:val="auto"/>
              </w:rPr>
            </w:pPr>
            <w:r>
              <w:rPr>
                <w:rFonts w:ascii="Arial" w:cs="Arial" w:eastAsia="Arial" w:hAnsi="Arial"/>
                <w:sz w:val="16"/>
                <w:szCs w:val="16"/>
                <w:color w:val="auto"/>
              </w:rPr>
              <w:t>40.0%</w:t>
            </w:r>
          </w:p>
        </w:tc>
      </w:tr>
      <w:tr>
        <w:trPr>
          <w:trHeight w:val="189"/>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25.0%</w:t>
            </w:r>
          </w:p>
        </w:tc>
        <w:tc>
          <w:tcPr>
            <w:tcW w:w="13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100.0%</w:t>
            </w:r>
          </w:p>
        </w:tc>
        <w:tc>
          <w:tcPr>
            <w:tcW w:w="14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200.0%</w:t>
            </w:r>
          </w:p>
        </w:tc>
      </w:tr>
    </w:tbl>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operating objectives for Mr. McGinnis for 2017 are as follows:</w:t>
      </w:r>
    </w:p>
    <w:p>
      <w:pPr>
        <w:spacing w:after="0" w:line="144" w:lineRule="exact"/>
        <w:rPr>
          <w:sz w:val="20"/>
          <w:szCs w:val="20"/>
          <w:color w:val="auto"/>
        </w:rPr>
      </w:pPr>
    </w:p>
    <w:p>
      <w:pPr>
        <w:ind w:left="640" w:hanging="328"/>
        <w:spacing w:after="0"/>
        <w:tabs>
          <w:tab w:leader="none" w:pos="640" w:val="left"/>
        </w:tabs>
        <w:numPr>
          <w:ilvl w:val="0"/>
          <w:numId w:val="50"/>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0"/>
        </w:numPr>
        <w:rPr>
          <w:rFonts w:ascii="Arial" w:cs="Arial" w:eastAsia="Arial" w:hAnsi="Arial"/>
          <w:sz w:val="18"/>
          <w:szCs w:val="18"/>
          <w:color w:val="5D89B4"/>
        </w:rPr>
      </w:pPr>
      <w:r>
        <w:rPr>
          <w:rFonts w:ascii="Arial" w:cs="Arial" w:eastAsia="Arial" w:hAnsi="Arial"/>
          <w:sz w:val="18"/>
          <w:szCs w:val="18"/>
          <w:color w:val="auto"/>
        </w:rPr>
        <w:t>Make progress towards transformation initiatives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0"/>
        </w:numPr>
        <w:rPr>
          <w:rFonts w:ascii="Arial" w:cs="Arial" w:eastAsia="Arial" w:hAnsi="Arial"/>
          <w:sz w:val="18"/>
          <w:szCs w:val="18"/>
          <w:color w:val="5D89B4"/>
        </w:rPr>
      </w:pPr>
      <w:r>
        <w:rPr>
          <w:rFonts w:ascii="Arial" w:cs="Arial" w:eastAsia="Arial" w:hAnsi="Arial"/>
          <w:sz w:val="18"/>
          <w:szCs w:val="18"/>
          <w:color w:val="auto"/>
        </w:rPr>
        <w:t>Develop diverse leadership that strengthens our capabilities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0"/>
        </w:numPr>
        <w:rPr>
          <w:rFonts w:ascii="Arial" w:cs="Arial" w:eastAsia="Arial" w:hAnsi="Arial"/>
          <w:sz w:val="18"/>
          <w:szCs w:val="18"/>
          <w:color w:val="5D89B4"/>
        </w:rPr>
      </w:pPr>
      <w:r>
        <w:rPr>
          <w:rFonts w:ascii="Arial" w:cs="Arial" w:eastAsia="Arial" w:hAnsi="Arial"/>
          <w:sz w:val="18"/>
          <w:szCs w:val="18"/>
          <w:color w:val="auto"/>
        </w:rPr>
        <w:t>Successfully perform all investor relations activities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0"/>
        </w:numPr>
        <w:rPr>
          <w:rFonts w:ascii="Arial" w:cs="Arial" w:eastAsia="Arial" w:hAnsi="Arial"/>
          <w:sz w:val="18"/>
          <w:szCs w:val="18"/>
          <w:color w:val="5D89B4"/>
        </w:rPr>
      </w:pPr>
      <w:r>
        <w:rPr>
          <w:rFonts w:ascii="Arial" w:cs="Arial" w:eastAsia="Arial" w:hAnsi="Arial"/>
          <w:sz w:val="18"/>
          <w:szCs w:val="18"/>
          <w:color w:val="auto"/>
        </w:rPr>
        <w:t>Develop succession within the finance department to strengthen talent base</w:t>
      </w:r>
    </w:p>
    <w:p>
      <w:pPr>
        <w:spacing w:after="0" w:line="131"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color w:val="auto"/>
        </w:rPr>
        <w:t>The Committee determined that Mr. McGinnis earned a cash incentive award for 2017 between target and outstanding for EPS and ROIC. The Committee also approved an incentive award for Mr. McGinnis based on its determination of the level of performance towards achievement of his operating objectives. Based on these accomplishments, the Committee determined to pay the 2017 award to Mr. McGinnis as follows:</w:t>
      </w:r>
    </w:p>
    <w:p>
      <w:pPr>
        <w:spacing w:after="0" w:line="79"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5000" w:type="dxa"/>
            <w:vAlign w:val="bottom"/>
            <w:tcBorders>
              <w:top w:val="single" w:sz="8" w:color="auto"/>
              <w:bottom w:val="single" w:sz="8" w:color="auto"/>
            </w:tcBorders>
            <w:shd w:val="clear" w:color="auto" w:fill="9DB8D2"/>
          </w:tcPr>
          <w:p>
            <w:pPr>
              <w:spacing w:after="0"/>
              <w:rPr>
                <w:sz w:val="23"/>
                <w:szCs w:val="23"/>
                <w:color w:val="auto"/>
              </w:rPr>
            </w:pPr>
          </w:p>
        </w:tc>
        <w:tc>
          <w:tcPr>
            <w:tcW w:w="2360" w:type="dxa"/>
            <w:vAlign w:val="bottom"/>
            <w:tcBorders>
              <w:top w:val="single" w:sz="8" w:color="auto"/>
              <w:bottom w:val="single" w:sz="8" w:color="auto"/>
            </w:tcBorders>
            <w:shd w:val="clear" w:color="auto" w:fill="9DB8D2"/>
          </w:tcPr>
          <w:p>
            <w:pPr>
              <w:jc w:val="center"/>
              <w:ind w:left="143"/>
              <w:spacing w:after="0"/>
              <w:rPr>
                <w:sz w:val="20"/>
                <w:szCs w:val="20"/>
                <w:color w:val="auto"/>
              </w:rPr>
            </w:pPr>
            <w:r>
              <w:rPr>
                <w:rFonts w:ascii="Arial" w:cs="Arial" w:eastAsia="Arial" w:hAnsi="Arial"/>
                <w:sz w:val="14"/>
                <w:szCs w:val="14"/>
                <w:b w:val="1"/>
                <w:bCs w:val="1"/>
                <w:color w:val="auto"/>
              </w:rPr>
              <w:t>Target Award</w:t>
            </w:r>
          </w:p>
        </w:tc>
        <w:tc>
          <w:tcPr>
            <w:tcW w:w="1900" w:type="dxa"/>
            <w:vAlign w:val="bottom"/>
            <w:tcBorders>
              <w:top w:val="single" w:sz="8" w:color="auto"/>
              <w:bottom w:val="single" w:sz="8" w:color="auto"/>
            </w:tcBorders>
            <w:shd w:val="clear" w:color="auto" w:fill="9DB8D2"/>
          </w:tcPr>
          <w:p>
            <w:pPr>
              <w:jc w:val="right"/>
              <w:ind w:right="302"/>
              <w:spacing w:after="0"/>
              <w:rPr>
                <w:sz w:val="20"/>
                <w:szCs w:val="20"/>
                <w:color w:val="auto"/>
              </w:rPr>
            </w:pPr>
            <w:r>
              <w:rPr>
                <w:rFonts w:ascii="Arial" w:cs="Arial" w:eastAsia="Arial" w:hAnsi="Arial"/>
                <w:sz w:val="14"/>
                <w:szCs w:val="14"/>
                <w:b w:val="1"/>
                <w:bCs w:val="1"/>
                <w:color w:val="auto"/>
              </w:rPr>
              <w:t>Actual Award</w:t>
            </w:r>
          </w:p>
        </w:tc>
        <w:tc>
          <w:tcPr>
            <w:tcW w:w="880" w:type="dxa"/>
            <w:vAlign w:val="bottom"/>
          </w:tcPr>
          <w:p>
            <w:pPr>
              <w:spacing w:after="0"/>
              <w:rPr>
                <w:sz w:val="23"/>
                <w:szCs w:val="23"/>
                <w:color w:val="auto"/>
              </w:rPr>
            </w:pPr>
          </w:p>
        </w:tc>
      </w:tr>
      <w:tr>
        <w:trPr>
          <w:trHeight w:val="244"/>
        </w:trPr>
        <w:tc>
          <w:tcPr>
            <w:tcW w:w="500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CFO</w:t>
            </w:r>
          </w:p>
        </w:tc>
        <w:tc>
          <w:tcPr>
            <w:tcW w:w="2360" w:type="dxa"/>
            <w:vAlign w:val="bottom"/>
            <w:tcBorders>
              <w:bottom w:val="single" w:sz="8" w:color="auto"/>
            </w:tcBorders>
            <w:shd w:val="clear" w:color="auto" w:fill="E6EDF3"/>
          </w:tcPr>
          <w:p>
            <w:pPr>
              <w:jc w:val="right"/>
              <w:ind w:right="643"/>
              <w:spacing w:after="0"/>
              <w:rPr>
                <w:sz w:val="20"/>
                <w:szCs w:val="20"/>
                <w:color w:val="auto"/>
              </w:rPr>
            </w:pPr>
            <w:r>
              <w:rPr>
                <w:rFonts w:ascii="Arial" w:cs="Arial" w:eastAsia="Arial" w:hAnsi="Arial"/>
                <w:sz w:val="16"/>
                <w:szCs w:val="16"/>
                <w:color w:val="auto"/>
              </w:rPr>
              <w:t>$ 650,000</w:t>
            </w:r>
          </w:p>
        </w:tc>
        <w:tc>
          <w:tcPr>
            <w:tcW w:w="1900" w:type="dxa"/>
            <w:vAlign w:val="bottom"/>
            <w:tcBorders>
              <w:bottom w:val="single" w:sz="8" w:color="auto"/>
            </w:tcBorders>
            <w:shd w:val="clear" w:color="auto" w:fill="E6EDF3"/>
          </w:tcPr>
          <w:p>
            <w:pPr>
              <w:jc w:val="right"/>
              <w:ind w:right="362"/>
              <w:spacing w:after="0"/>
              <w:rPr>
                <w:sz w:val="20"/>
                <w:szCs w:val="20"/>
                <w:color w:val="auto"/>
              </w:rPr>
            </w:pPr>
            <w:r>
              <w:rPr>
                <w:rFonts w:ascii="Arial" w:cs="Arial" w:eastAsia="Arial" w:hAnsi="Arial"/>
                <w:sz w:val="16"/>
                <w:szCs w:val="16"/>
                <w:color w:val="auto"/>
              </w:rPr>
              <w:t>$ 755,040</w:t>
            </w:r>
          </w:p>
        </w:tc>
        <w:tc>
          <w:tcPr>
            <w:tcW w:w="880" w:type="dxa"/>
            <w:vAlign w:val="bottom"/>
          </w:tcPr>
          <w:p>
            <w:pPr>
              <w:spacing w:after="0"/>
              <w:rPr>
                <w:sz w:val="21"/>
                <w:szCs w:val="21"/>
                <w:color w:val="auto"/>
              </w:rPr>
            </w:pPr>
          </w:p>
        </w:tc>
      </w:tr>
      <w:tr>
        <w:trPr>
          <w:trHeight w:val="408"/>
        </w:trPr>
        <w:tc>
          <w:tcPr>
            <w:tcW w:w="50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80" w:type="dxa"/>
            <w:vAlign w:val="bottom"/>
            <w:gridSpan w:val="2"/>
          </w:tcPr>
          <w:p>
            <w:pPr>
              <w:ind w:left="1260"/>
              <w:spacing w:after="0"/>
              <w:rPr>
                <w:sz w:val="20"/>
                <w:szCs w:val="20"/>
                <w:color w:val="auto"/>
              </w:rPr>
            </w:pPr>
            <w:r>
              <w:rPr>
                <w:rFonts w:ascii="Arial" w:cs="Arial" w:eastAsia="Arial" w:hAnsi="Arial"/>
                <w:sz w:val="16"/>
                <w:szCs w:val="16"/>
                <w:b w:val="1"/>
                <w:bCs w:val="1"/>
                <w:color w:val="5D89B4"/>
                <w:w w:val="99"/>
              </w:rPr>
              <w:t xml:space="preserve">43 </w:t>
            </w:r>
            <w:r>
              <w:rPr>
                <w:rFonts w:ascii="Arial" w:cs="Arial" w:eastAsia="Arial" w:hAnsi="Arial"/>
                <w:sz w:val="21"/>
                <w:szCs w:val="21"/>
                <w:color w:val="5D89B4"/>
                <w:w w:val="99"/>
              </w:rPr>
              <w:t>|</w:t>
            </w:r>
            <w:r>
              <w:rPr>
                <w:rFonts w:ascii="Arial" w:cs="Arial" w:eastAsia="Arial" w:hAnsi="Arial"/>
                <w:sz w:val="16"/>
                <w:szCs w:val="16"/>
                <w:b w:val="1"/>
                <w:bCs w:val="1"/>
                <w:color w:val="5D89B4"/>
                <w:w w:val="99"/>
              </w:rPr>
              <w:t xml:space="preserve"> </w:t>
            </w:r>
            <w:r>
              <w:rPr>
                <w:rFonts w:ascii="Arial" w:cs="Arial" w:eastAsia="Arial" w:hAnsi="Arial"/>
                <w:sz w:val="16"/>
                <w:szCs w:val="16"/>
                <w:color w:val="5D89B4"/>
                <w:w w:val="99"/>
              </w:rPr>
              <w:t>ManpowerGroup</w:t>
            </w:r>
          </w:p>
        </w:tc>
      </w:tr>
    </w:tbl>
    <w:p>
      <w:pPr>
        <w:sectPr>
          <w:pgSz w:w="11900" w:h="16838" w:orient="portrait"/>
          <w:cols w:equalWidth="0" w:num="1">
            <w:col w:w="11220"/>
          </w:cols>
          <w:pgMar w:left="24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3620"/>
        <w:spacing w:after="0"/>
        <w:rPr>
          <w:sz w:val="20"/>
          <w:szCs w:val="20"/>
          <w:color w:val="auto"/>
        </w:rPr>
      </w:pPr>
      <w:r>
        <w:rPr>
          <w:rFonts w:ascii="Arial" w:cs="Arial" w:eastAsia="Arial" w:hAnsi="Arial"/>
          <w:sz w:val="18"/>
          <w:szCs w:val="18"/>
          <w:b w:val="1"/>
          <w:bCs w:val="1"/>
          <w:i w:val="1"/>
          <w:iCs w:val="1"/>
          <w:color w:val="5D89B4"/>
        </w:rPr>
        <w:t xml:space="preserve">Darryl Green </w:t>
      </w:r>
      <w:r>
        <w:rPr>
          <w:rFonts w:ascii="Arial" w:cs="Arial" w:eastAsia="Arial" w:hAnsi="Arial"/>
          <w:sz w:val="18"/>
          <w:szCs w:val="18"/>
          <w:i w:val="1"/>
          <w:iCs w:val="1"/>
          <w:color w:val="5D89B4"/>
        </w:rPr>
        <w:t>—</w:t>
      </w:r>
      <w:r>
        <w:rPr>
          <w:rFonts w:ascii="Arial" w:cs="Arial" w:eastAsia="Arial" w:hAnsi="Arial"/>
          <w:sz w:val="18"/>
          <w:szCs w:val="18"/>
          <w:b w:val="1"/>
          <w:bCs w:val="1"/>
          <w:i w:val="1"/>
          <w:iCs w:val="1"/>
          <w:color w:val="5D89B4"/>
        </w:rPr>
        <w:t xml:space="preserve"> Annual Incentive Award Opportunities</w:t>
      </w:r>
    </w:p>
    <w:p>
      <w:pPr>
        <w:spacing w:after="0" w:line="144" w:lineRule="exact"/>
        <w:rPr>
          <w:sz w:val="20"/>
          <w:szCs w:val="20"/>
          <w:color w:val="auto"/>
        </w:rPr>
      </w:pPr>
    </w:p>
    <w:p>
      <w:pPr>
        <w:ind w:left="200" w:right="720"/>
        <w:spacing w:after="0" w:line="276" w:lineRule="auto"/>
        <w:rPr>
          <w:sz w:val="20"/>
          <w:szCs w:val="20"/>
          <w:color w:val="auto"/>
        </w:rPr>
      </w:pPr>
      <w:r>
        <w:rPr>
          <w:rFonts w:ascii="Arial" w:cs="Arial" w:eastAsia="Arial" w:hAnsi="Arial"/>
          <w:sz w:val="18"/>
          <w:szCs w:val="18"/>
          <w:color w:val="auto"/>
        </w:rPr>
        <w:t>Similar to the CEO and CFO, the Committee determined EPS and ROIC as the appropriate performance metrics for Mr. Green as President and COO.</w:t>
      </w:r>
    </w:p>
    <w:p>
      <w:pPr>
        <w:spacing w:after="0" w:line="78" w:lineRule="exact"/>
        <w:rPr>
          <w:sz w:val="20"/>
          <w:szCs w:val="20"/>
          <w:color w:val="auto"/>
        </w:rPr>
      </w:pPr>
    </w:p>
    <w:p>
      <w:pPr>
        <w:ind w:left="200" w:right="240"/>
        <w:spacing w:after="0" w:line="276"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Green for 2017, as a percentage of his 2017 base salary of $850,000:</w:t>
      </w:r>
    </w:p>
    <w:p>
      <w:pPr>
        <w:spacing w:after="0" w:line="81"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500" w:type="dxa"/>
            <w:vAlign w:val="bottom"/>
            <w:tcBorders>
              <w:top w:val="single" w:sz="8" w:color="auto"/>
              <w:bottom w:val="single" w:sz="8" w:color="auto"/>
            </w:tcBorders>
            <w:shd w:val="clear" w:color="auto" w:fill="9DB8D2"/>
          </w:tcPr>
          <w:p>
            <w:pPr>
              <w:spacing w:after="0"/>
              <w:rPr>
                <w:sz w:val="23"/>
                <w:szCs w:val="23"/>
                <w:color w:val="auto"/>
              </w:rPr>
            </w:pPr>
          </w:p>
        </w:tc>
        <w:tc>
          <w:tcPr>
            <w:tcW w:w="1940" w:type="dxa"/>
            <w:vAlign w:val="bottom"/>
            <w:tcBorders>
              <w:top w:val="single" w:sz="8" w:color="auto"/>
              <w:bottom w:val="single" w:sz="8" w:color="auto"/>
            </w:tcBorders>
            <w:shd w:val="clear" w:color="auto" w:fill="9DB8D2"/>
          </w:tcPr>
          <w:p>
            <w:pPr>
              <w:jc w:val="right"/>
              <w:ind w:right="341"/>
              <w:spacing w:after="0"/>
              <w:rPr>
                <w:sz w:val="20"/>
                <w:szCs w:val="20"/>
                <w:color w:val="auto"/>
              </w:rPr>
            </w:pPr>
            <w:r>
              <w:rPr>
                <w:rFonts w:ascii="Arial" w:cs="Arial" w:eastAsia="Arial" w:hAnsi="Arial"/>
                <w:sz w:val="14"/>
                <w:szCs w:val="14"/>
                <w:b w:val="1"/>
                <w:bCs w:val="1"/>
                <w:color w:val="auto"/>
              </w:rPr>
              <w:t>Threshold</w:t>
            </w:r>
          </w:p>
        </w:tc>
        <w:tc>
          <w:tcPr>
            <w:tcW w:w="1340" w:type="dxa"/>
            <w:vAlign w:val="bottom"/>
            <w:tcBorders>
              <w:top w:val="single" w:sz="8" w:color="auto"/>
              <w:bottom w:val="single" w:sz="8" w:color="auto"/>
            </w:tcBorders>
            <w:shd w:val="clear" w:color="auto" w:fill="9DB8D2"/>
          </w:tcPr>
          <w:p>
            <w:pPr>
              <w:jc w:val="right"/>
              <w:ind w:right="401"/>
              <w:spacing w:after="0"/>
              <w:rPr>
                <w:sz w:val="20"/>
                <w:szCs w:val="20"/>
                <w:color w:val="auto"/>
              </w:rPr>
            </w:pPr>
            <w:r>
              <w:rPr>
                <w:rFonts w:ascii="Arial" w:cs="Arial" w:eastAsia="Arial" w:hAnsi="Arial"/>
                <w:sz w:val="14"/>
                <w:szCs w:val="14"/>
                <w:b w:val="1"/>
                <w:bCs w:val="1"/>
                <w:color w:val="auto"/>
              </w:rPr>
              <w:t>Target</w:t>
            </w:r>
          </w:p>
        </w:tc>
        <w:tc>
          <w:tcPr>
            <w:tcW w:w="1480" w:type="dxa"/>
            <w:vAlign w:val="bottom"/>
            <w:tcBorders>
              <w:top w:val="single" w:sz="8" w:color="auto"/>
              <w:bottom w:val="single" w:sz="8" w:color="auto"/>
            </w:tcBorders>
            <w:shd w:val="clear" w:color="auto" w:fill="9DB8D2"/>
          </w:tcPr>
          <w:p>
            <w:pPr>
              <w:jc w:val="right"/>
              <w:ind w:right="181"/>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4500" w:type="dxa"/>
            <w:vAlign w:val="bottom"/>
            <w:shd w:val="clear" w:color="auto" w:fill="E6EDF3"/>
          </w:tcPr>
          <w:p>
            <w:pPr>
              <w:ind w:left="80"/>
              <w:spacing w:after="0"/>
              <w:rPr>
                <w:sz w:val="20"/>
                <w:szCs w:val="20"/>
                <w:color w:val="auto"/>
              </w:rPr>
            </w:pPr>
            <w:r>
              <w:rPr>
                <w:rFonts w:ascii="Arial" w:cs="Arial" w:eastAsia="Arial" w:hAnsi="Arial"/>
                <w:sz w:val="16"/>
                <w:szCs w:val="16"/>
                <w:color w:val="auto"/>
              </w:rPr>
              <w:t>EPS goal (weighted 40%)</w:t>
            </w:r>
          </w:p>
        </w:tc>
        <w:tc>
          <w:tcPr>
            <w:tcW w:w="1940" w:type="dxa"/>
            <w:vAlign w:val="bottom"/>
            <w:shd w:val="clear" w:color="auto" w:fill="E6EDF3"/>
          </w:tcPr>
          <w:p>
            <w:pPr>
              <w:jc w:val="right"/>
              <w:ind w:right="361"/>
              <w:spacing w:after="0"/>
              <w:rPr>
                <w:sz w:val="20"/>
                <w:szCs w:val="20"/>
                <w:color w:val="auto"/>
              </w:rPr>
            </w:pPr>
            <w:r>
              <w:rPr>
                <w:rFonts w:ascii="Arial" w:cs="Arial" w:eastAsia="Arial" w:hAnsi="Arial"/>
                <w:sz w:val="16"/>
                <w:szCs w:val="16"/>
                <w:color w:val="auto"/>
              </w:rPr>
              <w:t>10.0%</w:t>
            </w:r>
          </w:p>
        </w:tc>
        <w:tc>
          <w:tcPr>
            <w:tcW w:w="134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40.0%</w:t>
            </w:r>
          </w:p>
        </w:tc>
        <w:tc>
          <w:tcPr>
            <w:tcW w:w="1480" w:type="dxa"/>
            <w:vAlign w:val="bottom"/>
            <w:shd w:val="clear" w:color="auto" w:fill="E6EDF3"/>
          </w:tcPr>
          <w:p>
            <w:pPr>
              <w:jc w:val="right"/>
              <w:ind w:right="181"/>
              <w:spacing w:after="0"/>
              <w:rPr>
                <w:sz w:val="20"/>
                <w:szCs w:val="20"/>
                <w:color w:val="auto"/>
              </w:rPr>
            </w:pPr>
            <w:r>
              <w:rPr>
                <w:rFonts w:ascii="Arial" w:cs="Arial" w:eastAsia="Arial" w:hAnsi="Arial"/>
                <w:sz w:val="16"/>
                <w:szCs w:val="16"/>
                <w:color w:val="auto"/>
              </w:rPr>
              <w:t>80.0%</w:t>
            </w:r>
          </w:p>
        </w:tc>
      </w:tr>
      <w:tr>
        <w:trPr>
          <w:trHeight w:val="249"/>
        </w:trPr>
        <w:tc>
          <w:tcPr>
            <w:tcW w:w="4500" w:type="dxa"/>
            <w:vAlign w:val="bottom"/>
          </w:tcPr>
          <w:p>
            <w:pPr>
              <w:ind w:left="80"/>
              <w:spacing w:after="0"/>
              <w:rPr>
                <w:sz w:val="20"/>
                <w:szCs w:val="20"/>
                <w:color w:val="auto"/>
              </w:rPr>
            </w:pPr>
            <w:r>
              <w:rPr>
                <w:rFonts w:ascii="Arial" w:cs="Arial" w:eastAsia="Arial" w:hAnsi="Arial"/>
                <w:sz w:val="16"/>
                <w:szCs w:val="16"/>
                <w:color w:val="auto"/>
              </w:rPr>
              <w:t>ROIC goal (weighted 40%)</w:t>
            </w:r>
          </w:p>
        </w:tc>
        <w:tc>
          <w:tcPr>
            <w:tcW w:w="1940" w:type="dxa"/>
            <w:vAlign w:val="bottom"/>
          </w:tcPr>
          <w:p>
            <w:pPr>
              <w:jc w:val="right"/>
              <w:ind w:right="361"/>
              <w:spacing w:after="0"/>
              <w:rPr>
                <w:sz w:val="20"/>
                <w:szCs w:val="20"/>
                <w:color w:val="auto"/>
              </w:rPr>
            </w:pPr>
            <w:r>
              <w:rPr>
                <w:rFonts w:ascii="Arial" w:cs="Arial" w:eastAsia="Arial" w:hAnsi="Arial"/>
                <w:sz w:val="16"/>
                <w:szCs w:val="16"/>
                <w:color w:val="auto"/>
              </w:rPr>
              <w:t>10.0%</w:t>
            </w:r>
          </w:p>
        </w:tc>
        <w:tc>
          <w:tcPr>
            <w:tcW w:w="1340" w:type="dxa"/>
            <w:vAlign w:val="bottom"/>
          </w:tcPr>
          <w:p>
            <w:pPr>
              <w:jc w:val="right"/>
              <w:ind w:right="281"/>
              <w:spacing w:after="0"/>
              <w:rPr>
                <w:sz w:val="20"/>
                <w:szCs w:val="20"/>
                <w:color w:val="auto"/>
              </w:rPr>
            </w:pPr>
            <w:r>
              <w:rPr>
                <w:rFonts w:ascii="Arial" w:cs="Arial" w:eastAsia="Arial" w:hAnsi="Arial"/>
                <w:sz w:val="16"/>
                <w:szCs w:val="16"/>
                <w:color w:val="auto"/>
              </w:rPr>
              <w:t>40.0%</w:t>
            </w:r>
          </w:p>
        </w:tc>
        <w:tc>
          <w:tcPr>
            <w:tcW w:w="1480" w:type="dxa"/>
            <w:vAlign w:val="bottom"/>
          </w:tcPr>
          <w:p>
            <w:pPr>
              <w:jc w:val="right"/>
              <w:ind w:right="181"/>
              <w:spacing w:after="0"/>
              <w:rPr>
                <w:sz w:val="20"/>
                <w:szCs w:val="20"/>
                <w:color w:val="auto"/>
              </w:rPr>
            </w:pPr>
            <w:r>
              <w:rPr>
                <w:rFonts w:ascii="Arial" w:cs="Arial" w:eastAsia="Arial" w:hAnsi="Arial"/>
                <w:sz w:val="16"/>
                <w:szCs w:val="16"/>
                <w:color w:val="auto"/>
              </w:rPr>
              <w:t>80.0%</w:t>
            </w:r>
          </w:p>
        </w:tc>
      </w:tr>
      <w:tr>
        <w:trPr>
          <w:trHeight w:val="264"/>
        </w:trPr>
        <w:tc>
          <w:tcPr>
            <w:tcW w:w="450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 (weighted 20%)</w:t>
            </w:r>
          </w:p>
        </w:tc>
        <w:tc>
          <w:tcPr>
            <w:tcW w:w="1940" w:type="dxa"/>
            <w:vAlign w:val="bottom"/>
            <w:shd w:val="clear" w:color="auto" w:fill="E6EDF3"/>
          </w:tcPr>
          <w:p>
            <w:pPr>
              <w:jc w:val="right"/>
              <w:ind w:right="361"/>
              <w:spacing w:after="0"/>
              <w:rPr>
                <w:sz w:val="20"/>
                <w:szCs w:val="20"/>
                <w:color w:val="auto"/>
              </w:rPr>
            </w:pPr>
            <w:r>
              <w:rPr>
                <w:rFonts w:ascii="Arial" w:cs="Arial" w:eastAsia="Arial" w:hAnsi="Arial"/>
                <w:sz w:val="16"/>
                <w:szCs w:val="16"/>
                <w:color w:val="auto"/>
              </w:rPr>
              <w:t>5.0%</w:t>
            </w:r>
          </w:p>
        </w:tc>
        <w:tc>
          <w:tcPr>
            <w:tcW w:w="134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20.0%</w:t>
            </w:r>
          </w:p>
        </w:tc>
        <w:tc>
          <w:tcPr>
            <w:tcW w:w="1480" w:type="dxa"/>
            <w:vAlign w:val="bottom"/>
            <w:shd w:val="clear" w:color="auto" w:fill="E6EDF3"/>
          </w:tcPr>
          <w:p>
            <w:pPr>
              <w:jc w:val="right"/>
              <w:ind w:right="181"/>
              <w:spacing w:after="0"/>
              <w:rPr>
                <w:sz w:val="20"/>
                <w:szCs w:val="20"/>
                <w:color w:val="auto"/>
              </w:rPr>
            </w:pPr>
            <w:r>
              <w:rPr>
                <w:rFonts w:ascii="Arial" w:cs="Arial" w:eastAsia="Arial" w:hAnsi="Arial"/>
                <w:sz w:val="16"/>
                <w:szCs w:val="16"/>
                <w:color w:val="auto"/>
              </w:rPr>
              <w:t>40.0%</w:t>
            </w:r>
          </w:p>
        </w:tc>
      </w:tr>
      <w:tr>
        <w:trPr>
          <w:trHeight w:val="250"/>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25.0%</w:t>
            </w:r>
          </w:p>
        </w:tc>
        <w:tc>
          <w:tcPr>
            <w:tcW w:w="13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100.0%</w:t>
            </w:r>
          </w:p>
        </w:tc>
        <w:tc>
          <w:tcPr>
            <w:tcW w:w="14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200.0%</w:t>
            </w:r>
          </w:p>
        </w:tc>
      </w:tr>
    </w:tbl>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operating objectives for Mr. Green for 2017 were as follows:</w:t>
      </w:r>
    </w:p>
    <w:p>
      <w:pPr>
        <w:spacing w:after="0" w:line="144" w:lineRule="exact"/>
        <w:rPr>
          <w:sz w:val="20"/>
          <w:szCs w:val="20"/>
          <w:color w:val="auto"/>
        </w:rPr>
      </w:pPr>
    </w:p>
    <w:p>
      <w:pPr>
        <w:ind w:left="640" w:hanging="328"/>
        <w:spacing w:after="0"/>
        <w:tabs>
          <w:tab w:leader="none" w:pos="64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Make progress towards transformation initiatives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Develop diverse leadership that strengthens our capabilities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Accelerate Manpower performance in permanent recruitment globally</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Provide operational and strategic insight that aligns with, and supports, the CEO’s objectives</w:t>
      </w:r>
    </w:p>
    <w:p>
      <w:pPr>
        <w:spacing w:after="0" w:line="144" w:lineRule="exact"/>
        <w:rPr>
          <w:sz w:val="20"/>
          <w:szCs w:val="20"/>
          <w:color w:val="auto"/>
        </w:rPr>
      </w:pPr>
    </w:p>
    <w:p>
      <w:pPr>
        <w:ind w:left="200" w:right="200"/>
        <w:spacing w:after="0" w:line="248" w:lineRule="auto"/>
        <w:rPr>
          <w:sz w:val="20"/>
          <w:szCs w:val="20"/>
          <w:color w:val="auto"/>
        </w:rPr>
      </w:pPr>
      <w:r>
        <w:rPr>
          <w:rFonts w:ascii="Arial" w:cs="Arial" w:eastAsia="Arial" w:hAnsi="Arial"/>
          <w:sz w:val="18"/>
          <w:szCs w:val="18"/>
          <w:color w:val="auto"/>
        </w:rPr>
        <w:t>The Committee determined that Mr. Green earned a cash incentive award for 2017 between target and outstanding for EPS and ROIC. The Committee also approved an incentive award to Mr. Green based on its determination of the level of performance towards achievement of his various operating objectives. Based on these accomplishments, the Committee determined to pay the 2017 award to Mr. Green as follows:</w:t>
      </w:r>
    </w:p>
    <w:p>
      <w:pPr>
        <w:spacing w:after="0" w:line="106"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1320" w:type="dxa"/>
            <w:vAlign w:val="bottom"/>
            <w:tcBorders>
              <w:top w:val="single" w:sz="8" w:color="auto"/>
              <w:bottom w:val="single" w:sz="8" w:color="auto"/>
            </w:tcBorders>
            <w:shd w:val="clear" w:color="auto" w:fill="9DB8D2"/>
          </w:tcPr>
          <w:p>
            <w:pPr>
              <w:spacing w:after="0"/>
              <w:rPr>
                <w:sz w:val="23"/>
                <w:szCs w:val="23"/>
                <w:color w:val="auto"/>
              </w:rPr>
            </w:pPr>
          </w:p>
        </w:tc>
        <w:tc>
          <w:tcPr>
            <w:tcW w:w="6360" w:type="dxa"/>
            <w:vAlign w:val="bottom"/>
            <w:tcBorders>
              <w:top w:val="single" w:sz="8" w:color="auto"/>
              <w:bottom w:val="single" w:sz="8" w:color="auto"/>
            </w:tcBorders>
            <w:shd w:val="clear" w:color="auto" w:fill="9DB8D2"/>
          </w:tcPr>
          <w:p>
            <w:pPr>
              <w:jc w:val="center"/>
              <w:ind w:left="3059"/>
              <w:spacing w:after="0"/>
              <w:rPr>
                <w:sz w:val="20"/>
                <w:szCs w:val="20"/>
                <w:color w:val="auto"/>
              </w:rPr>
            </w:pPr>
            <w:r>
              <w:rPr>
                <w:rFonts w:ascii="Arial" w:cs="Arial" w:eastAsia="Arial" w:hAnsi="Arial"/>
                <w:sz w:val="14"/>
                <w:szCs w:val="14"/>
                <w:b w:val="1"/>
                <w:bCs w:val="1"/>
                <w:color w:val="auto"/>
              </w:rPr>
              <w:t>Target Award</w:t>
            </w:r>
          </w:p>
        </w:tc>
        <w:tc>
          <w:tcPr>
            <w:tcW w:w="1580" w:type="dxa"/>
            <w:vAlign w:val="bottom"/>
            <w:tcBorders>
              <w:top w:val="single" w:sz="8" w:color="auto"/>
              <w:bottom w:val="single" w:sz="8" w:color="auto"/>
            </w:tcBorders>
            <w:shd w:val="clear" w:color="auto" w:fill="9DB8D2"/>
          </w:tcPr>
          <w:p>
            <w:pPr>
              <w:jc w:val="center"/>
              <w:ind w:right="223"/>
              <w:spacing w:after="0"/>
              <w:rPr>
                <w:sz w:val="20"/>
                <w:szCs w:val="20"/>
                <w:color w:val="auto"/>
              </w:rPr>
            </w:pPr>
            <w:r>
              <w:rPr>
                <w:rFonts w:ascii="Arial" w:cs="Arial" w:eastAsia="Arial" w:hAnsi="Arial"/>
                <w:sz w:val="14"/>
                <w:szCs w:val="14"/>
                <w:b w:val="1"/>
                <w:bCs w:val="1"/>
                <w:color w:val="auto"/>
              </w:rPr>
              <w:t>Actual Award</w:t>
            </w:r>
          </w:p>
        </w:tc>
      </w:tr>
      <w:tr>
        <w:trPr>
          <w:trHeight w:val="244"/>
        </w:trPr>
        <w:tc>
          <w:tcPr>
            <w:tcW w:w="132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COO</w:t>
            </w:r>
          </w:p>
        </w:tc>
        <w:tc>
          <w:tcPr>
            <w:tcW w:w="6360" w:type="dxa"/>
            <w:vAlign w:val="bottom"/>
            <w:tcBorders>
              <w:bottom w:val="single" w:sz="8" w:color="auto"/>
            </w:tcBorders>
            <w:shd w:val="clear" w:color="auto" w:fill="E6EDF3"/>
          </w:tcPr>
          <w:p>
            <w:pPr>
              <w:jc w:val="right"/>
              <w:ind w:right="1199"/>
              <w:spacing w:after="0"/>
              <w:rPr>
                <w:sz w:val="20"/>
                <w:szCs w:val="20"/>
                <w:color w:val="auto"/>
              </w:rPr>
            </w:pPr>
            <w:r>
              <w:rPr>
                <w:rFonts w:ascii="Arial" w:cs="Arial" w:eastAsia="Arial" w:hAnsi="Arial"/>
                <w:sz w:val="16"/>
                <w:szCs w:val="16"/>
                <w:color w:val="auto"/>
              </w:rPr>
              <w:t>$ 850,000</w:t>
            </w:r>
          </w:p>
        </w:tc>
        <w:tc>
          <w:tcPr>
            <w:tcW w:w="1580" w:type="dxa"/>
            <w:vAlign w:val="bottom"/>
            <w:tcBorders>
              <w:bottom w:val="single" w:sz="8" w:color="auto"/>
            </w:tcBorders>
            <w:shd w:val="clear" w:color="auto" w:fill="E6EDF3"/>
          </w:tcPr>
          <w:p>
            <w:pPr>
              <w:jc w:val="right"/>
              <w:ind w:right="463"/>
              <w:spacing w:after="0"/>
              <w:rPr>
                <w:sz w:val="20"/>
                <w:szCs w:val="20"/>
                <w:color w:val="auto"/>
              </w:rPr>
            </w:pPr>
            <w:r>
              <w:rPr>
                <w:rFonts w:ascii="Arial" w:cs="Arial" w:eastAsia="Arial" w:hAnsi="Arial"/>
                <w:sz w:val="16"/>
                <w:szCs w:val="16"/>
                <w:color w:val="auto"/>
              </w:rPr>
              <w:t>$ 1,004,360</w:t>
            </w:r>
          </w:p>
        </w:tc>
      </w:tr>
      <w:tr>
        <w:trPr>
          <w:trHeight w:val="377"/>
        </w:trPr>
        <w:tc>
          <w:tcPr>
            <w:tcW w:w="1320" w:type="dxa"/>
            <w:vAlign w:val="bottom"/>
          </w:tcPr>
          <w:p>
            <w:pPr>
              <w:spacing w:after="0"/>
              <w:rPr>
                <w:sz w:val="24"/>
                <w:szCs w:val="24"/>
                <w:color w:val="auto"/>
              </w:rPr>
            </w:pPr>
          </w:p>
        </w:tc>
        <w:tc>
          <w:tcPr>
            <w:tcW w:w="6360" w:type="dxa"/>
            <w:vAlign w:val="bottom"/>
          </w:tcPr>
          <w:p>
            <w:pPr>
              <w:ind w:left="880"/>
              <w:spacing w:after="0"/>
              <w:rPr>
                <w:sz w:val="20"/>
                <w:szCs w:val="20"/>
                <w:color w:val="auto"/>
              </w:rPr>
            </w:pPr>
            <w:r>
              <w:rPr>
                <w:rFonts w:ascii="Arial" w:cs="Arial" w:eastAsia="Arial" w:hAnsi="Arial"/>
                <w:sz w:val="18"/>
                <w:szCs w:val="18"/>
                <w:b w:val="1"/>
                <w:bCs w:val="1"/>
                <w:i w:val="1"/>
                <w:iCs w:val="1"/>
                <w:color w:val="5D89B4"/>
              </w:rPr>
              <w:t>Ram Chandrashekar — Annual Incentive Award Opportunities</w:t>
            </w:r>
          </w:p>
        </w:tc>
        <w:tc>
          <w:tcPr>
            <w:tcW w:w="1580" w:type="dxa"/>
            <w:vAlign w:val="bottom"/>
          </w:tcPr>
          <w:p>
            <w:pPr>
              <w:spacing w:after="0"/>
              <w:rPr>
                <w:sz w:val="24"/>
                <w:szCs w:val="24"/>
                <w:color w:val="auto"/>
              </w:rPr>
            </w:pPr>
          </w:p>
        </w:tc>
      </w:tr>
    </w:tbl>
    <w:p>
      <w:pPr>
        <w:spacing w:after="0" w:line="87" w:lineRule="exact"/>
        <w:rPr>
          <w:sz w:val="20"/>
          <w:szCs w:val="20"/>
          <w:color w:val="auto"/>
        </w:rPr>
      </w:pPr>
    </w:p>
    <w:p>
      <w:pPr>
        <w:ind w:left="200" w:right="120"/>
        <w:spacing w:after="0" w:line="276" w:lineRule="auto"/>
        <w:rPr>
          <w:sz w:val="20"/>
          <w:szCs w:val="20"/>
          <w:color w:val="auto"/>
        </w:rPr>
      </w:pPr>
      <w:r>
        <w:rPr>
          <w:rFonts w:ascii="Arial" w:cs="Arial" w:eastAsia="Arial" w:hAnsi="Arial"/>
          <w:sz w:val="18"/>
          <w:szCs w:val="18"/>
          <w:color w:val="auto"/>
        </w:rPr>
        <w:t>The Committee determined that EPS, ROIC and AOUP were the appropriate performance metrics for Mr. Chandrashekar, Executive Vice President, Operational Excellence and IT, and President, Asia Pacific Middle East.</w:t>
      </w:r>
    </w:p>
    <w:p>
      <w:pPr>
        <w:spacing w:after="0" w:line="78" w:lineRule="exact"/>
        <w:rPr>
          <w:sz w:val="20"/>
          <w:szCs w:val="20"/>
          <w:color w:val="auto"/>
        </w:rPr>
      </w:pPr>
    </w:p>
    <w:p>
      <w:pPr>
        <w:ind w:left="200"/>
        <w:spacing w:after="0" w:line="276"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Chandrashekar for 2017, as a percentage of his 2017 base salary of $627,849:</w:t>
      </w:r>
    </w:p>
    <w:p>
      <w:pPr>
        <w:spacing w:after="0" w:line="175"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340" w:type="dxa"/>
            <w:vAlign w:val="bottom"/>
            <w:tcBorders>
              <w:top w:val="single" w:sz="8" w:color="auto"/>
              <w:bottom w:val="single" w:sz="8" w:color="auto"/>
            </w:tcBorders>
            <w:shd w:val="clear" w:color="auto" w:fill="9DB8D2"/>
          </w:tcPr>
          <w:p>
            <w:pPr>
              <w:spacing w:after="0"/>
              <w:rPr>
                <w:sz w:val="23"/>
                <w:szCs w:val="23"/>
                <w:color w:val="auto"/>
              </w:rPr>
            </w:pPr>
          </w:p>
        </w:tc>
        <w:tc>
          <w:tcPr>
            <w:tcW w:w="2000" w:type="dxa"/>
            <w:vAlign w:val="bottom"/>
            <w:tcBorders>
              <w:top w:val="single" w:sz="8" w:color="auto"/>
              <w:bottom w:val="single" w:sz="8" w:color="auto"/>
            </w:tcBorders>
            <w:shd w:val="clear" w:color="auto" w:fill="9DB8D2"/>
          </w:tcPr>
          <w:p>
            <w:pPr>
              <w:jc w:val="right"/>
              <w:ind w:right="360"/>
              <w:spacing w:after="0"/>
              <w:rPr>
                <w:sz w:val="20"/>
                <w:szCs w:val="20"/>
                <w:color w:val="auto"/>
              </w:rPr>
            </w:pPr>
            <w:r>
              <w:rPr>
                <w:rFonts w:ascii="Arial" w:cs="Arial" w:eastAsia="Arial" w:hAnsi="Arial"/>
                <w:sz w:val="14"/>
                <w:szCs w:val="14"/>
                <w:b w:val="1"/>
                <w:bCs w:val="1"/>
                <w:color w:val="auto"/>
              </w:rPr>
              <w:t>Threshold</w:t>
            </w:r>
          </w:p>
        </w:tc>
        <w:tc>
          <w:tcPr>
            <w:tcW w:w="1360" w:type="dxa"/>
            <w:vAlign w:val="bottom"/>
            <w:tcBorders>
              <w:top w:val="single" w:sz="8" w:color="auto"/>
              <w:bottom w:val="single" w:sz="8" w:color="auto"/>
            </w:tcBorders>
            <w:shd w:val="clear" w:color="auto" w:fill="9DB8D2"/>
          </w:tcPr>
          <w:p>
            <w:pPr>
              <w:jc w:val="right"/>
              <w:ind w:right="420"/>
              <w:spacing w:after="0"/>
              <w:rPr>
                <w:sz w:val="20"/>
                <w:szCs w:val="20"/>
                <w:color w:val="auto"/>
              </w:rPr>
            </w:pPr>
            <w:r>
              <w:rPr>
                <w:rFonts w:ascii="Arial" w:cs="Arial" w:eastAsia="Arial" w:hAnsi="Arial"/>
                <w:sz w:val="14"/>
                <w:szCs w:val="14"/>
                <w:b w:val="1"/>
                <w:bCs w:val="1"/>
                <w:color w:val="auto"/>
              </w:rPr>
              <w:t>Target</w:t>
            </w:r>
          </w:p>
        </w:tc>
        <w:tc>
          <w:tcPr>
            <w:tcW w:w="1560" w:type="dxa"/>
            <w:vAlign w:val="bottom"/>
            <w:tcBorders>
              <w:top w:val="single" w:sz="8" w:color="auto"/>
              <w:bottom w:val="single" w:sz="8" w:color="auto"/>
            </w:tcBorders>
            <w:shd w:val="clear" w:color="auto" w:fill="9DB8D2"/>
          </w:tcPr>
          <w:p>
            <w:pPr>
              <w:jc w:val="right"/>
              <w:ind w:right="220"/>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4340" w:type="dxa"/>
            <w:vAlign w:val="bottom"/>
            <w:shd w:val="clear" w:color="auto" w:fill="E6EDF3"/>
          </w:tcPr>
          <w:p>
            <w:pPr>
              <w:ind w:left="80"/>
              <w:spacing w:after="0"/>
              <w:rPr>
                <w:sz w:val="20"/>
                <w:szCs w:val="20"/>
                <w:color w:val="auto"/>
              </w:rPr>
            </w:pPr>
            <w:r>
              <w:rPr>
                <w:rFonts w:ascii="Arial" w:cs="Arial" w:eastAsia="Arial" w:hAnsi="Arial"/>
                <w:sz w:val="16"/>
                <w:szCs w:val="16"/>
                <w:color w:val="auto"/>
              </w:rPr>
              <w:t>AOUP goal (weighted 40%)</w:t>
            </w:r>
          </w:p>
        </w:tc>
        <w:tc>
          <w:tcPr>
            <w:tcW w:w="2000" w:type="dxa"/>
            <w:vAlign w:val="bottom"/>
            <w:shd w:val="clear" w:color="auto" w:fill="E6EDF3"/>
          </w:tcPr>
          <w:p>
            <w:pPr>
              <w:jc w:val="right"/>
              <w:ind w:right="360"/>
              <w:spacing w:after="0"/>
              <w:rPr>
                <w:sz w:val="20"/>
                <w:szCs w:val="20"/>
                <w:color w:val="auto"/>
              </w:rPr>
            </w:pPr>
            <w:r>
              <w:rPr>
                <w:rFonts w:ascii="Arial" w:cs="Arial" w:eastAsia="Arial" w:hAnsi="Arial"/>
                <w:sz w:val="16"/>
                <w:szCs w:val="16"/>
                <w:color w:val="auto"/>
              </w:rPr>
              <w:t>10.0%</w:t>
            </w:r>
          </w:p>
        </w:tc>
        <w:tc>
          <w:tcPr>
            <w:tcW w:w="1360" w:type="dxa"/>
            <w:vAlign w:val="bottom"/>
            <w:shd w:val="clear" w:color="auto" w:fill="E6EDF3"/>
          </w:tcPr>
          <w:p>
            <w:pPr>
              <w:jc w:val="right"/>
              <w:ind w:right="360"/>
              <w:spacing w:after="0"/>
              <w:rPr>
                <w:sz w:val="20"/>
                <w:szCs w:val="20"/>
                <w:color w:val="auto"/>
              </w:rPr>
            </w:pPr>
            <w:r>
              <w:rPr>
                <w:rFonts w:ascii="Arial" w:cs="Arial" w:eastAsia="Arial" w:hAnsi="Arial"/>
                <w:sz w:val="16"/>
                <w:szCs w:val="16"/>
                <w:color w:val="auto"/>
              </w:rPr>
              <w:t>30.0%</w:t>
            </w:r>
          </w:p>
        </w:tc>
        <w:tc>
          <w:tcPr>
            <w:tcW w:w="1560" w:type="dxa"/>
            <w:vAlign w:val="bottom"/>
            <w:shd w:val="clear" w:color="auto" w:fill="E6EDF3"/>
          </w:tcPr>
          <w:p>
            <w:pPr>
              <w:jc w:val="right"/>
              <w:ind w:right="220"/>
              <w:spacing w:after="0"/>
              <w:rPr>
                <w:sz w:val="20"/>
                <w:szCs w:val="20"/>
                <w:color w:val="auto"/>
              </w:rPr>
            </w:pPr>
            <w:r>
              <w:rPr>
                <w:rFonts w:ascii="Arial" w:cs="Arial" w:eastAsia="Arial" w:hAnsi="Arial"/>
                <w:sz w:val="16"/>
                <w:szCs w:val="16"/>
                <w:color w:val="auto"/>
              </w:rPr>
              <w:t>60.0%</w:t>
            </w:r>
          </w:p>
        </w:tc>
      </w:tr>
      <w:tr>
        <w:trPr>
          <w:trHeight w:val="249"/>
        </w:trPr>
        <w:tc>
          <w:tcPr>
            <w:tcW w:w="4340" w:type="dxa"/>
            <w:vAlign w:val="bottom"/>
          </w:tcPr>
          <w:p>
            <w:pPr>
              <w:ind w:left="80"/>
              <w:spacing w:after="0"/>
              <w:rPr>
                <w:sz w:val="20"/>
                <w:szCs w:val="20"/>
                <w:color w:val="auto"/>
              </w:rPr>
            </w:pPr>
            <w:r>
              <w:rPr>
                <w:rFonts w:ascii="Arial" w:cs="Arial" w:eastAsia="Arial" w:hAnsi="Arial"/>
                <w:sz w:val="16"/>
                <w:szCs w:val="16"/>
                <w:color w:val="auto"/>
              </w:rPr>
              <w:t>EPS goal (weighted 20%)</w:t>
            </w:r>
          </w:p>
        </w:tc>
        <w:tc>
          <w:tcPr>
            <w:tcW w:w="2000" w:type="dxa"/>
            <w:vAlign w:val="bottom"/>
          </w:tcPr>
          <w:p>
            <w:pPr>
              <w:jc w:val="right"/>
              <w:ind w:right="360"/>
              <w:spacing w:after="0"/>
              <w:rPr>
                <w:sz w:val="20"/>
                <w:szCs w:val="20"/>
                <w:color w:val="auto"/>
              </w:rPr>
            </w:pPr>
            <w:r>
              <w:rPr>
                <w:rFonts w:ascii="Arial" w:cs="Arial" w:eastAsia="Arial" w:hAnsi="Arial"/>
                <w:sz w:val="16"/>
                <w:szCs w:val="16"/>
                <w:color w:val="auto"/>
              </w:rPr>
              <w:t>5.0%</w:t>
            </w:r>
          </w:p>
        </w:tc>
        <w:tc>
          <w:tcPr>
            <w:tcW w:w="1360" w:type="dxa"/>
            <w:vAlign w:val="bottom"/>
          </w:tcPr>
          <w:p>
            <w:pPr>
              <w:jc w:val="right"/>
              <w:ind w:right="360"/>
              <w:spacing w:after="0"/>
              <w:rPr>
                <w:sz w:val="20"/>
                <w:szCs w:val="20"/>
                <w:color w:val="auto"/>
              </w:rPr>
            </w:pPr>
            <w:r>
              <w:rPr>
                <w:rFonts w:ascii="Arial" w:cs="Arial" w:eastAsia="Arial" w:hAnsi="Arial"/>
                <w:sz w:val="16"/>
                <w:szCs w:val="16"/>
                <w:color w:val="auto"/>
              </w:rPr>
              <w:t>15.0%</w:t>
            </w:r>
          </w:p>
        </w:tc>
        <w:tc>
          <w:tcPr>
            <w:tcW w:w="1560" w:type="dxa"/>
            <w:vAlign w:val="bottom"/>
          </w:tcPr>
          <w:p>
            <w:pPr>
              <w:jc w:val="right"/>
              <w:ind w:right="220"/>
              <w:spacing w:after="0"/>
              <w:rPr>
                <w:sz w:val="20"/>
                <w:szCs w:val="20"/>
                <w:color w:val="auto"/>
              </w:rPr>
            </w:pPr>
            <w:r>
              <w:rPr>
                <w:rFonts w:ascii="Arial" w:cs="Arial" w:eastAsia="Arial" w:hAnsi="Arial"/>
                <w:sz w:val="16"/>
                <w:szCs w:val="16"/>
                <w:color w:val="auto"/>
              </w:rPr>
              <w:t>30.0%</w:t>
            </w:r>
          </w:p>
        </w:tc>
      </w:tr>
      <w:tr>
        <w:trPr>
          <w:trHeight w:val="264"/>
        </w:trPr>
        <w:tc>
          <w:tcPr>
            <w:tcW w:w="4340" w:type="dxa"/>
            <w:vAlign w:val="bottom"/>
            <w:shd w:val="clear" w:color="auto" w:fill="E6EDF3"/>
          </w:tcPr>
          <w:p>
            <w:pPr>
              <w:ind w:left="80"/>
              <w:spacing w:after="0"/>
              <w:rPr>
                <w:sz w:val="20"/>
                <w:szCs w:val="20"/>
                <w:color w:val="auto"/>
              </w:rPr>
            </w:pPr>
            <w:r>
              <w:rPr>
                <w:rFonts w:ascii="Arial" w:cs="Arial" w:eastAsia="Arial" w:hAnsi="Arial"/>
                <w:sz w:val="16"/>
                <w:szCs w:val="16"/>
                <w:color w:val="auto"/>
              </w:rPr>
              <w:t>ROIC goal (weighted 20%)</w:t>
            </w:r>
          </w:p>
        </w:tc>
        <w:tc>
          <w:tcPr>
            <w:tcW w:w="2000" w:type="dxa"/>
            <w:vAlign w:val="bottom"/>
            <w:shd w:val="clear" w:color="auto" w:fill="E6EDF3"/>
          </w:tcPr>
          <w:p>
            <w:pPr>
              <w:jc w:val="right"/>
              <w:ind w:right="360"/>
              <w:spacing w:after="0"/>
              <w:rPr>
                <w:sz w:val="20"/>
                <w:szCs w:val="20"/>
                <w:color w:val="auto"/>
              </w:rPr>
            </w:pPr>
            <w:r>
              <w:rPr>
                <w:rFonts w:ascii="Arial" w:cs="Arial" w:eastAsia="Arial" w:hAnsi="Arial"/>
                <w:sz w:val="16"/>
                <w:szCs w:val="16"/>
                <w:color w:val="auto"/>
              </w:rPr>
              <w:t>5.0%</w:t>
            </w:r>
          </w:p>
        </w:tc>
        <w:tc>
          <w:tcPr>
            <w:tcW w:w="1360" w:type="dxa"/>
            <w:vAlign w:val="bottom"/>
            <w:shd w:val="clear" w:color="auto" w:fill="E6EDF3"/>
          </w:tcPr>
          <w:p>
            <w:pPr>
              <w:jc w:val="right"/>
              <w:ind w:right="360"/>
              <w:spacing w:after="0"/>
              <w:rPr>
                <w:sz w:val="20"/>
                <w:szCs w:val="20"/>
                <w:color w:val="auto"/>
              </w:rPr>
            </w:pPr>
            <w:r>
              <w:rPr>
                <w:rFonts w:ascii="Arial" w:cs="Arial" w:eastAsia="Arial" w:hAnsi="Arial"/>
                <w:sz w:val="16"/>
                <w:szCs w:val="16"/>
                <w:color w:val="auto"/>
              </w:rPr>
              <w:t>15.0%</w:t>
            </w:r>
          </w:p>
        </w:tc>
        <w:tc>
          <w:tcPr>
            <w:tcW w:w="1560" w:type="dxa"/>
            <w:vAlign w:val="bottom"/>
            <w:shd w:val="clear" w:color="auto" w:fill="E6EDF3"/>
          </w:tcPr>
          <w:p>
            <w:pPr>
              <w:jc w:val="right"/>
              <w:ind w:right="220"/>
              <w:spacing w:after="0"/>
              <w:rPr>
                <w:sz w:val="20"/>
                <w:szCs w:val="20"/>
                <w:color w:val="auto"/>
              </w:rPr>
            </w:pPr>
            <w:r>
              <w:rPr>
                <w:rFonts w:ascii="Arial" w:cs="Arial" w:eastAsia="Arial" w:hAnsi="Arial"/>
                <w:sz w:val="16"/>
                <w:szCs w:val="16"/>
                <w:color w:val="auto"/>
              </w:rPr>
              <w:t>30.0%</w:t>
            </w:r>
          </w:p>
        </w:tc>
      </w:tr>
      <w:tr>
        <w:trPr>
          <w:trHeight w:val="249"/>
        </w:trPr>
        <w:tc>
          <w:tcPr>
            <w:tcW w:w="4340" w:type="dxa"/>
            <w:vAlign w:val="bottom"/>
          </w:tcPr>
          <w:p>
            <w:pPr>
              <w:ind w:left="80"/>
              <w:spacing w:after="0"/>
              <w:rPr>
                <w:sz w:val="20"/>
                <w:szCs w:val="20"/>
                <w:color w:val="auto"/>
              </w:rPr>
            </w:pPr>
            <w:r>
              <w:rPr>
                <w:rFonts w:ascii="Arial" w:cs="Arial" w:eastAsia="Arial" w:hAnsi="Arial"/>
                <w:sz w:val="16"/>
                <w:szCs w:val="16"/>
                <w:color w:val="auto"/>
              </w:rPr>
              <w:t>Operating Objectives (weighted 20%)</w:t>
            </w:r>
          </w:p>
        </w:tc>
        <w:tc>
          <w:tcPr>
            <w:tcW w:w="2000" w:type="dxa"/>
            <w:vAlign w:val="bottom"/>
          </w:tcPr>
          <w:p>
            <w:pPr>
              <w:jc w:val="right"/>
              <w:ind w:right="360"/>
              <w:spacing w:after="0"/>
              <w:rPr>
                <w:sz w:val="20"/>
                <w:szCs w:val="20"/>
                <w:color w:val="auto"/>
              </w:rPr>
            </w:pPr>
            <w:r>
              <w:rPr>
                <w:rFonts w:ascii="Arial" w:cs="Arial" w:eastAsia="Arial" w:hAnsi="Arial"/>
                <w:sz w:val="16"/>
                <w:szCs w:val="16"/>
                <w:color w:val="auto"/>
              </w:rPr>
              <w:t>5.0%</w:t>
            </w:r>
          </w:p>
        </w:tc>
        <w:tc>
          <w:tcPr>
            <w:tcW w:w="1360" w:type="dxa"/>
            <w:vAlign w:val="bottom"/>
          </w:tcPr>
          <w:p>
            <w:pPr>
              <w:jc w:val="right"/>
              <w:ind w:right="360"/>
              <w:spacing w:after="0"/>
              <w:rPr>
                <w:sz w:val="20"/>
                <w:szCs w:val="20"/>
                <w:color w:val="auto"/>
              </w:rPr>
            </w:pPr>
            <w:r>
              <w:rPr>
                <w:rFonts w:ascii="Arial" w:cs="Arial" w:eastAsia="Arial" w:hAnsi="Arial"/>
                <w:sz w:val="16"/>
                <w:szCs w:val="16"/>
                <w:color w:val="auto"/>
              </w:rPr>
              <w:t>15.0%</w:t>
            </w:r>
          </w:p>
        </w:tc>
        <w:tc>
          <w:tcPr>
            <w:tcW w:w="1560" w:type="dxa"/>
            <w:vAlign w:val="bottom"/>
          </w:tcPr>
          <w:p>
            <w:pPr>
              <w:jc w:val="right"/>
              <w:ind w:right="220"/>
              <w:spacing w:after="0"/>
              <w:rPr>
                <w:sz w:val="20"/>
                <w:szCs w:val="20"/>
                <w:color w:val="auto"/>
              </w:rPr>
            </w:pPr>
            <w:r>
              <w:rPr>
                <w:rFonts w:ascii="Arial" w:cs="Arial" w:eastAsia="Arial" w:hAnsi="Arial"/>
                <w:sz w:val="16"/>
                <w:szCs w:val="16"/>
                <w:color w:val="auto"/>
              </w:rPr>
              <w:t>30.0%</w:t>
            </w:r>
          </w:p>
        </w:tc>
      </w:tr>
      <w:tr>
        <w:trPr>
          <w:trHeight w:val="258"/>
        </w:trPr>
        <w:tc>
          <w:tcPr>
            <w:tcW w:w="434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Total</w:t>
            </w:r>
          </w:p>
        </w:tc>
        <w:tc>
          <w:tcPr>
            <w:tcW w:w="2000" w:type="dxa"/>
            <w:vAlign w:val="bottom"/>
            <w:tcBorders>
              <w:bottom w:val="single" w:sz="8" w:color="auto"/>
            </w:tcBorders>
            <w:shd w:val="clear" w:color="auto" w:fill="E6EDF3"/>
          </w:tcPr>
          <w:p>
            <w:pPr>
              <w:jc w:val="right"/>
              <w:ind w:right="360"/>
              <w:spacing w:after="0"/>
              <w:rPr>
                <w:sz w:val="20"/>
                <w:szCs w:val="20"/>
                <w:color w:val="auto"/>
              </w:rPr>
            </w:pPr>
            <w:r>
              <w:rPr>
                <w:rFonts w:ascii="Arial" w:cs="Arial" w:eastAsia="Arial" w:hAnsi="Arial"/>
                <w:sz w:val="16"/>
                <w:szCs w:val="16"/>
                <w:color w:val="auto"/>
              </w:rPr>
              <w:t>25.0%</w:t>
            </w:r>
          </w:p>
        </w:tc>
        <w:tc>
          <w:tcPr>
            <w:tcW w:w="1360" w:type="dxa"/>
            <w:vAlign w:val="bottom"/>
            <w:tcBorders>
              <w:bottom w:val="single" w:sz="8" w:color="auto"/>
            </w:tcBorders>
            <w:shd w:val="clear" w:color="auto" w:fill="E6EDF3"/>
          </w:tcPr>
          <w:p>
            <w:pPr>
              <w:jc w:val="right"/>
              <w:ind w:right="360"/>
              <w:spacing w:after="0"/>
              <w:rPr>
                <w:sz w:val="20"/>
                <w:szCs w:val="20"/>
                <w:color w:val="auto"/>
              </w:rPr>
            </w:pPr>
            <w:r>
              <w:rPr>
                <w:rFonts w:ascii="Arial" w:cs="Arial" w:eastAsia="Arial" w:hAnsi="Arial"/>
                <w:sz w:val="16"/>
                <w:szCs w:val="16"/>
                <w:color w:val="auto"/>
              </w:rPr>
              <w:t>75.0%</w:t>
            </w:r>
          </w:p>
        </w:tc>
        <w:tc>
          <w:tcPr>
            <w:tcW w:w="1560" w:type="dxa"/>
            <w:vAlign w:val="bottom"/>
            <w:tcBorders>
              <w:bottom w:val="single" w:sz="8" w:color="auto"/>
            </w:tcBorders>
            <w:shd w:val="clear" w:color="auto" w:fill="E6EDF3"/>
          </w:tcPr>
          <w:p>
            <w:pPr>
              <w:jc w:val="right"/>
              <w:ind w:right="220"/>
              <w:spacing w:after="0"/>
              <w:rPr>
                <w:sz w:val="20"/>
                <w:szCs w:val="20"/>
                <w:color w:val="auto"/>
              </w:rPr>
            </w:pPr>
            <w:r>
              <w:rPr>
                <w:rFonts w:ascii="Arial" w:cs="Arial" w:eastAsia="Arial" w:hAnsi="Arial"/>
                <w:sz w:val="16"/>
                <w:szCs w:val="16"/>
                <w:color w:val="auto"/>
              </w:rPr>
              <w:t>150.0%</w:t>
            </w:r>
          </w:p>
        </w:tc>
      </w:tr>
    </w:tbl>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operating objectives for Mr. Chandrashekar for 2017 are as follows:</w:t>
      </w:r>
    </w:p>
    <w:p>
      <w:pPr>
        <w:spacing w:after="0" w:line="144" w:lineRule="exact"/>
        <w:rPr>
          <w:sz w:val="20"/>
          <w:szCs w:val="20"/>
          <w:color w:val="auto"/>
        </w:rPr>
      </w:pPr>
    </w:p>
    <w:p>
      <w:pPr>
        <w:ind w:left="640" w:hanging="328"/>
        <w:spacing w:after="0"/>
        <w:tabs>
          <w:tab w:leader="none" w:pos="64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Make progress towards transformation initiatives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Develop diverse leadership that strengthens our capabilities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Drive continuing transformation of IT operating model and platform to enhance governance and accelerate business performance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44</w:t>
      </w:r>
    </w:p>
    <w:p>
      <w:pPr>
        <w:sectPr>
          <w:pgSz w:w="11900" w:h="16838" w:orient="portrait"/>
          <w:cols w:equalWidth="0" w:num="1">
            <w:col w:w="11220"/>
          </w:cols>
          <w:pgMar w:left="240" w:top="455"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320" w:lineRule="exact"/>
        <w:rPr>
          <w:sz w:val="20"/>
          <w:szCs w:val="20"/>
          <w:color w:val="auto"/>
        </w:rPr>
      </w:pPr>
    </w:p>
    <w:p>
      <w:pPr>
        <w:ind w:left="640" w:hanging="328"/>
        <w:spacing w:after="0"/>
        <w:tabs>
          <w:tab w:leader="none" w:pos="640" w:val="left"/>
        </w:tabs>
        <w:numPr>
          <w:ilvl w:val="0"/>
          <w:numId w:val="53"/>
        </w:numPr>
        <w:rPr>
          <w:rFonts w:ascii="Arial" w:cs="Arial" w:eastAsia="Arial" w:hAnsi="Arial"/>
          <w:sz w:val="18"/>
          <w:szCs w:val="18"/>
          <w:color w:val="5D89B4"/>
        </w:rPr>
      </w:pPr>
      <w:r>
        <w:rPr>
          <w:rFonts w:ascii="Arial" w:cs="Arial" w:eastAsia="Arial" w:hAnsi="Arial"/>
          <w:sz w:val="18"/>
          <w:szCs w:val="18"/>
          <w:color w:val="auto"/>
        </w:rPr>
        <w:t>Enhance the Company’s ability to identify and execute digital and analytics projects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3"/>
        </w:numPr>
        <w:rPr>
          <w:rFonts w:ascii="Arial" w:cs="Arial" w:eastAsia="Arial" w:hAnsi="Arial"/>
          <w:sz w:val="18"/>
          <w:szCs w:val="18"/>
          <w:color w:val="5D89B4"/>
        </w:rPr>
      </w:pPr>
      <w:r>
        <w:rPr>
          <w:rFonts w:ascii="Arial" w:cs="Arial" w:eastAsia="Arial" w:hAnsi="Arial"/>
          <w:sz w:val="18"/>
          <w:szCs w:val="18"/>
          <w:color w:val="auto"/>
        </w:rPr>
        <w:t>Accelerate the development of the Experis brand, achieving operational and strategic plan objectives</w:t>
      </w:r>
    </w:p>
    <w:p>
      <w:pPr>
        <w:spacing w:after="0" w:line="144"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color w:val="auto"/>
        </w:rPr>
        <w:t>The Committee determined that Mr. Chandrashekar earned a cash incentive award for 2017 between target and outstanding for both EPS and ROIC and between target and outstanding for AOUP. The Committee also approved an incentive award for Mr. Chandrashekar based on its determination of the level of performance towards achievement of his operating objectives. Based on these accomplishments, the Committee determined to pay the 2017 award to Mr. Chandrashekar as follows:</w:t>
      </w:r>
    </w:p>
    <w:p>
      <w:pPr>
        <w:spacing w:after="0" w:line="106"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360" w:type="dxa"/>
            <w:vAlign w:val="bottom"/>
            <w:tcBorders>
              <w:top w:val="single" w:sz="8" w:color="auto"/>
              <w:bottom w:val="single" w:sz="8" w:color="auto"/>
            </w:tcBorders>
            <w:shd w:val="clear" w:color="auto" w:fill="9DB8D2"/>
          </w:tcPr>
          <w:p>
            <w:pPr>
              <w:spacing w:after="0"/>
              <w:rPr>
                <w:sz w:val="23"/>
                <w:szCs w:val="23"/>
                <w:color w:val="auto"/>
              </w:rPr>
            </w:pPr>
          </w:p>
        </w:tc>
        <w:tc>
          <w:tcPr>
            <w:tcW w:w="2720" w:type="dxa"/>
            <w:vAlign w:val="bottom"/>
            <w:tcBorders>
              <w:top w:val="single" w:sz="8" w:color="auto"/>
              <w:bottom w:val="single" w:sz="8" w:color="auto"/>
            </w:tcBorders>
            <w:shd w:val="clear" w:color="auto" w:fill="9DB8D2"/>
          </w:tcPr>
          <w:p>
            <w:pPr>
              <w:jc w:val="center"/>
              <w:ind w:left="243"/>
              <w:spacing w:after="0"/>
              <w:rPr>
                <w:sz w:val="20"/>
                <w:szCs w:val="20"/>
                <w:color w:val="auto"/>
              </w:rPr>
            </w:pPr>
            <w:r>
              <w:rPr>
                <w:rFonts w:ascii="Arial" w:cs="Arial" w:eastAsia="Arial" w:hAnsi="Arial"/>
                <w:sz w:val="14"/>
                <w:szCs w:val="14"/>
                <w:b w:val="1"/>
                <w:bCs w:val="1"/>
                <w:color w:val="auto"/>
              </w:rPr>
              <w:t>Target Award(1)</w:t>
            </w:r>
          </w:p>
        </w:tc>
        <w:tc>
          <w:tcPr>
            <w:tcW w:w="2180" w:type="dxa"/>
            <w:vAlign w:val="bottom"/>
            <w:tcBorders>
              <w:top w:val="single" w:sz="8" w:color="auto"/>
              <w:bottom w:val="single" w:sz="8" w:color="auto"/>
            </w:tcBorders>
            <w:shd w:val="clear" w:color="auto" w:fill="9DB8D2"/>
          </w:tcPr>
          <w:p>
            <w:pPr>
              <w:jc w:val="center"/>
              <w:ind w:left="163"/>
              <w:spacing w:after="0"/>
              <w:rPr>
                <w:sz w:val="20"/>
                <w:szCs w:val="20"/>
                <w:color w:val="auto"/>
              </w:rPr>
            </w:pPr>
            <w:r>
              <w:rPr>
                <w:rFonts w:ascii="Arial" w:cs="Arial" w:eastAsia="Arial" w:hAnsi="Arial"/>
                <w:sz w:val="14"/>
                <w:szCs w:val="14"/>
                <w:b w:val="1"/>
                <w:bCs w:val="1"/>
                <w:color w:val="auto"/>
              </w:rPr>
              <w:t>Actual Award(1)</w:t>
            </w:r>
          </w:p>
        </w:tc>
      </w:tr>
      <w:tr>
        <w:trPr>
          <w:trHeight w:val="205"/>
        </w:trPr>
        <w:tc>
          <w:tcPr>
            <w:tcW w:w="4360" w:type="dxa"/>
            <w:vAlign w:val="bottom"/>
            <w:shd w:val="clear" w:color="auto" w:fill="E6EDF3"/>
          </w:tcPr>
          <w:p>
            <w:pPr>
              <w:ind w:left="80"/>
              <w:spacing w:after="0"/>
              <w:rPr>
                <w:sz w:val="20"/>
                <w:szCs w:val="20"/>
                <w:color w:val="auto"/>
              </w:rPr>
            </w:pPr>
            <w:r>
              <w:rPr>
                <w:rFonts w:ascii="Arial" w:cs="Arial" w:eastAsia="Arial" w:hAnsi="Arial"/>
                <w:sz w:val="16"/>
                <w:szCs w:val="16"/>
                <w:color w:val="auto"/>
              </w:rPr>
              <w:t>EVP, Operational Excellence and IT, and President, Asia</w:t>
            </w:r>
          </w:p>
        </w:tc>
        <w:tc>
          <w:tcPr>
            <w:tcW w:w="2720" w:type="dxa"/>
            <w:vAlign w:val="bottom"/>
            <w:shd w:val="clear" w:color="auto" w:fill="E6EDF3"/>
          </w:tcPr>
          <w:p>
            <w:pPr>
              <w:spacing w:after="0"/>
              <w:rPr>
                <w:sz w:val="17"/>
                <w:szCs w:val="17"/>
                <w:color w:val="auto"/>
              </w:rPr>
            </w:pPr>
          </w:p>
        </w:tc>
        <w:tc>
          <w:tcPr>
            <w:tcW w:w="2180" w:type="dxa"/>
            <w:vAlign w:val="bottom"/>
            <w:shd w:val="clear" w:color="auto" w:fill="E6EDF3"/>
          </w:tcPr>
          <w:p>
            <w:pPr>
              <w:spacing w:after="0"/>
              <w:rPr>
                <w:sz w:val="17"/>
                <w:szCs w:val="17"/>
                <w:color w:val="auto"/>
              </w:rPr>
            </w:pPr>
          </w:p>
        </w:tc>
      </w:tr>
      <w:tr>
        <w:trPr>
          <w:trHeight w:val="228"/>
        </w:trPr>
        <w:tc>
          <w:tcPr>
            <w:tcW w:w="4360" w:type="dxa"/>
            <w:vAlign w:val="bottom"/>
            <w:tcBorders>
              <w:bottom w:val="single" w:sz="8" w:color="auto"/>
            </w:tcBorders>
            <w:shd w:val="clear" w:color="auto" w:fill="E6EDF3"/>
          </w:tcPr>
          <w:p>
            <w:pPr>
              <w:ind w:left="240"/>
              <w:spacing w:after="0"/>
              <w:rPr>
                <w:sz w:val="20"/>
                <w:szCs w:val="20"/>
                <w:color w:val="auto"/>
              </w:rPr>
            </w:pPr>
            <w:r>
              <w:rPr>
                <w:rFonts w:ascii="Arial" w:cs="Arial" w:eastAsia="Arial" w:hAnsi="Arial"/>
                <w:sz w:val="16"/>
                <w:szCs w:val="16"/>
                <w:color w:val="auto"/>
              </w:rPr>
              <w:t>Pacific Middle East</w:t>
            </w:r>
          </w:p>
        </w:tc>
        <w:tc>
          <w:tcPr>
            <w:tcW w:w="2720" w:type="dxa"/>
            <w:vAlign w:val="bottom"/>
            <w:tcBorders>
              <w:bottom w:val="single" w:sz="8" w:color="auto"/>
            </w:tcBorders>
            <w:shd w:val="clear" w:color="auto" w:fill="E6EDF3"/>
          </w:tcPr>
          <w:p>
            <w:pPr>
              <w:jc w:val="right"/>
              <w:ind w:right="783"/>
              <w:spacing w:after="0"/>
              <w:rPr>
                <w:sz w:val="20"/>
                <w:szCs w:val="20"/>
                <w:color w:val="auto"/>
              </w:rPr>
            </w:pPr>
            <w:r>
              <w:rPr>
                <w:rFonts w:ascii="Arial" w:cs="Arial" w:eastAsia="Arial" w:hAnsi="Arial"/>
                <w:sz w:val="16"/>
                <w:szCs w:val="16"/>
                <w:color w:val="auto"/>
              </w:rPr>
              <w:t>$470,887</w:t>
            </w:r>
          </w:p>
        </w:tc>
        <w:tc>
          <w:tcPr>
            <w:tcW w:w="2180" w:type="dxa"/>
            <w:vAlign w:val="bottom"/>
            <w:tcBorders>
              <w:bottom w:val="single" w:sz="8" w:color="auto"/>
            </w:tcBorders>
            <w:shd w:val="clear" w:color="auto" w:fill="E6EDF3"/>
          </w:tcPr>
          <w:p>
            <w:pPr>
              <w:jc w:val="right"/>
              <w:ind w:right="563"/>
              <w:spacing w:after="0"/>
              <w:rPr>
                <w:sz w:val="20"/>
                <w:szCs w:val="20"/>
                <w:color w:val="auto"/>
              </w:rPr>
            </w:pPr>
            <w:r>
              <w:rPr>
                <w:rFonts w:ascii="Arial" w:cs="Arial" w:eastAsia="Arial" w:hAnsi="Arial"/>
                <w:sz w:val="16"/>
                <w:szCs w:val="16"/>
                <w:color w:val="auto"/>
              </w:rPr>
              <w:t>$ 653,967</w:t>
            </w:r>
          </w:p>
        </w:tc>
      </w:tr>
    </w:tbl>
    <w:p>
      <w:pPr>
        <w:spacing w:after="0" w:line="54" w:lineRule="exact"/>
        <w:rPr>
          <w:sz w:val="20"/>
          <w:szCs w:val="20"/>
          <w:color w:val="auto"/>
        </w:rPr>
      </w:pPr>
    </w:p>
    <w:p>
      <w:pPr>
        <w:ind w:left="1520" w:right="280" w:hanging="438"/>
        <w:spacing w:after="0" w:line="266" w:lineRule="auto"/>
        <w:tabs>
          <w:tab w:leader="none" w:pos="1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Chandrashekar’s target award and actual award received have been translated at an exchange rate of 0.789017 (in U.S. Dollars), which was the exchange rate on February 11, 2014, the date Mr. Chandrashekar was promoted to Executive Vice President, Operational Excellence and IT and President, Asia Pacific Middle East.</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5D89B4"/>
        </w:rPr>
        <w:t>Mara E. Swan — Annual Incentive Award Opportunities</w:t>
      </w:r>
    </w:p>
    <w:p>
      <w:pPr>
        <w:spacing w:after="0" w:line="131" w:lineRule="exact"/>
        <w:rPr>
          <w:sz w:val="20"/>
          <w:szCs w:val="20"/>
          <w:color w:val="auto"/>
        </w:rPr>
      </w:pPr>
    </w:p>
    <w:p>
      <w:pPr>
        <w:ind w:left="200" w:right="220"/>
        <w:spacing w:after="0" w:line="276" w:lineRule="auto"/>
        <w:rPr>
          <w:sz w:val="20"/>
          <w:szCs w:val="20"/>
          <w:color w:val="auto"/>
        </w:rPr>
      </w:pPr>
      <w:r>
        <w:rPr>
          <w:rFonts w:ascii="Arial" w:cs="Arial" w:eastAsia="Arial" w:hAnsi="Arial"/>
          <w:sz w:val="18"/>
          <w:szCs w:val="18"/>
          <w:color w:val="auto"/>
        </w:rPr>
        <w:t>Similar to the CEO, CFO and COO, the Committee determined EPS and ROIC were the appropriate performance metrics for Ms. Swan, Executive Vice President, Global Strategy and Talent.</w:t>
      </w:r>
    </w:p>
    <w:p>
      <w:pPr>
        <w:spacing w:after="0" w:line="78" w:lineRule="exact"/>
        <w:rPr>
          <w:sz w:val="20"/>
          <w:szCs w:val="20"/>
          <w:color w:val="auto"/>
        </w:rPr>
      </w:pPr>
    </w:p>
    <w:p>
      <w:pPr>
        <w:ind w:left="200"/>
        <w:spacing w:after="0" w:line="276"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Ms. Swan for 2017, as a percentage of her 2017 base salary of $610,000:</w:t>
      </w:r>
    </w:p>
    <w:p>
      <w:pPr>
        <w:spacing w:after="0" w:line="81"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680" w:type="dxa"/>
            <w:vAlign w:val="bottom"/>
            <w:tcBorders>
              <w:top w:val="single" w:sz="8" w:color="auto"/>
              <w:bottom w:val="single" w:sz="8" w:color="auto"/>
            </w:tcBorders>
            <w:shd w:val="clear" w:color="auto" w:fill="9DB8D2"/>
          </w:tcPr>
          <w:p>
            <w:pPr>
              <w:spacing w:after="0"/>
              <w:rPr>
                <w:sz w:val="23"/>
                <w:szCs w:val="23"/>
                <w:color w:val="auto"/>
              </w:rPr>
            </w:pPr>
          </w:p>
        </w:tc>
        <w:tc>
          <w:tcPr>
            <w:tcW w:w="1840" w:type="dxa"/>
            <w:vAlign w:val="bottom"/>
            <w:tcBorders>
              <w:top w:val="single" w:sz="8" w:color="auto"/>
              <w:bottom w:val="single" w:sz="8" w:color="auto"/>
            </w:tcBorders>
            <w:shd w:val="clear" w:color="auto" w:fill="9DB8D2"/>
          </w:tcPr>
          <w:p>
            <w:pPr>
              <w:jc w:val="right"/>
              <w:ind w:right="341"/>
              <w:spacing w:after="0"/>
              <w:rPr>
                <w:sz w:val="20"/>
                <w:szCs w:val="20"/>
                <w:color w:val="auto"/>
              </w:rPr>
            </w:pPr>
            <w:r>
              <w:rPr>
                <w:rFonts w:ascii="Arial" w:cs="Arial" w:eastAsia="Arial" w:hAnsi="Arial"/>
                <w:sz w:val="14"/>
                <w:szCs w:val="14"/>
                <w:b w:val="1"/>
                <w:bCs w:val="1"/>
                <w:color w:val="auto"/>
              </w:rPr>
              <w:t>Threshold</w:t>
            </w:r>
          </w:p>
        </w:tc>
        <w:tc>
          <w:tcPr>
            <w:tcW w:w="1260" w:type="dxa"/>
            <w:vAlign w:val="bottom"/>
            <w:tcBorders>
              <w:top w:val="single" w:sz="8" w:color="auto"/>
              <w:bottom w:val="single" w:sz="8" w:color="auto"/>
            </w:tcBorders>
            <w:shd w:val="clear" w:color="auto" w:fill="9DB8D2"/>
          </w:tcPr>
          <w:p>
            <w:pPr>
              <w:jc w:val="right"/>
              <w:ind w:right="361"/>
              <w:spacing w:after="0"/>
              <w:rPr>
                <w:sz w:val="20"/>
                <w:szCs w:val="20"/>
                <w:color w:val="auto"/>
              </w:rPr>
            </w:pPr>
            <w:r>
              <w:rPr>
                <w:rFonts w:ascii="Arial" w:cs="Arial" w:eastAsia="Arial" w:hAnsi="Arial"/>
                <w:sz w:val="14"/>
                <w:szCs w:val="14"/>
                <w:b w:val="1"/>
                <w:bCs w:val="1"/>
                <w:color w:val="auto"/>
              </w:rPr>
              <w:t>Target</w:t>
            </w:r>
          </w:p>
        </w:tc>
        <w:tc>
          <w:tcPr>
            <w:tcW w:w="1480" w:type="dxa"/>
            <w:vAlign w:val="bottom"/>
            <w:tcBorders>
              <w:top w:val="single" w:sz="8" w:color="auto"/>
              <w:bottom w:val="single" w:sz="8" w:color="auto"/>
            </w:tcBorders>
            <w:shd w:val="clear" w:color="auto" w:fill="9DB8D2"/>
          </w:tcPr>
          <w:p>
            <w:pPr>
              <w:jc w:val="right"/>
              <w:ind w:right="181"/>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4680" w:type="dxa"/>
            <w:vAlign w:val="bottom"/>
            <w:shd w:val="clear" w:color="auto" w:fill="E6EDF3"/>
          </w:tcPr>
          <w:p>
            <w:pPr>
              <w:ind w:left="80"/>
              <w:spacing w:after="0"/>
              <w:rPr>
                <w:sz w:val="20"/>
                <w:szCs w:val="20"/>
                <w:color w:val="auto"/>
              </w:rPr>
            </w:pPr>
            <w:r>
              <w:rPr>
                <w:rFonts w:ascii="Arial" w:cs="Arial" w:eastAsia="Arial" w:hAnsi="Arial"/>
                <w:sz w:val="16"/>
                <w:szCs w:val="16"/>
                <w:color w:val="auto"/>
              </w:rPr>
              <w:t>EPS goal (weighted 40%)</w:t>
            </w:r>
          </w:p>
        </w:tc>
        <w:tc>
          <w:tcPr>
            <w:tcW w:w="1840" w:type="dxa"/>
            <w:vAlign w:val="bottom"/>
            <w:shd w:val="clear" w:color="auto" w:fill="E6EDF3"/>
          </w:tcPr>
          <w:p>
            <w:pPr>
              <w:jc w:val="right"/>
              <w:ind w:right="341"/>
              <w:spacing w:after="0"/>
              <w:rPr>
                <w:sz w:val="20"/>
                <w:szCs w:val="20"/>
                <w:color w:val="auto"/>
              </w:rPr>
            </w:pPr>
            <w:r>
              <w:rPr>
                <w:rFonts w:ascii="Arial" w:cs="Arial" w:eastAsia="Arial" w:hAnsi="Arial"/>
                <w:sz w:val="16"/>
                <w:szCs w:val="16"/>
                <w:color w:val="auto"/>
              </w:rPr>
              <w:t>10.0%</w:t>
            </w:r>
          </w:p>
        </w:tc>
        <w:tc>
          <w:tcPr>
            <w:tcW w:w="126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30.0%</w:t>
            </w:r>
          </w:p>
        </w:tc>
        <w:tc>
          <w:tcPr>
            <w:tcW w:w="1480" w:type="dxa"/>
            <w:vAlign w:val="bottom"/>
            <w:shd w:val="clear" w:color="auto" w:fill="E6EDF3"/>
          </w:tcPr>
          <w:p>
            <w:pPr>
              <w:jc w:val="right"/>
              <w:ind w:right="181"/>
              <w:spacing w:after="0"/>
              <w:rPr>
                <w:sz w:val="20"/>
                <w:szCs w:val="20"/>
                <w:color w:val="auto"/>
              </w:rPr>
            </w:pPr>
            <w:r>
              <w:rPr>
                <w:rFonts w:ascii="Arial" w:cs="Arial" w:eastAsia="Arial" w:hAnsi="Arial"/>
                <w:sz w:val="16"/>
                <w:szCs w:val="16"/>
                <w:color w:val="auto"/>
              </w:rPr>
              <w:t>60.0%</w:t>
            </w:r>
          </w:p>
        </w:tc>
      </w:tr>
      <w:tr>
        <w:trPr>
          <w:trHeight w:val="249"/>
        </w:trPr>
        <w:tc>
          <w:tcPr>
            <w:tcW w:w="4680" w:type="dxa"/>
            <w:vAlign w:val="bottom"/>
          </w:tcPr>
          <w:p>
            <w:pPr>
              <w:ind w:left="80"/>
              <w:spacing w:after="0"/>
              <w:rPr>
                <w:sz w:val="20"/>
                <w:szCs w:val="20"/>
                <w:color w:val="auto"/>
              </w:rPr>
            </w:pPr>
            <w:r>
              <w:rPr>
                <w:rFonts w:ascii="Arial" w:cs="Arial" w:eastAsia="Arial" w:hAnsi="Arial"/>
                <w:sz w:val="16"/>
                <w:szCs w:val="16"/>
                <w:color w:val="auto"/>
              </w:rPr>
              <w:t>ROIC goal (weighted 40%)</w:t>
            </w:r>
          </w:p>
        </w:tc>
        <w:tc>
          <w:tcPr>
            <w:tcW w:w="1840" w:type="dxa"/>
            <w:vAlign w:val="bottom"/>
          </w:tcPr>
          <w:p>
            <w:pPr>
              <w:jc w:val="right"/>
              <w:ind w:right="341"/>
              <w:spacing w:after="0"/>
              <w:rPr>
                <w:sz w:val="20"/>
                <w:szCs w:val="20"/>
                <w:color w:val="auto"/>
              </w:rPr>
            </w:pPr>
            <w:r>
              <w:rPr>
                <w:rFonts w:ascii="Arial" w:cs="Arial" w:eastAsia="Arial" w:hAnsi="Arial"/>
                <w:sz w:val="16"/>
                <w:szCs w:val="16"/>
                <w:color w:val="auto"/>
              </w:rPr>
              <w:t>10.0%</w:t>
            </w:r>
          </w:p>
        </w:tc>
        <w:tc>
          <w:tcPr>
            <w:tcW w:w="1260" w:type="dxa"/>
            <w:vAlign w:val="bottom"/>
          </w:tcPr>
          <w:p>
            <w:pPr>
              <w:jc w:val="right"/>
              <w:ind w:right="281"/>
              <w:spacing w:after="0"/>
              <w:rPr>
                <w:sz w:val="20"/>
                <w:szCs w:val="20"/>
                <w:color w:val="auto"/>
              </w:rPr>
            </w:pPr>
            <w:r>
              <w:rPr>
                <w:rFonts w:ascii="Arial" w:cs="Arial" w:eastAsia="Arial" w:hAnsi="Arial"/>
                <w:sz w:val="16"/>
                <w:szCs w:val="16"/>
                <w:color w:val="auto"/>
              </w:rPr>
              <w:t>30.0%</w:t>
            </w:r>
          </w:p>
        </w:tc>
        <w:tc>
          <w:tcPr>
            <w:tcW w:w="1480" w:type="dxa"/>
            <w:vAlign w:val="bottom"/>
          </w:tcPr>
          <w:p>
            <w:pPr>
              <w:jc w:val="right"/>
              <w:ind w:right="181"/>
              <w:spacing w:after="0"/>
              <w:rPr>
                <w:sz w:val="20"/>
                <w:szCs w:val="20"/>
                <w:color w:val="auto"/>
              </w:rPr>
            </w:pPr>
            <w:r>
              <w:rPr>
                <w:rFonts w:ascii="Arial" w:cs="Arial" w:eastAsia="Arial" w:hAnsi="Arial"/>
                <w:sz w:val="16"/>
                <w:szCs w:val="16"/>
                <w:color w:val="auto"/>
              </w:rPr>
              <w:t>60.0%</w:t>
            </w:r>
          </w:p>
        </w:tc>
      </w:tr>
      <w:tr>
        <w:trPr>
          <w:trHeight w:val="305"/>
        </w:trPr>
        <w:tc>
          <w:tcPr>
            <w:tcW w:w="468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 (weighted 20%)</w:t>
            </w:r>
          </w:p>
        </w:tc>
        <w:tc>
          <w:tcPr>
            <w:tcW w:w="1840" w:type="dxa"/>
            <w:vAlign w:val="bottom"/>
            <w:shd w:val="clear" w:color="auto" w:fill="E6EDF3"/>
          </w:tcPr>
          <w:p>
            <w:pPr>
              <w:jc w:val="right"/>
              <w:ind w:right="341"/>
              <w:spacing w:after="0"/>
              <w:rPr>
                <w:sz w:val="20"/>
                <w:szCs w:val="20"/>
                <w:color w:val="auto"/>
              </w:rPr>
            </w:pPr>
            <w:r>
              <w:rPr>
                <w:rFonts w:ascii="Arial" w:cs="Arial" w:eastAsia="Arial" w:hAnsi="Arial"/>
                <w:sz w:val="16"/>
                <w:szCs w:val="16"/>
                <w:color w:val="auto"/>
              </w:rPr>
              <w:t>5.0%</w:t>
            </w:r>
          </w:p>
        </w:tc>
        <w:tc>
          <w:tcPr>
            <w:tcW w:w="126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15.0%</w:t>
            </w:r>
          </w:p>
        </w:tc>
        <w:tc>
          <w:tcPr>
            <w:tcW w:w="1480" w:type="dxa"/>
            <w:vAlign w:val="bottom"/>
            <w:shd w:val="clear" w:color="auto" w:fill="E6EDF3"/>
          </w:tcPr>
          <w:p>
            <w:pPr>
              <w:jc w:val="right"/>
              <w:ind w:right="181"/>
              <w:spacing w:after="0"/>
              <w:rPr>
                <w:sz w:val="20"/>
                <w:szCs w:val="20"/>
                <w:color w:val="auto"/>
              </w:rPr>
            </w:pPr>
            <w:r>
              <w:rPr>
                <w:rFonts w:ascii="Arial" w:cs="Arial" w:eastAsia="Arial" w:hAnsi="Arial"/>
                <w:sz w:val="16"/>
                <w:szCs w:val="16"/>
                <w:color w:val="auto"/>
              </w:rPr>
              <w:t>30.0%</w:t>
            </w:r>
          </w:p>
        </w:tc>
      </w:tr>
      <w:tr>
        <w:trPr>
          <w:trHeight w:val="250"/>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25.0%</w:t>
            </w:r>
          </w:p>
        </w:tc>
        <w:tc>
          <w:tcPr>
            <w:tcW w:w="12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75.0%</w:t>
            </w:r>
          </w:p>
        </w:tc>
        <w:tc>
          <w:tcPr>
            <w:tcW w:w="14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150.0%</w:t>
            </w:r>
          </w:p>
        </w:tc>
      </w:tr>
    </w:tbl>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operating objectives for Ms. Swan for 2017 are as follows:</w:t>
      </w:r>
    </w:p>
    <w:p>
      <w:pPr>
        <w:spacing w:after="0" w:line="144" w:lineRule="exact"/>
        <w:rPr>
          <w:sz w:val="20"/>
          <w:szCs w:val="20"/>
          <w:color w:val="auto"/>
        </w:rPr>
      </w:pPr>
    </w:p>
    <w:p>
      <w:pPr>
        <w:ind w:left="640" w:hanging="328"/>
        <w:spacing w:after="0"/>
        <w:tabs>
          <w:tab w:leader="none" w:pos="640" w:val="left"/>
        </w:tabs>
        <w:numPr>
          <w:ilvl w:val="0"/>
          <w:numId w:val="55"/>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5"/>
        </w:numPr>
        <w:rPr>
          <w:rFonts w:ascii="Arial" w:cs="Arial" w:eastAsia="Arial" w:hAnsi="Arial"/>
          <w:sz w:val="18"/>
          <w:szCs w:val="18"/>
          <w:color w:val="5D89B4"/>
        </w:rPr>
      </w:pPr>
      <w:r>
        <w:rPr>
          <w:rFonts w:ascii="Arial" w:cs="Arial" w:eastAsia="Arial" w:hAnsi="Arial"/>
          <w:sz w:val="18"/>
          <w:szCs w:val="18"/>
          <w:color w:val="auto"/>
        </w:rPr>
        <w:t>Develop diverse leadership that strengthens our capabilities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5"/>
        </w:numPr>
        <w:rPr>
          <w:rFonts w:ascii="Arial" w:cs="Arial" w:eastAsia="Arial" w:hAnsi="Arial"/>
          <w:sz w:val="18"/>
          <w:szCs w:val="18"/>
          <w:color w:val="5D89B4"/>
        </w:rPr>
      </w:pPr>
      <w:r>
        <w:rPr>
          <w:rFonts w:ascii="Arial" w:cs="Arial" w:eastAsia="Arial" w:hAnsi="Arial"/>
          <w:sz w:val="18"/>
          <w:szCs w:val="18"/>
          <w:color w:val="auto"/>
        </w:rPr>
        <w:t>Develop an organic growth strategy for several of our brands in order to accelerate performance</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5"/>
        </w:numPr>
        <w:rPr>
          <w:rFonts w:ascii="Arial" w:cs="Arial" w:eastAsia="Arial" w:hAnsi="Arial"/>
          <w:sz w:val="18"/>
          <w:szCs w:val="18"/>
          <w:color w:val="5D89B4"/>
        </w:rPr>
      </w:pPr>
      <w:r>
        <w:rPr>
          <w:rFonts w:ascii="Arial" w:cs="Arial" w:eastAsia="Arial" w:hAnsi="Arial"/>
          <w:sz w:val="18"/>
          <w:szCs w:val="18"/>
          <w:color w:val="auto"/>
        </w:rPr>
        <w:t>Collaborate with the CEO to map out the evolution of the Company’s business model and strategy</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5"/>
        </w:numPr>
        <w:rPr>
          <w:rFonts w:ascii="Arial" w:cs="Arial" w:eastAsia="Arial" w:hAnsi="Arial"/>
          <w:sz w:val="18"/>
          <w:szCs w:val="18"/>
          <w:color w:val="5D89B4"/>
        </w:rPr>
      </w:pPr>
      <w:r>
        <w:rPr>
          <w:rFonts w:ascii="Arial" w:cs="Arial" w:eastAsia="Arial" w:hAnsi="Arial"/>
          <w:sz w:val="18"/>
          <w:szCs w:val="18"/>
          <w:color w:val="auto"/>
        </w:rPr>
        <w:t>Accelerate scalable innovation within ManpowerGroup</w:t>
      </w:r>
    </w:p>
    <w:p>
      <w:pPr>
        <w:spacing w:after="0" w:line="131" w:lineRule="exact"/>
        <w:rPr>
          <w:sz w:val="20"/>
          <w:szCs w:val="20"/>
          <w:color w:val="auto"/>
        </w:rPr>
      </w:pPr>
    </w:p>
    <w:p>
      <w:pPr>
        <w:ind w:left="200" w:right="300"/>
        <w:spacing w:after="0" w:line="248" w:lineRule="auto"/>
        <w:rPr>
          <w:sz w:val="20"/>
          <w:szCs w:val="20"/>
          <w:color w:val="auto"/>
        </w:rPr>
      </w:pPr>
      <w:r>
        <w:rPr>
          <w:rFonts w:ascii="Arial" w:cs="Arial" w:eastAsia="Arial" w:hAnsi="Arial"/>
          <w:sz w:val="18"/>
          <w:szCs w:val="18"/>
          <w:color w:val="auto"/>
        </w:rPr>
        <w:t>The Committee determined that Ms. Swan earned a cash incentive award for 2017 between target and outstanding for EPS and ROIC. The Committee also approved an incentive award to Ms. Swan based on its determination of the level of performance towards achievement of her operating objectives. Based on these accomplishments, the Committee determined to pay the 2017 award to Ms. Swan as follows:</w:t>
      </w:r>
    </w:p>
    <w:p>
      <w:pPr>
        <w:spacing w:after="0" w:line="106"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900" w:type="dxa"/>
            <w:vAlign w:val="bottom"/>
            <w:tcBorders>
              <w:top w:val="single" w:sz="8" w:color="auto"/>
              <w:bottom w:val="single" w:sz="8" w:color="auto"/>
            </w:tcBorders>
            <w:shd w:val="clear" w:color="auto" w:fill="9DB8D2"/>
          </w:tcPr>
          <w:p>
            <w:pPr>
              <w:spacing w:after="0"/>
              <w:rPr>
                <w:sz w:val="23"/>
                <w:szCs w:val="23"/>
                <w:color w:val="auto"/>
              </w:rPr>
            </w:pPr>
          </w:p>
        </w:tc>
        <w:tc>
          <w:tcPr>
            <w:tcW w:w="2400" w:type="dxa"/>
            <w:vAlign w:val="bottom"/>
            <w:tcBorders>
              <w:top w:val="single" w:sz="8" w:color="auto"/>
              <w:bottom w:val="single" w:sz="8" w:color="auto"/>
            </w:tcBorders>
            <w:shd w:val="clear" w:color="auto" w:fill="9DB8D2"/>
          </w:tcPr>
          <w:p>
            <w:pPr>
              <w:jc w:val="center"/>
              <w:ind w:left="223"/>
              <w:spacing w:after="0"/>
              <w:rPr>
                <w:sz w:val="20"/>
                <w:szCs w:val="20"/>
                <w:color w:val="auto"/>
              </w:rPr>
            </w:pPr>
            <w:r>
              <w:rPr>
                <w:rFonts w:ascii="Arial" w:cs="Arial" w:eastAsia="Arial" w:hAnsi="Arial"/>
                <w:sz w:val="14"/>
                <w:szCs w:val="14"/>
                <w:b w:val="1"/>
                <w:bCs w:val="1"/>
                <w:color w:val="auto"/>
              </w:rPr>
              <w:t>Target Award</w:t>
            </w:r>
          </w:p>
        </w:tc>
        <w:tc>
          <w:tcPr>
            <w:tcW w:w="1960" w:type="dxa"/>
            <w:vAlign w:val="bottom"/>
            <w:tcBorders>
              <w:top w:val="single" w:sz="8" w:color="auto"/>
              <w:bottom w:val="single" w:sz="8" w:color="auto"/>
            </w:tcBorders>
            <w:shd w:val="clear" w:color="auto" w:fill="9DB8D2"/>
          </w:tcPr>
          <w:p>
            <w:pPr>
              <w:jc w:val="center"/>
              <w:ind w:left="123"/>
              <w:spacing w:after="0"/>
              <w:rPr>
                <w:sz w:val="20"/>
                <w:szCs w:val="20"/>
                <w:color w:val="auto"/>
              </w:rPr>
            </w:pPr>
            <w:r>
              <w:rPr>
                <w:rFonts w:ascii="Arial" w:cs="Arial" w:eastAsia="Arial" w:hAnsi="Arial"/>
                <w:sz w:val="14"/>
                <w:szCs w:val="14"/>
                <w:b w:val="1"/>
                <w:bCs w:val="1"/>
                <w:color w:val="auto"/>
              </w:rPr>
              <w:t>Actual Award</w:t>
            </w:r>
          </w:p>
        </w:tc>
      </w:tr>
      <w:tr>
        <w:trPr>
          <w:trHeight w:val="244"/>
        </w:trPr>
        <w:tc>
          <w:tcPr>
            <w:tcW w:w="490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EVP, Global Strategy and Talent</w:t>
            </w:r>
          </w:p>
        </w:tc>
        <w:tc>
          <w:tcPr>
            <w:tcW w:w="2400" w:type="dxa"/>
            <w:vAlign w:val="bottom"/>
            <w:tcBorders>
              <w:bottom w:val="single" w:sz="8" w:color="auto"/>
            </w:tcBorders>
            <w:shd w:val="clear" w:color="auto" w:fill="E6EDF3"/>
          </w:tcPr>
          <w:p>
            <w:pPr>
              <w:jc w:val="right"/>
              <w:ind w:right="643"/>
              <w:spacing w:after="0"/>
              <w:rPr>
                <w:sz w:val="20"/>
                <w:szCs w:val="20"/>
                <w:color w:val="auto"/>
              </w:rPr>
            </w:pPr>
            <w:r>
              <w:rPr>
                <w:rFonts w:ascii="Arial" w:cs="Arial" w:eastAsia="Arial" w:hAnsi="Arial"/>
                <w:sz w:val="16"/>
                <w:szCs w:val="16"/>
                <w:color w:val="auto"/>
              </w:rPr>
              <w:t>$ 457,500</w:t>
            </w:r>
          </w:p>
        </w:tc>
        <w:tc>
          <w:tcPr>
            <w:tcW w:w="1960" w:type="dxa"/>
            <w:vAlign w:val="bottom"/>
            <w:tcBorders>
              <w:bottom w:val="single" w:sz="8" w:color="auto"/>
            </w:tcBorders>
            <w:shd w:val="clear" w:color="auto" w:fill="E6EDF3"/>
          </w:tcPr>
          <w:p>
            <w:pPr>
              <w:jc w:val="right"/>
              <w:ind w:right="463"/>
              <w:spacing w:after="0"/>
              <w:rPr>
                <w:sz w:val="20"/>
                <w:szCs w:val="20"/>
                <w:color w:val="auto"/>
              </w:rPr>
            </w:pPr>
            <w:r>
              <w:rPr>
                <w:rFonts w:ascii="Arial" w:cs="Arial" w:eastAsia="Arial" w:hAnsi="Arial"/>
                <w:sz w:val="16"/>
                <w:szCs w:val="16"/>
                <w:color w:val="auto"/>
              </w:rPr>
              <w:t>$ 546,682</w:t>
            </w:r>
          </w:p>
        </w:tc>
      </w:tr>
    </w:tbl>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Long-Term Incentives</w:t>
      </w:r>
    </w:p>
    <w:p>
      <w:pPr>
        <w:spacing w:after="0" w:line="144" w:lineRule="exact"/>
        <w:rPr>
          <w:sz w:val="20"/>
          <w:szCs w:val="20"/>
          <w:color w:val="auto"/>
        </w:rPr>
      </w:pPr>
    </w:p>
    <w:p>
      <w:pPr>
        <w:ind w:left="200" w:right="140"/>
        <w:spacing w:after="0" w:line="243" w:lineRule="auto"/>
        <w:rPr>
          <w:sz w:val="20"/>
          <w:szCs w:val="20"/>
          <w:color w:val="auto"/>
        </w:rPr>
      </w:pPr>
      <w:r>
        <w:rPr>
          <w:rFonts w:ascii="Arial" w:cs="Arial" w:eastAsia="Arial" w:hAnsi="Arial"/>
          <w:sz w:val="18"/>
          <w:szCs w:val="18"/>
          <w:color w:val="auto"/>
        </w:rPr>
        <w:t>Each year the Committee determines the appropriate mix of performance share units, stock options and restricted stock units that should comprise the long-term incentives for the NEOs. This flexibility allows the Committee to tailor its program to create the incentive structure that it believes will best align executive performance and the needs of the Company. The Committee determined for 2017 that the performance needs of the Company would be best met through a package of awards for the NEOs made up of 60% performance share units, 20% stock options and 20% restricted stock units. We believe this will further align the NEOs’ interests with long-term shareholder value, particularly as 60% of the awards vest based on performance criteria.</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left="200" w:right="180"/>
        <w:spacing w:after="0" w:line="276" w:lineRule="auto"/>
        <w:rPr>
          <w:sz w:val="20"/>
          <w:szCs w:val="20"/>
          <w:color w:val="auto"/>
        </w:rPr>
      </w:pPr>
      <w:r>
        <w:rPr>
          <w:rFonts w:ascii="Arial" w:cs="Arial" w:eastAsia="Arial" w:hAnsi="Arial"/>
          <w:sz w:val="18"/>
          <w:szCs w:val="18"/>
          <w:color w:val="auto"/>
        </w:rPr>
        <w:t>The performance share units, stock options and restricted stock units awarded in 2017 have the characteristics below. The specific long-term incentive grants for each officer are shown in the Grants of Plan Based Awards table on page 55.</w:t>
      </w:r>
    </w:p>
    <w:p>
      <w:pPr>
        <w:spacing w:after="0" w:line="78" w:lineRule="exact"/>
        <w:rPr>
          <w:sz w:val="20"/>
          <w:szCs w:val="20"/>
          <w:color w:val="auto"/>
        </w:rPr>
      </w:pPr>
    </w:p>
    <w:p>
      <w:pPr>
        <w:ind w:left="200" w:right="120"/>
        <w:spacing w:after="0" w:line="243" w:lineRule="auto"/>
        <w:rPr>
          <w:sz w:val="20"/>
          <w:szCs w:val="20"/>
          <w:color w:val="auto"/>
        </w:rPr>
      </w:pPr>
      <w:r>
        <w:rPr>
          <w:rFonts w:ascii="Arial" w:cs="Arial" w:eastAsia="Arial" w:hAnsi="Arial"/>
          <w:sz w:val="18"/>
          <w:szCs w:val="18"/>
          <w:u w:val="single" w:color="auto"/>
          <w:color w:val="auto"/>
        </w:rPr>
        <w:t>Performance share units</w:t>
      </w:r>
      <w:r>
        <w:rPr>
          <w:rFonts w:ascii="Arial" w:cs="Arial" w:eastAsia="Arial" w:hAnsi="Arial"/>
          <w:sz w:val="18"/>
          <w:szCs w:val="18"/>
          <w:color w:val="auto"/>
        </w:rPr>
        <w:t>. For the performance share units granted in 2017, vesting will be based on achievement of a pre-established goal for average operating profit margin percent, over a three-year period ending December 31, 2019. The Committee believes operating profit margin percent correctly focuses executive officers on the long-term profitability of the Company. Following completion of the 2017-2019 performance period, the Committee will compare operating profit margin percent performance against target levels. The number of shares earned will vest and be settled in common stock in February 2020, after the Committee determines the achievement of the performance goals.</w:t>
      </w:r>
    </w:p>
    <w:p>
      <w:pPr>
        <w:spacing w:after="0" w:line="107" w:lineRule="exact"/>
        <w:rPr>
          <w:sz w:val="20"/>
          <w:szCs w:val="20"/>
          <w:color w:val="auto"/>
        </w:rPr>
      </w:pPr>
    </w:p>
    <w:p>
      <w:pPr>
        <w:ind w:left="200" w:right="360"/>
        <w:spacing w:after="0" w:line="276" w:lineRule="auto"/>
        <w:rPr>
          <w:sz w:val="20"/>
          <w:szCs w:val="20"/>
          <w:color w:val="auto"/>
        </w:rPr>
      </w:pPr>
      <w:r>
        <w:rPr>
          <w:rFonts w:ascii="Arial" w:cs="Arial" w:eastAsia="Arial" w:hAnsi="Arial"/>
          <w:sz w:val="18"/>
          <w:szCs w:val="18"/>
          <w:color w:val="auto"/>
        </w:rPr>
        <w:t>The following table shows the goals established by the Committee for the 2017-2019 performance period for these performance share units and the associated payout percentage:</w:t>
      </w:r>
    </w:p>
    <w:p>
      <w:pPr>
        <w:spacing w:after="0" w:line="81"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480" w:type="dxa"/>
            <w:vAlign w:val="bottom"/>
            <w:tcBorders>
              <w:top w:val="single" w:sz="8" w:color="auto"/>
              <w:bottom w:val="single" w:sz="8" w:color="auto"/>
            </w:tcBorders>
            <w:shd w:val="clear" w:color="auto" w:fill="9DB8D2"/>
          </w:tcPr>
          <w:p>
            <w:pPr>
              <w:spacing w:after="0"/>
              <w:rPr>
                <w:sz w:val="23"/>
                <w:szCs w:val="23"/>
                <w:color w:val="auto"/>
              </w:rPr>
            </w:pPr>
          </w:p>
        </w:tc>
        <w:tc>
          <w:tcPr>
            <w:tcW w:w="2020" w:type="dxa"/>
            <w:vAlign w:val="bottom"/>
            <w:tcBorders>
              <w:top w:val="single" w:sz="8" w:color="auto"/>
              <w:bottom w:val="single" w:sz="8" w:color="auto"/>
            </w:tcBorders>
            <w:shd w:val="clear" w:color="auto" w:fill="9DB8D2"/>
          </w:tcPr>
          <w:p>
            <w:pPr>
              <w:jc w:val="right"/>
              <w:ind w:right="362"/>
              <w:spacing w:after="0"/>
              <w:rPr>
                <w:sz w:val="20"/>
                <w:szCs w:val="20"/>
                <w:color w:val="auto"/>
              </w:rPr>
            </w:pPr>
            <w:r>
              <w:rPr>
                <w:rFonts w:ascii="Arial" w:cs="Arial" w:eastAsia="Arial" w:hAnsi="Arial"/>
                <w:sz w:val="14"/>
                <w:szCs w:val="14"/>
                <w:b w:val="1"/>
                <w:bCs w:val="1"/>
                <w:color w:val="auto"/>
              </w:rPr>
              <w:t>Threshold</w:t>
            </w:r>
          </w:p>
        </w:tc>
        <w:tc>
          <w:tcPr>
            <w:tcW w:w="1320" w:type="dxa"/>
            <w:vAlign w:val="bottom"/>
            <w:tcBorders>
              <w:top w:val="single" w:sz="8" w:color="auto"/>
              <w:bottom w:val="single" w:sz="8" w:color="auto"/>
            </w:tcBorders>
            <w:shd w:val="clear" w:color="auto" w:fill="9DB8D2"/>
          </w:tcPr>
          <w:p>
            <w:pPr>
              <w:jc w:val="right"/>
              <w:ind w:right="362"/>
              <w:spacing w:after="0"/>
              <w:rPr>
                <w:sz w:val="20"/>
                <w:szCs w:val="20"/>
                <w:color w:val="auto"/>
              </w:rPr>
            </w:pPr>
            <w:r>
              <w:rPr>
                <w:rFonts w:ascii="Arial" w:cs="Arial" w:eastAsia="Arial" w:hAnsi="Arial"/>
                <w:sz w:val="14"/>
                <w:szCs w:val="14"/>
                <w:b w:val="1"/>
                <w:bCs w:val="1"/>
                <w:color w:val="auto"/>
              </w:rPr>
              <w:t>Target</w:t>
            </w:r>
          </w:p>
        </w:tc>
        <w:tc>
          <w:tcPr>
            <w:tcW w:w="1440" w:type="dxa"/>
            <w:vAlign w:val="bottom"/>
            <w:tcBorders>
              <w:top w:val="single" w:sz="8" w:color="auto"/>
              <w:bottom w:val="single" w:sz="8" w:color="auto"/>
            </w:tcBorders>
            <w:shd w:val="clear" w:color="auto" w:fill="9DB8D2"/>
          </w:tcPr>
          <w:p>
            <w:pPr>
              <w:jc w:val="right"/>
              <w:ind w:right="142"/>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4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Average Operating Profit Margin Percent 2017-2019</w:t>
            </w:r>
          </w:p>
        </w:tc>
        <w:tc>
          <w:tcPr>
            <w:tcW w:w="2020" w:type="dxa"/>
            <w:vAlign w:val="bottom"/>
            <w:shd w:val="clear" w:color="auto" w:fill="E6EDF3"/>
          </w:tcPr>
          <w:p>
            <w:pPr>
              <w:jc w:val="right"/>
              <w:ind w:right="362"/>
              <w:spacing w:after="0"/>
              <w:rPr>
                <w:sz w:val="20"/>
                <w:szCs w:val="20"/>
                <w:color w:val="auto"/>
              </w:rPr>
            </w:pPr>
            <w:r>
              <w:rPr>
                <w:rFonts w:ascii="Arial" w:cs="Arial" w:eastAsia="Arial" w:hAnsi="Arial"/>
                <w:sz w:val="16"/>
                <w:szCs w:val="16"/>
                <w:color w:val="auto"/>
              </w:rPr>
              <w:t>3.00%</w:t>
            </w:r>
          </w:p>
        </w:tc>
        <w:tc>
          <w:tcPr>
            <w:tcW w:w="1320" w:type="dxa"/>
            <w:vAlign w:val="bottom"/>
            <w:shd w:val="clear" w:color="auto" w:fill="E6EDF3"/>
          </w:tcPr>
          <w:p>
            <w:pPr>
              <w:jc w:val="right"/>
              <w:ind w:right="302"/>
              <w:spacing w:after="0"/>
              <w:rPr>
                <w:sz w:val="20"/>
                <w:szCs w:val="20"/>
                <w:color w:val="auto"/>
              </w:rPr>
            </w:pPr>
            <w:r>
              <w:rPr>
                <w:rFonts w:ascii="Arial" w:cs="Arial" w:eastAsia="Arial" w:hAnsi="Arial"/>
                <w:sz w:val="16"/>
                <w:szCs w:val="16"/>
                <w:color w:val="auto"/>
              </w:rPr>
              <w:t>4.00%</w:t>
            </w:r>
          </w:p>
        </w:tc>
        <w:tc>
          <w:tcPr>
            <w:tcW w:w="1440" w:type="dxa"/>
            <w:vAlign w:val="bottom"/>
            <w:shd w:val="clear" w:color="auto" w:fill="E6EDF3"/>
          </w:tcPr>
          <w:p>
            <w:pPr>
              <w:jc w:val="right"/>
              <w:ind w:right="182"/>
              <w:spacing w:after="0"/>
              <w:rPr>
                <w:sz w:val="20"/>
                <w:szCs w:val="20"/>
                <w:color w:val="auto"/>
              </w:rPr>
            </w:pPr>
            <w:r>
              <w:rPr>
                <w:rFonts w:ascii="Arial" w:cs="Arial" w:eastAsia="Arial" w:hAnsi="Arial"/>
                <w:sz w:val="16"/>
                <w:szCs w:val="16"/>
                <w:color w:val="auto"/>
              </w:rPr>
              <w:t>4.50%</w:t>
            </w:r>
          </w:p>
        </w:tc>
      </w:tr>
      <w:tr>
        <w:trPr>
          <w:trHeight w:val="250"/>
        </w:trPr>
        <w:tc>
          <w:tcPr>
            <w:tcW w:w="44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Payout Percentage</w:t>
            </w:r>
          </w:p>
        </w:tc>
        <w:tc>
          <w:tcPr>
            <w:tcW w:w="2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50%</w:t>
            </w: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100%</w:t>
            </w:r>
          </w:p>
        </w:tc>
        <w:tc>
          <w:tcPr>
            <w:tcW w:w="14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200%</w:t>
            </w:r>
          </w:p>
        </w:tc>
      </w:tr>
    </w:tbl>
    <w:p>
      <w:pPr>
        <w:spacing w:after="0" w:line="112" w:lineRule="exact"/>
        <w:rPr>
          <w:sz w:val="20"/>
          <w:szCs w:val="20"/>
          <w:color w:val="auto"/>
        </w:rPr>
      </w:pPr>
    </w:p>
    <w:p>
      <w:pPr>
        <w:jc w:val="both"/>
        <w:ind w:left="200" w:right="340"/>
        <w:spacing w:after="0" w:line="255" w:lineRule="auto"/>
        <w:rPr>
          <w:sz w:val="20"/>
          <w:szCs w:val="20"/>
          <w:color w:val="auto"/>
        </w:rPr>
      </w:pPr>
      <w:r>
        <w:rPr>
          <w:rFonts w:ascii="Arial" w:cs="Arial" w:eastAsia="Arial" w:hAnsi="Arial"/>
          <w:sz w:val="18"/>
          <w:szCs w:val="18"/>
          <w:color w:val="auto"/>
        </w:rPr>
        <w:t>To determine the average operating profit margin percent at the end of the three year period, the actual performance results from each year will be averaged to determine the three-year average performance results. The final award will be determined by using the 3-year payout scale relative to the 3-year average performance.</w:t>
      </w:r>
    </w:p>
    <w:p>
      <w:pPr>
        <w:spacing w:after="0" w:line="97" w:lineRule="exact"/>
        <w:rPr>
          <w:sz w:val="20"/>
          <w:szCs w:val="20"/>
          <w:color w:val="auto"/>
        </w:rPr>
      </w:pPr>
    </w:p>
    <w:p>
      <w:pPr>
        <w:ind w:left="200" w:right="220"/>
        <w:spacing w:after="0" w:line="276" w:lineRule="auto"/>
        <w:rPr>
          <w:sz w:val="20"/>
          <w:szCs w:val="20"/>
          <w:color w:val="auto"/>
        </w:rPr>
      </w:pPr>
      <w:r>
        <w:rPr>
          <w:rFonts w:ascii="Arial" w:cs="Arial" w:eastAsia="Arial" w:hAnsi="Arial"/>
          <w:sz w:val="18"/>
          <w:szCs w:val="18"/>
          <w:color w:val="auto"/>
        </w:rPr>
        <w:t>For the 2017 financial year, restructuring charges were excluded from the operating profit margin percent calculation. This increased the operating profit margin percent for 2017 from 3.75% to 3.92%.</w:t>
      </w:r>
    </w:p>
    <w:p>
      <w:pPr>
        <w:spacing w:after="0" w:line="78" w:lineRule="exact"/>
        <w:rPr>
          <w:sz w:val="20"/>
          <w:szCs w:val="20"/>
          <w:color w:val="auto"/>
        </w:rPr>
      </w:pPr>
    </w:p>
    <w:p>
      <w:pPr>
        <w:jc w:val="both"/>
        <w:ind w:left="200" w:right="300"/>
        <w:spacing w:after="0" w:line="255" w:lineRule="auto"/>
        <w:rPr>
          <w:sz w:val="20"/>
          <w:szCs w:val="20"/>
          <w:color w:val="auto"/>
        </w:rPr>
      </w:pPr>
      <w:r>
        <w:rPr>
          <w:rFonts w:ascii="Arial" w:cs="Arial" w:eastAsia="Arial" w:hAnsi="Arial"/>
          <w:sz w:val="18"/>
          <w:szCs w:val="18"/>
          <w:color w:val="auto"/>
        </w:rPr>
        <w:t>An operating profit “gate” was also established for the performance share units to ensure operating profit margins are achieved without significantly decreasing revenues. This gate was set at $710 million, meaning participants cannot receive more than 100% of the target level payout unless average operating profit for the 2017-2019 performance period exceeds $710.0 million.</w:t>
      </w:r>
    </w:p>
    <w:p>
      <w:pPr>
        <w:spacing w:after="0" w:line="83" w:lineRule="exact"/>
        <w:rPr>
          <w:sz w:val="20"/>
          <w:szCs w:val="20"/>
          <w:color w:val="auto"/>
        </w:rPr>
      </w:pPr>
    </w:p>
    <w:p>
      <w:pPr>
        <w:ind w:left="200" w:right="140"/>
        <w:spacing w:after="0" w:line="245" w:lineRule="auto"/>
        <w:rPr>
          <w:sz w:val="20"/>
          <w:szCs w:val="20"/>
          <w:color w:val="auto"/>
        </w:rPr>
      </w:pPr>
      <w:r>
        <w:rPr>
          <w:rFonts w:ascii="Arial" w:cs="Arial" w:eastAsia="Arial" w:hAnsi="Arial"/>
          <w:sz w:val="18"/>
          <w:szCs w:val="18"/>
          <w:color w:val="auto"/>
        </w:rPr>
        <w:t>Based on the Company’s average operating margin percent for the 3-year performance period of 2015-2018, the Committee determined the 2015 performance share unit awards vested at 140% of the target level. The operating profit dollar gate for these awards was also reached, so the NEOs received the actual performance share units earned under the 2015 award. These shares vested and were settled in common stock in February 2018, after the Committee determined the achievement of the performance goals. The number of shares earned for the each of the NEOs is as follows:</w:t>
      </w:r>
    </w:p>
    <w:p>
      <w:pPr>
        <w:spacing w:after="0" w:line="108" w:lineRule="exact"/>
        <w:rPr>
          <w:sz w:val="20"/>
          <w:szCs w:val="20"/>
          <w:color w:val="auto"/>
        </w:rPr>
      </w:pPr>
    </w:p>
    <w:tbl>
      <w:tblPr>
        <w:tblLayout w:type="fixed"/>
        <w:tblInd w:w="1080" w:type="dxa"/>
        <w:tblCellMar>
          <w:top w:w="0" w:type="dxa"/>
          <w:left w:w="0" w:type="dxa"/>
          <w:bottom w:w="0" w:type="dxa"/>
          <w:right w:w="0" w:type="dxa"/>
        </w:tblCellMar>
      </w:tblPr>
      <w:tr>
        <w:trPr>
          <w:trHeight w:val="257"/>
        </w:trPr>
        <w:tc>
          <w:tcPr>
            <w:tcW w:w="3920" w:type="dxa"/>
            <w:vAlign w:val="bottom"/>
            <w:tcBorders>
              <w:top w:val="single" w:sz="8" w:color="auto"/>
            </w:tcBorders>
            <w:shd w:val="clear" w:color="auto" w:fill="9DB8D2"/>
          </w:tcPr>
          <w:p>
            <w:pPr>
              <w:spacing w:after="0"/>
              <w:rPr>
                <w:sz w:val="22"/>
                <w:szCs w:val="22"/>
                <w:color w:val="auto"/>
              </w:rPr>
            </w:pPr>
          </w:p>
        </w:tc>
        <w:tc>
          <w:tcPr>
            <w:tcW w:w="3060" w:type="dxa"/>
            <w:vAlign w:val="bottom"/>
            <w:tcBorders>
              <w:top w:val="single" w:sz="8" w:color="auto"/>
            </w:tcBorders>
            <w:shd w:val="clear" w:color="auto" w:fill="9DB8D2"/>
          </w:tcPr>
          <w:p>
            <w:pPr>
              <w:jc w:val="right"/>
              <w:ind w:right="582"/>
              <w:spacing w:after="0"/>
              <w:rPr>
                <w:sz w:val="20"/>
                <w:szCs w:val="20"/>
                <w:color w:val="auto"/>
              </w:rPr>
            </w:pPr>
            <w:r>
              <w:rPr>
                <w:rFonts w:ascii="Arial" w:cs="Arial" w:eastAsia="Arial" w:hAnsi="Arial"/>
                <w:sz w:val="14"/>
                <w:szCs w:val="14"/>
                <w:b w:val="1"/>
                <w:bCs w:val="1"/>
                <w:color w:val="auto"/>
              </w:rPr>
              <w:t>Performance Share</w:t>
            </w:r>
          </w:p>
        </w:tc>
        <w:tc>
          <w:tcPr>
            <w:tcW w:w="2280" w:type="dxa"/>
            <w:vAlign w:val="bottom"/>
            <w:tcBorders>
              <w:top w:val="single" w:sz="8" w:color="auto"/>
            </w:tcBorders>
            <w:shd w:val="clear" w:color="auto" w:fill="9DB8D2"/>
          </w:tcPr>
          <w:p>
            <w:pPr>
              <w:jc w:val="right"/>
              <w:ind w:right="222"/>
              <w:spacing w:after="0"/>
              <w:rPr>
                <w:sz w:val="20"/>
                <w:szCs w:val="20"/>
                <w:color w:val="auto"/>
              </w:rPr>
            </w:pPr>
            <w:r>
              <w:rPr>
                <w:rFonts w:ascii="Arial" w:cs="Arial" w:eastAsia="Arial" w:hAnsi="Arial"/>
                <w:sz w:val="14"/>
                <w:szCs w:val="14"/>
                <w:b w:val="1"/>
                <w:bCs w:val="1"/>
                <w:color w:val="auto"/>
              </w:rPr>
              <w:t>Performance Share</w:t>
            </w:r>
          </w:p>
        </w:tc>
      </w:tr>
      <w:tr>
        <w:trPr>
          <w:trHeight w:val="189"/>
        </w:trPr>
        <w:tc>
          <w:tcPr>
            <w:tcW w:w="392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NEO</w:t>
            </w:r>
          </w:p>
        </w:tc>
        <w:tc>
          <w:tcPr>
            <w:tcW w:w="3060" w:type="dxa"/>
            <w:vAlign w:val="bottom"/>
            <w:tcBorders>
              <w:bottom w:val="single" w:sz="8" w:color="auto"/>
            </w:tcBorders>
            <w:shd w:val="clear" w:color="auto" w:fill="9DB8D2"/>
          </w:tcPr>
          <w:p>
            <w:pPr>
              <w:jc w:val="right"/>
              <w:ind w:right="682"/>
              <w:spacing w:after="0"/>
              <w:rPr>
                <w:sz w:val="20"/>
                <w:szCs w:val="20"/>
                <w:color w:val="auto"/>
              </w:rPr>
            </w:pPr>
            <w:r>
              <w:rPr>
                <w:rFonts w:ascii="Arial" w:cs="Arial" w:eastAsia="Arial" w:hAnsi="Arial"/>
                <w:sz w:val="14"/>
                <w:szCs w:val="14"/>
                <w:b w:val="1"/>
                <w:bCs w:val="1"/>
                <w:color w:val="auto"/>
              </w:rPr>
              <w:t>Units Granted(#)</w:t>
            </w:r>
          </w:p>
        </w:tc>
        <w:tc>
          <w:tcPr>
            <w:tcW w:w="2280" w:type="dxa"/>
            <w:vAlign w:val="bottom"/>
            <w:tcBorders>
              <w:bottom w:val="single" w:sz="8" w:color="auto"/>
            </w:tcBorders>
            <w:shd w:val="clear" w:color="auto" w:fill="9DB8D2"/>
          </w:tcPr>
          <w:p>
            <w:pPr>
              <w:jc w:val="right"/>
              <w:ind w:right="362"/>
              <w:spacing w:after="0"/>
              <w:rPr>
                <w:sz w:val="20"/>
                <w:szCs w:val="20"/>
                <w:color w:val="auto"/>
              </w:rPr>
            </w:pPr>
            <w:r>
              <w:rPr>
                <w:rFonts w:ascii="Arial" w:cs="Arial" w:eastAsia="Arial" w:hAnsi="Arial"/>
                <w:sz w:val="14"/>
                <w:szCs w:val="14"/>
                <w:b w:val="1"/>
                <w:bCs w:val="1"/>
                <w:color w:val="auto"/>
              </w:rPr>
              <w:t>Units Earned(#)</w:t>
            </w:r>
          </w:p>
        </w:tc>
      </w:tr>
      <w:tr>
        <w:trPr>
          <w:trHeight w:val="250"/>
        </w:trPr>
        <w:tc>
          <w:tcPr>
            <w:tcW w:w="3920" w:type="dxa"/>
            <w:vAlign w:val="bottom"/>
            <w:shd w:val="clear" w:color="auto" w:fill="E6EDF3"/>
          </w:tcPr>
          <w:p>
            <w:pPr>
              <w:ind w:left="80"/>
              <w:spacing w:after="0"/>
              <w:rPr>
                <w:sz w:val="20"/>
                <w:szCs w:val="20"/>
                <w:color w:val="auto"/>
              </w:rPr>
            </w:pPr>
            <w:r>
              <w:rPr>
                <w:rFonts w:ascii="Arial" w:cs="Arial" w:eastAsia="Arial" w:hAnsi="Arial"/>
                <w:sz w:val="16"/>
                <w:szCs w:val="16"/>
                <w:color w:val="auto"/>
              </w:rPr>
              <w:t>Jonas Prising</w:t>
            </w:r>
          </w:p>
        </w:tc>
        <w:tc>
          <w:tcPr>
            <w:tcW w:w="3060" w:type="dxa"/>
            <w:vAlign w:val="bottom"/>
            <w:shd w:val="clear" w:color="auto" w:fill="E6EDF3"/>
          </w:tcPr>
          <w:p>
            <w:pPr>
              <w:jc w:val="right"/>
              <w:ind w:right="962"/>
              <w:spacing w:after="0"/>
              <w:rPr>
                <w:sz w:val="20"/>
                <w:szCs w:val="20"/>
                <w:color w:val="auto"/>
              </w:rPr>
            </w:pPr>
            <w:r>
              <w:rPr>
                <w:rFonts w:ascii="Arial" w:cs="Arial" w:eastAsia="Arial" w:hAnsi="Arial"/>
                <w:sz w:val="16"/>
                <w:szCs w:val="16"/>
                <w:color w:val="auto"/>
              </w:rPr>
              <w:t>43,966</w:t>
            </w:r>
          </w:p>
        </w:tc>
        <w:tc>
          <w:tcPr>
            <w:tcW w:w="2280" w:type="dxa"/>
            <w:vAlign w:val="bottom"/>
            <w:shd w:val="clear" w:color="auto" w:fill="E6EDF3"/>
          </w:tcPr>
          <w:p>
            <w:pPr>
              <w:jc w:val="right"/>
              <w:ind w:right="562"/>
              <w:spacing w:after="0"/>
              <w:rPr>
                <w:sz w:val="20"/>
                <w:szCs w:val="20"/>
                <w:color w:val="auto"/>
              </w:rPr>
            </w:pPr>
            <w:r>
              <w:rPr>
                <w:rFonts w:ascii="Arial" w:cs="Arial" w:eastAsia="Arial" w:hAnsi="Arial"/>
                <w:sz w:val="16"/>
                <w:szCs w:val="16"/>
                <w:color w:val="auto"/>
              </w:rPr>
              <w:t>61,552</w:t>
            </w:r>
          </w:p>
        </w:tc>
      </w:tr>
      <w:tr>
        <w:trPr>
          <w:trHeight w:val="249"/>
        </w:trPr>
        <w:tc>
          <w:tcPr>
            <w:tcW w:w="3920" w:type="dxa"/>
            <w:vAlign w:val="bottom"/>
          </w:tcPr>
          <w:p>
            <w:pPr>
              <w:ind w:left="80"/>
              <w:spacing w:after="0"/>
              <w:rPr>
                <w:sz w:val="20"/>
                <w:szCs w:val="20"/>
                <w:color w:val="auto"/>
              </w:rPr>
            </w:pPr>
            <w:r>
              <w:rPr>
                <w:rFonts w:ascii="Arial" w:cs="Arial" w:eastAsia="Arial" w:hAnsi="Arial"/>
                <w:sz w:val="16"/>
                <w:szCs w:val="16"/>
                <w:color w:val="auto"/>
              </w:rPr>
              <w:t>John T. McGinnis(1)</w:t>
            </w:r>
          </w:p>
        </w:tc>
        <w:tc>
          <w:tcPr>
            <w:tcW w:w="3060" w:type="dxa"/>
            <w:vAlign w:val="bottom"/>
          </w:tcPr>
          <w:p>
            <w:pPr>
              <w:jc w:val="right"/>
              <w:ind w:right="962"/>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562"/>
              <w:spacing w:after="0"/>
              <w:rPr>
                <w:sz w:val="20"/>
                <w:szCs w:val="20"/>
                <w:color w:val="auto"/>
              </w:rPr>
            </w:pPr>
            <w:r>
              <w:rPr>
                <w:rFonts w:ascii="Arial" w:cs="Arial" w:eastAsia="Arial" w:hAnsi="Arial"/>
                <w:sz w:val="16"/>
                <w:szCs w:val="16"/>
                <w:color w:val="auto"/>
              </w:rPr>
              <w:t>—</w:t>
            </w:r>
          </w:p>
        </w:tc>
      </w:tr>
      <w:tr>
        <w:trPr>
          <w:trHeight w:val="264"/>
        </w:trPr>
        <w:tc>
          <w:tcPr>
            <w:tcW w:w="3920" w:type="dxa"/>
            <w:vAlign w:val="bottom"/>
            <w:shd w:val="clear" w:color="auto" w:fill="E6EDF3"/>
          </w:tcPr>
          <w:p>
            <w:pPr>
              <w:ind w:left="80"/>
              <w:spacing w:after="0"/>
              <w:rPr>
                <w:sz w:val="20"/>
                <w:szCs w:val="20"/>
                <w:color w:val="auto"/>
              </w:rPr>
            </w:pPr>
            <w:r>
              <w:rPr>
                <w:rFonts w:ascii="Arial" w:cs="Arial" w:eastAsia="Arial" w:hAnsi="Arial"/>
                <w:sz w:val="16"/>
                <w:szCs w:val="16"/>
                <w:color w:val="auto"/>
              </w:rPr>
              <w:t>Darryl Green</w:t>
            </w:r>
          </w:p>
        </w:tc>
        <w:tc>
          <w:tcPr>
            <w:tcW w:w="3060" w:type="dxa"/>
            <w:vAlign w:val="bottom"/>
            <w:shd w:val="clear" w:color="auto" w:fill="E6EDF3"/>
          </w:tcPr>
          <w:p>
            <w:pPr>
              <w:jc w:val="right"/>
              <w:ind w:right="962"/>
              <w:spacing w:after="0"/>
              <w:rPr>
                <w:sz w:val="20"/>
                <w:szCs w:val="20"/>
                <w:color w:val="auto"/>
              </w:rPr>
            </w:pPr>
            <w:r>
              <w:rPr>
                <w:rFonts w:ascii="Arial" w:cs="Arial" w:eastAsia="Arial" w:hAnsi="Arial"/>
                <w:sz w:val="16"/>
                <w:szCs w:val="16"/>
                <w:color w:val="auto"/>
              </w:rPr>
              <w:t>27,284</w:t>
            </w:r>
          </w:p>
        </w:tc>
        <w:tc>
          <w:tcPr>
            <w:tcW w:w="2280" w:type="dxa"/>
            <w:vAlign w:val="bottom"/>
            <w:shd w:val="clear" w:color="auto" w:fill="E6EDF3"/>
          </w:tcPr>
          <w:p>
            <w:pPr>
              <w:jc w:val="right"/>
              <w:ind w:right="562"/>
              <w:spacing w:after="0"/>
              <w:rPr>
                <w:sz w:val="20"/>
                <w:szCs w:val="20"/>
                <w:color w:val="auto"/>
              </w:rPr>
            </w:pPr>
            <w:r>
              <w:rPr>
                <w:rFonts w:ascii="Arial" w:cs="Arial" w:eastAsia="Arial" w:hAnsi="Arial"/>
                <w:sz w:val="16"/>
                <w:szCs w:val="16"/>
                <w:color w:val="auto"/>
              </w:rPr>
              <w:t>38,198</w:t>
            </w:r>
          </w:p>
        </w:tc>
      </w:tr>
      <w:tr>
        <w:trPr>
          <w:trHeight w:val="249"/>
        </w:trPr>
        <w:tc>
          <w:tcPr>
            <w:tcW w:w="3920" w:type="dxa"/>
            <w:vAlign w:val="bottom"/>
          </w:tcPr>
          <w:p>
            <w:pPr>
              <w:ind w:left="80"/>
              <w:spacing w:after="0"/>
              <w:rPr>
                <w:sz w:val="20"/>
                <w:szCs w:val="20"/>
                <w:color w:val="auto"/>
              </w:rPr>
            </w:pPr>
            <w:r>
              <w:rPr>
                <w:rFonts w:ascii="Arial" w:cs="Arial" w:eastAsia="Arial" w:hAnsi="Arial"/>
                <w:sz w:val="16"/>
                <w:szCs w:val="16"/>
                <w:color w:val="auto"/>
              </w:rPr>
              <w:t>Ram Chandrashekar</w:t>
            </w:r>
          </w:p>
        </w:tc>
        <w:tc>
          <w:tcPr>
            <w:tcW w:w="3060" w:type="dxa"/>
            <w:vAlign w:val="bottom"/>
          </w:tcPr>
          <w:p>
            <w:pPr>
              <w:jc w:val="right"/>
              <w:ind w:right="962"/>
              <w:spacing w:after="0"/>
              <w:rPr>
                <w:sz w:val="20"/>
                <w:szCs w:val="20"/>
                <w:color w:val="auto"/>
              </w:rPr>
            </w:pPr>
            <w:r>
              <w:rPr>
                <w:rFonts w:ascii="Arial" w:cs="Arial" w:eastAsia="Arial" w:hAnsi="Arial"/>
                <w:sz w:val="16"/>
                <w:szCs w:val="16"/>
                <w:color w:val="auto"/>
              </w:rPr>
              <w:t>10,914</w:t>
            </w:r>
          </w:p>
        </w:tc>
        <w:tc>
          <w:tcPr>
            <w:tcW w:w="2280" w:type="dxa"/>
            <w:vAlign w:val="bottom"/>
          </w:tcPr>
          <w:p>
            <w:pPr>
              <w:jc w:val="right"/>
              <w:ind w:right="562"/>
              <w:spacing w:after="0"/>
              <w:rPr>
                <w:sz w:val="20"/>
                <w:szCs w:val="20"/>
                <w:color w:val="auto"/>
              </w:rPr>
            </w:pPr>
            <w:r>
              <w:rPr>
                <w:rFonts w:ascii="Arial" w:cs="Arial" w:eastAsia="Arial" w:hAnsi="Arial"/>
                <w:sz w:val="16"/>
                <w:szCs w:val="16"/>
                <w:color w:val="auto"/>
              </w:rPr>
              <w:t>15,280</w:t>
            </w:r>
          </w:p>
        </w:tc>
      </w:tr>
      <w:tr>
        <w:trPr>
          <w:trHeight w:val="258"/>
        </w:trPr>
        <w:tc>
          <w:tcPr>
            <w:tcW w:w="392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Mara E. Swan</w:t>
            </w:r>
          </w:p>
        </w:tc>
        <w:tc>
          <w:tcPr>
            <w:tcW w:w="3060" w:type="dxa"/>
            <w:vAlign w:val="bottom"/>
            <w:tcBorders>
              <w:bottom w:val="single" w:sz="8" w:color="auto"/>
            </w:tcBorders>
            <w:shd w:val="clear" w:color="auto" w:fill="E6EDF3"/>
          </w:tcPr>
          <w:p>
            <w:pPr>
              <w:jc w:val="right"/>
              <w:ind w:right="962"/>
              <w:spacing w:after="0"/>
              <w:rPr>
                <w:sz w:val="20"/>
                <w:szCs w:val="20"/>
                <w:color w:val="auto"/>
              </w:rPr>
            </w:pPr>
            <w:r>
              <w:rPr>
                <w:rFonts w:ascii="Arial" w:cs="Arial" w:eastAsia="Arial" w:hAnsi="Arial"/>
                <w:sz w:val="16"/>
                <w:szCs w:val="16"/>
                <w:color w:val="auto"/>
              </w:rPr>
              <w:t>9,355</w:t>
            </w:r>
          </w:p>
        </w:tc>
        <w:tc>
          <w:tcPr>
            <w:tcW w:w="2280" w:type="dxa"/>
            <w:vAlign w:val="bottom"/>
            <w:tcBorders>
              <w:bottom w:val="single" w:sz="8" w:color="auto"/>
            </w:tcBorders>
            <w:shd w:val="clear" w:color="auto" w:fill="E6EDF3"/>
          </w:tcPr>
          <w:p>
            <w:pPr>
              <w:jc w:val="right"/>
              <w:ind w:right="562"/>
              <w:spacing w:after="0"/>
              <w:rPr>
                <w:sz w:val="20"/>
                <w:szCs w:val="20"/>
                <w:color w:val="auto"/>
              </w:rPr>
            </w:pPr>
            <w:r>
              <w:rPr>
                <w:rFonts w:ascii="Arial" w:cs="Arial" w:eastAsia="Arial" w:hAnsi="Arial"/>
                <w:sz w:val="16"/>
                <w:szCs w:val="16"/>
                <w:color w:val="auto"/>
              </w:rPr>
              <w:t>13,097</w:t>
            </w:r>
          </w:p>
        </w:tc>
      </w:tr>
    </w:tbl>
    <w:p>
      <w:pPr>
        <w:spacing w:after="0" w:line="54" w:lineRule="exact"/>
        <w:rPr>
          <w:sz w:val="20"/>
          <w:szCs w:val="20"/>
          <w:color w:val="auto"/>
        </w:rPr>
      </w:pPr>
    </w:p>
    <w:p>
      <w:pPr>
        <w:ind w:left="1520" w:hanging="438"/>
        <w:spacing w:after="0"/>
        <w:tabs>
          <w:tab w:leader="none" w:pos="1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Mr. McGinnis was not an employee at the time of grant.</w:t>
      </w:r>
    </w:p>
    <w:p>
      <w:pPr>
        <w:spacing w:after="0" w:line="140" w:lineRule="exact"/>
        <w:rPr>
          <w:sz w:val="20"/>
          <w:szCs w:val="20"/>
          <w:color w:val="auto"/>
        </w:rPr>
      </w:pPr>
    </w:p>
    <w:p>
      <w:pPr>
        <w:ind w:left="200" w:right="20"/>
        <w:spacing w:after="0" w:line="276"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The Committee uses stock options to align the interests of the NEOs with long-term shareholder value. Consistent with past years, these will vest ratably over a four-year period.</w:t>
      </w:r>
    </w:p>
    <w:p>
      <w:pPr>
        <w:spacing w:after="0" w:line="78"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As stated earlier, the Committee chose to include restricted stock units because they align the interests of the NEOs with long-term shareholder value and add balance to the compensation program as they provide both upside potential and downside risk. In addition, restricted stock units provide a retention incentive to the NEOs as they are only payable in stock if the NEO remains with the Company through the vesting date. The restricted stock units have a three-year cliff vest.</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46</w:t>
      </w:r>
    </w:p>
    <w:p>
      <w:pPr>
        <w:sectPr>
          <w:pgSz w:w="11900" w:h="16838" w:orient="portrait"/>
          <w:cols w:equalWidth="0" w:num="1">
            <w:col w:w="11220"/>
          </w:cols>
          <w:pgMar w:left="24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Career Shares and Deferred Compensation Plans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Career Shares</w:t>
      </w:r>
    </w:p>
    <w:p>
      <w:pPr>
        <w:spacing w:after="0" w:line="104"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The Committee selectively grants restricted stock units in order to provide a retention incentive. These career shares vest completely on a single date several years into the future. The Committee considers each year whether to make any such grants, to whom to make such grants and the size of any such grants. None of the NEOs received a career share grant in 2017.</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Deferred Compensation Plans</w:t>
      </w:r>
    </w:p>
    <w:p>
      <w:pPr>
        <w:spacing w:after="0" w:line="104"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ManpowerGroup maintains tax-qualified 401(k) plans for its U.S. employees. For compliance reasons, once an executive is deemed to be “highly compensated” within the meaning of Section 414(q) of the Internal Revenue Code, the executive is no longer eligible to participate in ManpowerGroup’s 401(k) plans except for “catch-up” contributions for employees over 50. ManpowerGroup maintains a separate non-qualified savings plan for “highly compensated” employees, including eligible executives. The non-qualified plan provides similar benefits to the tax-qualified 401(k) plans, including a Company match and enhanced matching contribution. However, the nonqualified savings plan is a poor substitute because of the inflexibility as to the timing of the payouts and taxability of the retirement benefits relative to a qualified plan. Furthermore, the plan benefits are unsecured and subject to risk of forfeiture in bankruptcy. The Committee maintains this program in an effort to provide NEOs with reasonably competitive benefits to those in the competitive market.</w:t>
      </w:r>
    </w:p>
    <w:p>
      <w:pPr>
        <w:spacing w:after="0" w:line="100" w:lineRule="exact"/>
        <w:rPr>
          <w:sz w:val="20"/>
          <w:szCs w:val="20"/>
          <w:color w:val="auto"/>
        </w:rPr>
      </w:pPr>
    </w:p>
    <w:p>
      <w:pPr>
        <w:ind w:left="200" w:right="160"/>
        <w:spacing w:after="0" w:line="248" w:lineRule="auto"/>
        <w:rPr>
          <w:sz w:val="20"/>
          <w:szCs w:val="20"/>
          <w:color w:val="auto"/>
        </w:rPr>
      </w:pPr>
      <w:r>
        <w:rPr>
          <w:rFonts w:ascii="Arial" w:cs="Arial" w:eastAsia="Arial" w:hAnsi="Arial"/>
          <w:sz w:val="18"/>
          <w:szCs w:val="18"/>
          <w:color w:val="auto"/>
        </w:rPr>
        <w:t>As required under applicable law, we contribute to the Central Provident Fund of Singapore on behalf of Mr. Chandrashekar. The Central Provident Fund is a nondiscriminatory, tax qualified savings plan operated and managed by the government of Singapore, to which the employers of Singapore-based employees are required to contribute. All employees of our Singapore branch participate in the Central Provident Fund.</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Other Benefits</w:t>
      </w:r>
    </w:p>
    <w:p>
      <w:pPr>
        <w:spacing w:after="0" w:line="170" w:lineRule="exact"/>
        <w:rPr>
          <w:sz w:val="20"/>
          <w:szCs w:val="20"/>
          <w:color w:val="auto"/>
        </w:rPr>
      </w:pPr>
    </w:p>
    <w:p>
      <w:pPr>
        <w:ind w:left="200" w:right="340"/>
        <w:spacing w:after="0" w:line="255" w:lineRule="auto"/>
        <w:rPr>
          <w:sz w:val="20"/>
          <w:szCs w:val="20"/>
          <w:color w:val="auto"/>
        </w:rPr>
      </w:pPr>
      <w:r>
        <w:rPr>
          <w:rFonts w:ascii="Arial" w:cs="Arial" w:eastAsia="Arial" w:hAnsi="Arial"/>
          <w:sz w:val="18"/>
          <w:szCs w:val="18"/>
          <w:color w:val="auto"/>
        </w:rPr>
        <w:t>The NEOs participate in the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ManpowerGroup reimburses NEOs for financial planning assistance. This benefit is provided to ensure that executives prepare adequately for retirement, file their taxes and conduct all stock transactions appropriately. In addition, ManpowerGroup provides memberships in clubs for business entertaining to a limited number of executives. Each executive who is provided such a membership pays the expenses for any personal use of these clubs; however, none of the NEOs used these clubs for personal use in 2017. ManpowerGroup also maintains a broad-based auto program that covers approximately 300 management employees in the U.S., including the U.S. based NEOs, except Mr. Prising who no longer participates in the program. Pursuant to this program, ManpowerGroup pays 75% of the cost of a leased car for NEOs based in the U.S. who participate in the program. Consistent with local practice in Singapore, where Mr. Chandrashekar is based, ManpowerGroup provided him with a car in 2017.</w:t>
      </w:r>
    </w:p>
    <w:p>
      <w:pPr>
        <w:spacing w:after="0" w:line="100" w:lineRule="exact"/>
        <w:rPr>
          <w:sz w:val="20"/>
          <w:szCs w:val="20"/>
          <w:color w:val="auto"/>
        </w:rPr>
      </w:pPr>
    </w:p>
    <w:p>
      <w:pPr>
        <w:ind w:left="200" w:right="40"/>
        <w:spacing w:after="0" w:line="276" w:lineRule="auto"/>
        <w:rPr>
          <w:sz w:val="20"/>
          <w:szCs w:val="20"/>
          <w:color w:val="auto"/>
        </w:rPr>
      </w:pPr>
      <w:r>
        <w:rPr>
          <w:rFonts w:ascii="Arial" w:cs="Arial" w:eastAsia="Arial" w:hAnsi="Arial"/>
          <w:sz w:val="18"/>
          <w:szCs w:val="18"/>
          <w:color w:val="auto"/>
        </w:rPr>
        <w:t>Except in connection with expatriate assignments, as discussed below, ManpowerGroup does not pay tax gross ups to its NEOs on any of the above benefits.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Severance Agreements</w:t>
      </w:r>
    </w:p>
    <w:p>
      <w:pPr>
        <w:spacing w:after="0" w:line="144" w:lineRule="exact"/>
        <w:rPr>
          <w:sz w:val="20"/>
          <w:szCs w:val="20"/>
          <w:color w:val="auto"/>
        </w:rPr>
      </w:pPr>
    </w:p>
    <w:p>
      <w:pPr>
        <w:ind w:left="200" w:right="220"/>
        <w:spacing w:after="0" w:line="243" w:lineRule="auto"/>
        <w:rPr>
          <w:sz w:val="20"/>
          <w:szCs w:val="20"/>
          <w:color w:val="auto"/>
        </w:rPr>
      </w:pPr>
      <w:r>
        <w:rPr>
          <w:rFonts w:ascii="Arial" w:cs="Arial" w:eastAsia="Arial" w:hAnsi="Arial"/>
          <w:sz w:val="18"/>
          <w:szCs w:val="18"/>
          <w:color w:val="auto"/>
        </w:rPr>
        <w:t>ManpowerGroup has entered into severance agreements (which include change of control benefits) with each of the NEOs. These severance agreements are more fully described on pages 64-66. The Committee believes that severance and change of control 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 believes that change of control benefits, if structured appropriately, allow the NEOs to focus on their duties and responsibilities during an acquisition.</w:t>
      </w:r>
    </w:p>
    <w:p>
      <w:pPr>
        <w:spacing w:after="0" w:line="93" w:lineRule="exact"/>
        <w:rPr>
          <w:sz w:val="20"/>
          <w:szCs w:val="20"/>
          <w:color w:val="auto"/>
        </w:rPr>
      </w:pPr>
    </w:p>
    <w:p>
      <w:pPr>
        <w:ind w:left="200" w:right="400"/>
        <w:spacing w:after="0" w:line="255" w:lineRule="auto"/>
        <w:rPr>
          <w:sz w:val="20"/>
          <w:szCs w:val="20"/>
          <w:color w:val="auto"/>
        </w:rPr>
      </w:pPr>
      <w:r>
        <w:rPr>
          <w:rFonts w:ascii="Arial" w:cs="Arial" w:eastAsia="Arial" w:hAnsi="Arial"/>
          <w:sz w:val="18"/>
          <w:szCs w:val="18"/>
          <w:color w:val="auto"/>
        </w:rPr>
        <w:t>To align our executive compensation program with best governance practices within the Committee’s philosophy, the Committee has eliminated any tax gross up payments and has adopted double triggers in our severance agreements in order for our NEOs to receive benefits following a change in control.</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Additional Executive Compensation Policies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We Have Stock Ownership Guidelines for Executive Officers</w:t>
      </w:r>
    </w:p>
    <w:p>
      <w:pPr>
        <w:spacing w:after="0" w:line="144"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The Committee believes that NEOs should hold a meaningful stake in ManpowerGroup to align their economic interests with those of other shareholders. To that end, the Committee adopted stock ownership guidelines that currently require each executive to own a target number of shares based on a salary multiple, dependent on the NEO’s position. Under the guidelines, the Committee takes into account actual shares owned by the executive, unvested restricted stock units, and unvested performance share units calculated at the threshold level. The Committee does not consider any stock options or performance share units above the threshold level held by the NEOs. Additionally, to enforce our stock ownership policies, we limit the ability of an executive officer to sell equity until he or she is in compliance with the guidelines. An executive who has not yet met, or who falls below, the stock ownership guidelines, is required to hold 50% of the shares received from the exercise of stock options or the vesting of restricted stock units or performance share units until the ownership guidelines have been satisfied. The following table shows the status as of December 31, 2017 of each of the NEOs guidelines:</w:t>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2780" w:type="dxa"/>
            <w:vAlign w:val="bottom"/>
            <w:tcBorders>
              <w:top w:val="single" w:sz="8" w:color="auto"/>
            </w:tcBorders>
            <w:shd w:val="clear" w:color="auto" w:fill="9DB8D2"/>
          </w:tcPr>
          <w:p>
            <w:pPr>
              <w:spacing w:after="0"/>
              <w:rPr>
                <w:sz w:val="22"/>
                <w:szCs w:val="22"/>
                <w:color w:val="auto"/>
              </w:rPr>
            </w:pPr>
          </w:p>
        </w:tc>
        <w:tc>
          <w:tcPr>
            <w:tcW w:w="1360" w:type="dxa"/>
            <w:vAlign w:val="bottom"/>
            <w:tcBorders>
              <w:top w:val="single" w:sz="8" w:color="auto"/>
            </w:tcBorders>
            <w:shd w:val="clear" w:color="auto" w:fill="9DB8D2"/>
          </w:tcPr>
          <w:p>
            <w:pPr>
              <w:spacing w:after="0"/>
              <w:rPr>
                <w:sz w:val="22"/>
                <w:szCs w:val="22"/>
                <w:color w:val="auto"/>
              </w:rPr>
            </w:pPr>
          </w:p>
        </w:tc>
        <w:tc>
          <w:tcPr>
            <w:tcW w:w="1280" w:type="dxa"/>
            <w:vAlign w:val="bottom"/>
            <w:tcBorders>
              <w:top w:val="single" w:sz="8" w:color="auto"/>
            </w:tcBorders>
            <w:shd w:val="clear" w:color="auto" w:fill="9DB8D2"/>
          </w:tcPr>
          <w:p>
            <w:pPr>
              <w:spacing w:after="0"/>
              <w:rPr>
                <w:sz w:val="22"/>
                <w:szCs w:val="22"/>
                <w:color w:val="auto"/>
              </w:rPr>
            </w:pPr>
          </w:p>
        </w:tc>
        <w:tc>
          <w:tcPr>
            <w:tcW w:w="1220" w:type="dxa"/>
            <w:vAlign w:val="bottom"/>
            <w:tcBorders>
              <w:top w:val="single" w:sz="8" w:color="auto"/>
            </w:tcBorders>
            <w:shd w:val="clear" w:color="auto" w:fill="9DB8D2"/>
          </w:tcPr>
          <w:p>
            <w:pPr>
              <w:spacing w:after="0"/>
              <w:rPr>
                <w:sz w:val="22"/>
                <w:szCs w:val="22"/>
                <w:color w:val="auto"/>
              </w:rPr>
            </w:pPr>
          </w:p>
        </w:tc>
        <w:tc>
          <w:tcPr>
            <w:tcW w:w="1860" w:type="dxa"/>
            <w:vAlign w:val="bottom"/>
            <w:tcBorders>
              <w:top w:val="single" w:sz="8" w:color="auto"/>
            </w:tcBorders>
            <w:shd w:val="clear" w:color="auto" w:fill="9DB8D2"/>
          </w:tcPr>
          <w:p>
            <w:pPr>
              <w:jc w:val="center"/>
              <w:ind w:right="183"/>
              <w:spacing w:after="0"/>
              <w:rPr>
                <w:sz w:val="20"/>
                <w:szCs w:val="20"/>
                <w:color w:val="auto"/>
              </w:rPr>
            </w:pPr>
            <w:r>
              <w:rPr>
                <w:rFonts w:ascii="Arial" w:cs="Arial" w:eastAsia="Arial" w:hAnsi="Arial"/>
                <w:sz w:val="14"/>
                <w:szCs w:val="14"/>
                <w:b w:val="1"/>
                <w:bCs w:val="1"/>
                <w:color w:val="auto"/>
              </w:rPr>
              <w:t>Number of</w:t>
            </w:r>
          </w:p>
        </w:tc>
        <w:tc>
          <w:tcPr>
            <w:tcW w:w="2520" w:type="dxa"/>
            <w:vAlign w:val="bottom"/>
            <w:tcBorders>
              <w:top w:val="single" w:sz="8" w:color="auto"/>
            </w:tcBorders>
            <w:shd w:val="clear" w:color="auto" w:fill="9DB8D2"/>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9DB8D2"/>
          </w:tcPr>
          <w:p>
            <w:pPr>
              <w:spacing w:after="0"/>
              <w:rPr>
                <w:sz w:val="14"/>
                <w:szCs w:val="14"/>
                <w:color w:val="auto"/>
              </w:rPr>
            </w:pPr>
          </w:p>
        </w:tc>
        <w:tc>
          <w:tcPr>
            <w:tcW w:w="1360" w:type="dxa"/>
            <w:vAlign w:val="bottom"/>
            <w:shd w:val="clear" w:color="auto" w:fill="9DB8D2"/>
          </w:tcPr>
          <w:p>
            <w:pPr>
              <w:ind w:left="400"/>
              <w:spacing w:after="0"/>
              <w:rPr>
                <w:sz w:val="20"/>
                <w:szCs w:val="20"/>
                <w:color w:val="auto"/>
              </w:rPr>
            </w:pPr>
            <w:r>
              <w:rPr>
                <w:rFonts w:ascii="Arial" w:cs="Arial" w:eastAsia="Arial" w:hAnsi="Arial"/>
                <w:sz w:val="14"/>
                <w:szCs w:val="14"/>
                <w:b w:val="1"/>
                <w:bCs w:val="1"/>
                <w:color w:val="auto"/>
              </w:rPr>
              <w:t>Target as</w:t>
            </w:r>
          </w:p>
        </w:tc>
        <w:tc>
          <w:tcPr>
            <w:tcW w:w="1280" w:type="dxa"/>
            <w:vAlign w:val="bottom"/>
            <w:shd w:val="clear" w:color="auto" w:fill="9DB8D2"/>
          </w:tcPr>
          <w:p>
            <w:pPr>
              <w:spacing w:after="0"/>
              <w:rPr>
                <w:sz w:val="14"/>
                <w:szCs w:val="14"/>
                <w:color w:val="auto"/>
              </w:rPr>
            </w:pPr>
          </w:p>
        </w:tc>
        <w:tc>
          <w:tcPr>
            <w:tcW w:w="12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860" w:type="dxa"/>
            <w:vAlign w:val="bottom"/>
            <w:shd w:val="clear" w:color="auto" w:fill="9DB8D2"/>
          </w:tcPr>
          <w:p>
            <w:pPr>
              <w:jc w:val="center"/>
              <w:ind w:right="183"/>
              <w:spacing w:after="0"/>
              <w:rPr>
                <w:sz w:val="20"/>
                <w:szCs w:val="20"/>
                <w:color w:val="auto"/>
              </w:rPr>
            </w:pPr>
            <w:r>
              <w:rPr>
                <w:rFonts w:ascii="Arial" w:cs="Arial" w:eastAsia="Arial" w:hAnsi="Arial"/>
                <w:sz w:val="14"/>
                <w:szCs w:val="14"/>
                <w:b w:val="1"/>
                <w:bCs w:val="1"/>
                <w:color w:val="auto"/>
              </w:rPr>
              <w:t>shares held as</w:t>
            </w:r>
          </w:p>
        </w:tc>
        <w:tc>
          <w:tcPr>
            <w:tcW w:w="2520" w:type="dxa"/>
            <w:vAlign w:val="bottom"/>
            <w:vMerge w:val="restart"/>
            <w:shd w:val="clear" w:color="auto" w:fill="9DB8D2"/>
          </w:tcPr>
          <w:p>
            <w:pPr>
              <w:ind w:left="800"/>
              <w:spacing w:after="0"/>
              <w:rPr>
                <w:sz w:val="20"/>
                <w:szCs w:val="20"/>
                <w:color w:val="auto"/>
              </w:rPr>
            </w:pPr>
            <w:r>
              <w:rPr>
                <w:rFonts w:ascii="Arial" w:cs="Arial" w:eastAsia="Arial" w:hAnsi="Arial"/>
                <w:sz w:val="14"/>
                <w:szCs w:val="14"/>
                <w:b w:val="1"/>
                <w:bCs w:val="1"/>
                <w:color w:val="auto"/>
              </w:rPr>
              <w:t>Status as of</w:t>
            </w:r>
          </w:p>
        </w:tc>
        <w:tc>
          <w:tcPr>
            <w:tcW w:w="0" w:type="dxa"/>
            <w:vAlign w:val="bottom"/>
          </w:tcPr>
          <w:p>
            <w:pPr>
              <w:spacing w:after="0"/>
              <w:rPr>
                <w:sz w:val="1"/>
                <w:szCs w:val="1"/>
                <w:color w:val="auto"/>
              </w:rPr>
            </w:pPr>
          </w:p>
        </w:tc>
      </w:tr>
      <w:tr>
        <w:trPr>
          <w:trHeight w:val="150"/>
        </w:trPr>
        <w:tc>
          <w:tcPr>
            <w:tcW w:w="2780" w:type="dxa"/>
            <w:vAlign w:val="bottom"/>
            <w:shd w:val="clear" w:color="auto" w:fill="9DB8D2"/>
          </w:tcPr>
          <w:p>
            <w:pPr>
              <w:spacing w:after="0"/>
              <w:rPr>
                <w:sz w:val="13"/>
                <w:szCs w:val="13"/>
                <w:color w:val="auto"/>
              </w:rPr>
            </w:pPr>
          </w:p>
        </w:tc>
        <w:tc>
          <w:tcPr>
            <w:tcW w:w="1360" w:type="dxa"/>
            <w:vAlign w:val="bottom"/>
            <w:shd w:val="clear" w:color="auto" w:fill="9DB8D2"/>
          </w:tcPr>
          <w:p>
            <w:pPr>
              <w:ind w:left="380"/>
              <w:spacing w:after="0" w:line="151" w:lineRule="exact"/>
              <w:rPr>
                <w:sz w:val="20"/>
                <w:szCs w:val="20"/>
                <w:color w:val="auto"/>
              </w:rPr>
            </w:pPr>
            <w:r>
              <w:rPr>
                <w:rFonts w:ascii="Arial" w:cs="Arial" w:eastAsia="Arial" w:hAnsi="Arial"/>
                <w:sz w:val="14"/>
                <w:szCs w:val="14"/>
                <w:b w:val="1"/>
                <w:bCs w:val="1"/>
                <w:color w:val="auto"/>
              </w:rPr>
              <w:t>a multiple</w:t>
            </w:r>
          </w:p>
        </w:tc>
        <w:tc>
          <w:tcPr>
            <w:tcW w:w="1280" w:type="dxa"/>
            <w:vAlign w:val="bottom"/>
            <w:shd w:val="clear" w:color="auto" w:fill="9DB8D2"/>
          </w:tcPr>
          <w:p>
            <w:pPr>
              <w:jc w:val="right"/>
              <w:ind w:right="382"/>
              <w:spacing w:after="0" w:line="151" w:lineRule="exact"/>
              <w:rPr>
                <w:sz w:val="20"/>
                <w:szCs w:val="20"/>
                <w:color w:val="auto"/>
              </w:rPr>
            </w:pPr>
            <w:r>
              <w:rPr>
                <w:rFonts w:ascii="Arial" w:cs="Arial" w:eastAsia="Arial" w:hAnsi="Arial"/>
                <w:sz w:val="14"/>
                <w:szCs w:val="14"/>
                <w:b w:val="1"/>
                <w:bCs w:val="1"/>
                <w:color w:val="auto"/>
              </w:rPr>
              <w:t>Target</w:t>
            </w:r>
          </w:p>
        </w:tc>
        <w:tc>
          <w:tcPr>
            <w:tcW w:w="1220" w:type="dxa"/>
            <w:vAlign w:val="bottom"/>
            <w:shd w:val="clear" w:color="auto" w:fill="9DB8D2"/>
          </w:tcPr>
          <w:p>
            <w:pPr>
              <w:jc w:val="center"/>
              <w:spacing w:after="0" w:line="151" w:lineRule="exact"/>
              <w:rPr>
                <w:sz w:val="20"/>
                <w:szCs w:val="20"/>
                <w:color w:val="auto"/>
              </w:rPr>
            </w:pPr>
            <w:r>
              <w:rPr>
                <w:rFonts w:ascii="Arial" w:cs="Arial" w:eastAsia="Arial" w:hAnsi="Arial"/>
                <w:sz w:val="14"/>
                <w:szCs w:val="14"/>
                <w:b w:val="1"/>
                <w:bCs w:val="1"/>
                <w:color w:val="auto"/>
              </w:rPr>
              <w:t>number of</w:t>
            </w:r>
          </w:p>
        </w:tc>
        <w:tc>
          <w:tcPr>
            <w:tcW w:w="1860" w:type="dxa"/>
            <w:vAlign w:val="bottom"/>
            <w:shd w:val="clear" w:color="auto" w:fill="9DB8D2"/>
          </w:tcPr>
          <w:p>
            <w:pPr>
              <w:jc w:val="center"/>
              <w:ind w:right="183"/>
              <w:spacing w:after="0" w:line="151" w:lineRule="exact"/>
              <w:rPr>
                <w:sz w:val="20"/>
                <w:szCs w:val="20"/>
                <w:color w:val="auto"/>
              </w:rPr>
            </w:pPr>
            <w:r>
              <w:rPr>
                <w:rFonts w:ascii="Arial" w:cs="Arial" w:eastAsia="Arial" w:hAnsi="Arial"/>
                <w:sz w:val="14"/>
                <w:szCs w:val="14"/>
                <w:b w:val="1"/>
                <w:bCs w:val="1"/>
                <w:color w:val="auto"/>
              </w:rPr>
              <w:t>of December 31,</w:t>
            </w:r>
          </w:p>
        </w:tc>
        <w:tc>
          <w:tcPr>
            <w:tcW w:w="2520" w:type="dxa"/>
            <w:vAlign w:val="bottom"/>
            <w:vMerge w:val="continue"/>
            <w:shd w:val="clear" w:color="auto" w:fill="9DB8D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78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NEO</w:t>
            </w:r>
          </w:p>
        </w:tc>
        <w:tc>
          <w:tcPr>
            <w:tcW w:w="1360" w:type="dxa"/>
            <w:vAlign w:val="bottom"/>
            <w:tcBorders>
              <w:bottom w:val="single" w:sz="8" w:color="auto"/>
            </w:tcBorders>
            <w:shd w:val="clear" w:color="auto" w:fill="9DB8D2"/>
          </w:tcPr>
          <w:p>
            <w:pPr>
              <w:ind w:left="420"/>
              <w:spacing w:after="0"/>
              <w:rPr>
                <w:sz w:val="20"/>
                <w:szCs w:val="20"/>
                <w:color w:val="auto"/>
              </w:rPr>
            </w:pPr>
            <w:r>
              <w:rPr>
                <w:rFonts w:ascii="Arial" w:cs="Arial" w:eastAsia="Arial" w:hAnsi="Arial"/>
                <w:sz w:val="14"/>
                <w:szCs w:val="14"/>
                <w:b w:val="1"/>
                <w:bCs w:val="1"/>
                <w:color w:val="auto"/>
              </w:rPr>
              <w:t>of salary</w:t>
            </w:r>
          </w:p>
        </w:tc>
        <w:tc>
          <w:tcPr>
            <w:tcW w:w="1280" w:type="dxa"/>
            <w:vAlign w:val="bottom"/>
            <w:tcBorders>
              <w:bottom w:val="single" w:sz="8" w:color="auto"/>
            </w:tcBorders>
            <w:shd w:val="clear" w:color="auto" w:fill="9DB8D2"/>
          </w:tcPr>
          <w:p>
            <w:pPr>
              <w:jc w:val="right"/>
              <w:ind w:right="322"/>
              <w:spacing w:after="0"/>
              <w:rPr>
                <w:sz w:val="20"/>
                <w:szCs w:val="20"/>
                <w:color w:val="auto"/>
              </w:rPr>
            </w:pPr>
            <w:r>
              <w:rPr>
                <w:rFonts w:ascii="Arial" w:cs="Arial" w:eastAsia="Arial" w:hAnsi="Arial"/>
                <w:sz w:val="14"/>
                <w:szCs w:val="14"/>
                <w:b w:val="1"/>
                <w:bCs w:val="1"/>
                <w:color w:val="auto"/>
              </w:rPr>
              <w:t>value($)</w:t>
            </w:r>
          </w:p>
        </w:tc>
        <w:tc>
          <w:tcPr>
            <w:tcW w:w="12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shares(#)</w:t>
            </w:r>
          </w:p>
        </w:tc>
        <w:tc>
          <w:tcPr>
            <w:tcW w:w="1860" w:type="dxa"/>
            <w:vAlign w:val="bottom"/>
            <w:tcBorders>
              <w:bottom w:val="single" w:sz="8" w:color="auto"/>
            </w:tcBorders>
            <w:shd w:val="clear" w:color="auto" w:fill="9DB8D2"/>
          </w:tcPr>
          <w:p>
            <w:pPr>
              <w:jc w:val="center"/>
              <w:ind w:right="163"/>
              <w:spacing w:after="0"/>
              <w:rPr>
                <w:sz w:val="20"/>
                <w:szCs w:val="20"/>
                <w:color w:val="auto"/>
              </w:rPr>
            </w:pPr>
            <w:r>
              <w:rPr>
                <w:rFonts w:ascii="Arial" w:cs="Arial" w:eastAsia="Arial" w:hAnsi="Arial"/>
                <w:sz w:val="14"/>
                <w:szCs w:val="14"/>
                <w:b w:val="1"/>
                <w:bCs w:val="1"/>
                <w:color w:val="auto"/>
              </w:rPr>
              <w:t>2017(#)</w:t>
            </w:r>
          </w:p>
        </w:tc>
        <w:tc>
          <w:tcPr>
            <w:tcW w:w="2520" w:type="dxa"/>
            <w:vAlign w:val="bottom"/>
            <w:tcBorders>
              <w:bottom w:val="single" w:sz="8" w:color="auto"/>
            </w:tcBorders>
            <w:shd w:val="clear" w:color="auto" w:fill="9DB8D2"/>
          </w:tcPr>
          <w:p>
            <w:pPr>
              <w:ind w:left="480"/>
              <w:spacing w:after="0"/>
              <w:rPr>
                <w:sz w:val="20"/>
                <w:szCs w:val="20"/>
                <w:color w:val="auto"/>
              </w:rPr>
            </w:pPr>
            <w:r>
              <w:rPr>
                <w:rFonts w:ascii="Arial" w:cs="Arial" w:eastAsia="Arial" w:hAnsi="Arial"/>
                <w:sz w:val="14"/>
                <w:szCs w:val="14"/>
                <w:b w:val="1"/>
                <w:bCs w:val="1"/>
                <w:color w:val="auto"/>
              </w:rPr>
              <w:t>December 31, 2017(1)</w:t>
            </w:r>
          </w:p>
        </w:tc>
        <w:tc>
          <w:tcPr>
            <w:tcW w:w="0" w:type="dxa"/>
            <w:vAlign w:val="bottom"/>
          </w:tcPr>
          <w:p>
            <w:pPr>
              <w:spacing w:after="0"/>
              <w:rPr>
                <w:sz w:val="1"/>
                <w:szCs w:val="1"/>
                <w:color w:val="auto"/>
              </w:rPr>
            </w:pPr>
          </w:p>
        </w:tc>
      </w:tr>
      <w:tr>
        <w:trPr>
          <w:trHeight w:val="183"/>
        </w:trPr>
        <w:tc>
          <w:tcPr>
            <w:tcW w:w="2780" w:type="dxa"/>
            <w:vAlign w:val="bottom"/>
            <w:shd w:val="clear" w:color="auto" w:fill="E6EDF3"/>
          </w:tcPr>
          <w:p>
            <w:pPr>
              <w:ind w:left="60"/>
              <w:spacing w:after="0" w:line="183" w:lineRule="exact"/>
              <w:rPr>
                <w:sz w:val="20"/>
                <w:szCs w:val="20"/>
                <w:color w:val="auto"/>
              </w:rPr>
            </w:pPr>
            <w:r>
              <w:rPr>
                <w:rFonts w:ascii="Arial" w:cs="Arial" w:eastAsia="Arial" w:hAnsi="Arial"/>
                <w:sz w:val="16"/>
                <w:szCs w:val="16"/>
                <w:color w:val="auto"/>
              </w:rPr>
              <w:t>Jonas Prising</w:t>
            </w:r>
          </w:p>
        </w:tc>
        <w:tc>
          <w:tcPr>
            <w:tcW w:w="1360" w:type="dxa"/>
            <w:vAlign w:val="bottom"/>
            <w:shd w:val="clear" w:color="auto" w:fill="E6EDF3"/>
          </w:tcPr>
          <w:p>
            <w:pPr>
              <w:jc w:val="right"/>
              <w:ind w:right="442"/>
              <w:spacing w:after="0" w:line="183" w:lineRule="exact"/>
              <w:rPr>
                <w:sz w:val="20"/>
                <w:szCs w:val="20"/>
                <w:color w:val="auto"/>
              </w:rPr>
            </w:pPr>
            <w:r>
              <w:rPr>
                <w:rFonts w:ascii="Arial" w:cs="Arial" w:eastAsia="Arial" w:hAnsi="Arial"/>
                <w:sz w:val="16"/>
                <w:szCs w:val="16"/>
                <w:color w:val="auto"/>
              </w:rPr>
              <w:t>6</w:t>
            </w:r>
          </w:p>
        </w:tc>
        <w:tc>
          <w:tcPr>
            <w:tcW w:w="1280" w:type="dxa"/>
            <w:vAlign w:val="bottom"/>
            <w:shd w:val="clear" w:color="auto" w:fill="E6EDF3"/>
          </w:tcPr>
          <w:p>
            <w:pPr>
              <w:jc w:val="right"/>
              <w:ind w:right="182"/>
              <w:spacing w:after="0" w:line="183" w:lineRule="exact"/>
              <w:rPr>
                <w:sz w:val="20"/>
                <w:szCs w:val="20"/>
                <w:color w:val="auto"/>
              </w:rPr>
            </w:pPr>
            <w:r>
              <w:rPr>
                <w:rFonts w:ascii="Arial" w:cs="Arial" w:eastAsia="Arial" w:hAnsi="Arial"/>
                <w:sz w:val="16"/>
                <w:szCs w:val="16"/>
                <w:color w:val="auto"/>
              </w:rPr>
              <w:t>6,600,000</w:t>
            </w:r>
          </w:p>
        </w:tc>
        <w:tc>
          <w:tcPr>
            <w:tcW w:w="1220" w:type="dxa"/>
            <w:vAlign w:val="bottom"/>
            <w:shd w:val="clear" w:color="auto" w:fill="E6EDF3"/>
          </w:tcPr>
          <w:p>
            <w:pPr>
              <w:jc w:val="right"/>
              <w:ind w:right="182"/>
              <w:spacing w:after="0" w:line="183" w:lineRule="exact"/>
              <w:rPr>
                <w:sz w:val="20"/>
                <w:szCs w:val="20"/>
                <w:color w:val="auto"/>
              </w:rPr>
            </w:pPr>
            <w:r>
              <w:rPr>
                <w:rFonts w:ascii="Arial" w:cs="Arial" w:eastAsia="Arial" w:hAnsi="Arial"/>
                <w:sz w:val="16"/>
                <w:szCs w:val="16"/>
                <w:color w:val="auto"/>
              </w:rPr>
              <w:t>94,011</w:t>
            </w:r>
          </w:p>
        </w:tc>
        <w:tc>
          <w:tcPr>
            <w:tcW w:w="1860" w:type="dxa"/>
            <w:vAlign w:val="bottom"/>
            <w:shd w:val="clear" w:color="auto" w:fill="E6EDF3"/>
          </w:tcPr>
          <w:p>
            <w:pPr>
              <w:jc w:val="right"/>
              <w:ind w:right="423"/>
              <w:spacing w:after="0" w:line="183" w:lineRule="exact"/>
              <w:rPr>
                <w:sz w:val="20"/>
                <w:szCs w:val="20"/>
                <w:color w:val="auto"/>
              </w:rPr>
            </w:pPr>
            <w:r>
              <w:rPr>
                <w:rFonts w:ascii="Arial" w:cs="Arial" w:eastAsia="Arial" w:hAnsi="Arial"/>
                <w:sz w:val="16"/>
                <w:szCs w:val="16"/>
                <w:color w:val="auto"/>
              </w:rPr>
              <w:t>270,710</w:t>
            </w:r>
          </w:p>
        </w:tc>
        <w:tc>
          <w:tcPr>
            <w:tcW w:w="2520" w:type="dxa"/>
            <w:vAlign w:val="bottom"/>
            <w:shd w:val="clear" w:color="auto" w:fill="E6EDF3"/>
          </w:tcPr>
          <w:p>
            <w:pPr>
              <w:ind w:left="780"/>
              <w:spacing w:after="0" w:line="183" w:lineRule="exact"/>
              <w:rPr>
                <w:sz w:val="20"/>
                <w:szCs w:val="20"/>
                <w:color w:val="auto"/>
              </w:rPr>
            </w:pPr>
            <w:r>
              <w:rPr>
                <w:rFonts w:ascii="Arial" w:cs="Arial" w:eastAsia="Arial" w:hAnsi="Arial"/>
                <w:sz w:val="16"/>
                <w:szCs w:val="16"/>
                <w:color w:val="auto"/>
              </w:rPr>
              <w:t>Guideline Met</w:t>
            </w:r>
          </w:p>
        </w:tc>
        <w:tc>
          <w:tcPr>
            <w:tcW w:w="0" w:type="dxa"/>
            <w:vAlign w:val="bottom"/>
          </w:tcPr>
          <w:p>
            <w:pPr>
              <w:spacing w:after="0"/>
              <w:rPr>
                <w:sz w:val="1"/>
                <w:szCs w:val="1"/>
                <w:color w:val="auto"/>
              </w:rPr>
            </w:pPr>
          </w:p>
        </w:tc>
      </w:tr>
      <w:tr>
        <w:trPr>
          <w:trHeight w:val="189"/>
        </w:trPr>
        <w:tc>
          <w:tcPr>
            <w:tcW w:w="2780" w:type="dxa"/>
            <w:vAlign w:val="bottom"/>
          </w:tcPr>
          <w:p>
            <w:pPr>
              <w:ind w:left="60"/>
              <w:spacing w:after="0"/>
              <w:rPr>
                <w:sz w:val="20"/>
                <w:szCs w:val="20"/>
                <w:color w:val="auto"/>
              </w:rPr>
            </w:pPr>
            <w:r>
              <w:rPr>
                <w:rFonts w:ascii="Arial" w:cs="Arial" w:eastAsia="Arial" w:hAnsi="Arial"/>
                <w:sz w:val="16"/>
                <w:szCs w:val="16"/>
                <w:color w:val="auto"/>
              </w:rPr>
              <w:t>John T. McGinnis(2)</w:t>
            </w:r>
          </w:p>
        </w:tc>
        <w:tc>
          <w:tcPr>
            <w:tcW w:w="1360" w:type="dxa"/>
            <w:vAlign w:val="bottom"/>
          </w:tcPr>
          <w:p>
            <w:pPr>
              <w:jc w:val="right"/>
              <w:ind w:right="442"/>
              <w:spacing w:after="0"/>
              <w:rPr>
                <w:sz w:val="20"/>
                <w:szCs w:val="20"/>
                <w:color w:val="auto"/>
              </w:rPr>
            </w:pPr>
            <w:r>
              <w:rPr>
                <w:rFonts w:ascii="Arial" w:cs="Arial" w:eastAsia="Arial" w:hAnsi="Arial"/>
                <w:sz w:val="16"/>
                <w:szCs w:val="16"/>
                <w:color w:val="auto"/>
              </w:rPr>
              <w:t>4</w:t>
            </w:r>
          </w:p>
        </w:tc>
        <w:tc>
          <w:tcPr>
            <w:tcW w:w="1280" w:type="dxa"/>
            <w:vAlign w:val="bottom"/>
          </w:tcPr>
          <w:p>
            <w:pPr>
              <w:jc w:val="right"/>
              <w:ind w:right="182"/>
              <w:spacing w:after="0"/>
              <w:rPr>
                <w:sz w:val="20"/>
                <w:szCs w:val="20"/>
                <w:color w:val="auto"/>
              </w:rPr>
            </w:pPr>
            <w:r>
              <w:rPr>
                <w:rFonts w:ascii="Arial" w:cs="Arial" w:eastAsia="Arial" w:hAnsi="Arial"/>
                <w:sz w:val="16"/>
                <w:szCs w:val="16"/>
                <w:color w:val="auto"/>
              </w:rPr>
              <w:t>2,400,000</w:t>
            </w:r>
          </w:p>
        </w:tc>
        <w:tc>
          <w:tcPr>
            <w:tcW w:w="1220" w:type="dxa"/>
            <w:vAlign w:val="bottom"/>
          </w:tcPr>
          <w:p>
            <w:pPr>
              <w:jc w:val="right"/>
              <w:ind w:right="182"/>
              <w:spacing w:after="0"/>
              <w:rPr>
                <w:sz w:val="20"/>
                <w:szCs w:val="20"/>
                <w:color w:val="auto"/>
              </w:rPr>
            </w:pPr>
            <w:r>
              <w:rPr>
                <w:rFonts w:ascii="Arial" w:cs="Arial" w:eastAsia="Arial" w:hAnsi="Arial"/>
                <w:sz w:val="16"/>
                <w:szCs w:val="16"/>
                <w:color w:val="auto"/>
              </w:rPr>
              <w:t>32,994</w:t>
            </w:r>
          </w:p>
        </w:tc>
        <w:tc>
          <w:tcPr>
            <w:tcW w:w="1860" w:type="dxa"/>
            <w:vAlign w:val="bottom"/>
          </w:tcPr>
          <w:p>
            <w:pPr>
              <w:jc w:val="right"/>
              <w:ind w:right="423"/>
              <w:spacing w:after="0"/>
              <w:rPr>
                <w:sz w:val="20"/>
                <w:szCs w:val="20"/>
                <w:color w:val="auto"/>
              </w:rPr>
            </w:pPr>
            <w:r>
              <w:rPr>
                <w:rFonts w:ascii="Arial" w:cs="Arial" w:eastAsia="Arial" w:hAnsi="Arial"/>
                <w:sz w:val="16"/>
                <w:szCs w:val="16"/>
                <w:color w:val="auto"/>
              </w:rPr>
              <w:t>38,924</w:t>
            </w:r>
          </w:p>
        </w:tc>
        <w:tc>
          <w:tcPr>
            <w:tcW w:w="2520" w:type="dxa"/>
            <w:vAlign w:val="bottom"/>
          </w:tcPr>
          <w:p>
            <w:pPr>
              <w:ind w:left="780"/>
              <w:spacing w:after="0"/>
              <w:rPr>
                <w:sz w:val="20"/>
                <w:szCs w:val="20"/>
                <w:color w:val="auto"/>
              </w:rPr>
            </w:pPr>
            <w:r>
              <w:rPr>
                <w:rFonts w:ascii="Arial" w:cs="Arial" w:eastAsia="Arial" w:hAnsi="Arial"/>
                <w:sz w:val="16"/>
                <w:szCs w:val="16"/>
                <w:color w:val="auto"/>
              </w:rPr>
              <w:t>Guideline Met</w:t>
            </w:r>
          </w:p>
        </w:tc>
        <w:tc>
          <w:tcPr>
            <w:tcW w:w="0" w:type="dxa"/>
            <w:vAlign w:val="bottom"/>
          </w:tcPr>
          <w:p>
            <w:pPr>
              <w:spacing w:after="0"/>
              <w:rPr>
                <w:sz w:val="1"/>
                <w:szCs w:val="1"/>
                <w:color w:val="auto"/>
              </w:rPr>
            </w:pPr>
          </w:p>
        </w:tc>
      </w:tr>
      <w:tr>
        <w:trPr>
          <w:trHeight w:val="189"/>
        </w:trPr>
        <w:tc>
          <w:tcPr>
            <w:tcW w:w="2780" w:type="dxa"/>
            <w:vAlign w:val="bottom"/>
            <w:shd w:val="clear" w:color="auto" w:fill="E6EDF3"/>
          </w:tcPr>
          <w:p>
            <w:pPr>
              <w:ind w:left="60"/>
              <w:spacing w:after="0"/>
              <w:rPr>
                <w:sz w:val="20"/>
                <w:szCs w:val="20"/>
                <w:color w:val="auto"/>
              </w:rPr>
            </w:pPr>
            <w:r>
              <w:rPr>
                <w:rFonts w:ascii="Arial" w:cs="Arial" w:eastAsia="Arial" w:hAnsi="Arial"/>
                <w:sz w:val="16"/>
                <w:szCs w:val="16"/>
                <w:color w:val="auto"/>
              </w:rPr>
              <w:t>Darryl Green</w:t>
            </w:r>
          </w:p>
        </w:tc>
        <w:tc>
          <w:tcPr>
            <w:tcW w:w="1360" w:type="dxa"/>
            <w:vAlign w:val="bottom"/>
            <w:shd w:val="clear" w:color="auto" w:fill="E6EDF3"/>
          </w:tcPr>
          <w:p>
            <w:pPr>
              <w:jc w:val="right"/>
              <w:ind w:right="442"/>
              <w:spacing w:after="0"/>
              <w:rPr>
                <w:sz w:val="20"/>
                <w:szCs w:val="20"/>
                <w:color w:val="auto"/>
              </w:rPr>
            </w:pPr>
            <w:r>
              <w:rPr>
                <w:rFonts w:ascii="Arial" w:cs="Arial" w:eastAsia="Arial" w:hAnsi="Arial"/>
                <w:sz w:val="16"/>
                <w:szCs w:val="16"/>
                <w:color w:val="auto"/>
              </w:rPr>
              <w:t>4</w:t>
            </w:r>
          </w:p>
        </w:tc>
        <w:tc>
          <w:tcPr>
            <w:tcW w:w="1280" w:type="dxa"/>
            <w:vAlign w:val="bottom"/>
            <w:shd w:val="clear" w:color="auto" w:fill="E6EDF3"/>
          </w:tcPr>
          <w:p>
            <w:pPr>
              <w:jc w:val="right"/>
              <w:ind w:right="182"/>
              <w:spacing w:after="0"/>
              <w:rPr>
                <w:sz w:val="20"/>
                <w:szCs w:val="20"/>
                <w:color w:val="auto"/>
              </w:rPr>
            </w:pPr>
            <w:r>
              <w:rPr>
                <w:rFonts w:ascii="Arial" w:cs="Arial" w:eastAsia="Arial" w:hAnsi="Arial"/>
                <w:sz w:val="16"/>
                <w:szCs w:val="16"/>
                <w:color w:val="auto"/>
              </w:rPr>
              <w:t>3,200,000</w:t>
            </w:r>
          </w:p>
        </w:tc>
        <w:tc>
          <w:tcPr>
            <w:tcW w:w="1220" w:type="dxa"/>
            <w:vAlign w:val="bottom"/>
            <w:shd w:val="clear" w:color="auto" w:fill="E6EDF3"/>
          </w:tcPr>
          <w:p>
            <w:pPr>
              <w:jc w:val="right"/>
              <w:ind w:right="182"/>
              <w:spacing w:after="0"/>
              <w:rPr>
                <w:sz w:val="20"/>
                <w:szCs w:val="20"/>
                <w:color w:val="auto"/>
              </w:rPr>
            </w:pPr>
            <w:r>
              <w:rPr>
                <w:rFonts w:ascii="Arial" w:cs="Arial" w:eastAsia="Arial" w:hAnsi="Arial"/>
                <w:sz w:val="16"/>
                <w:szCs w:val="16"/>
                <w:color w:val="auto"/>
              </w:rPr>
              <w:t>45,584</w:t>
            </w:r>
          </w:p>
        </w:tc>
        <w:tc>
          <w:tcPr>
            <w:tcW w:w="1860" w:type="dxa"/>
            <w:vAlign w:val="bottom"/>
            <w:shd w:val="clear" w:color="auto" w:fill="E6EDF3"/>
          </w:tcPr>
          <w:p>
            <w:pPr>
              <w:jc w:val="right"/>
              <w:ind w:right="423"/>
              <w:spacing w:after="0"/>
              <w:rPr>
                <w:sz w:val="20"/>
                <w:szCs w:val="20"/>
                <w:color w:val="auto"/>
              </w:rPr>
            </w:pPr>
            <w:r>
              <w:rPr>
                <w:rFonts w:ascii="Arial" w:cs="Arial" w:eastAsia="Arial" w:hAnsi="Arial"/>
                <w:sz w:val="16"/>
                <w:szCs w:val="16"/>
                <w:color w:val="auto"/>
              </w:rPr>
              <w:t>66,469</w:t>
            </w:r>
          </w:p>
        </w:tc>
        <w:tc>
          <w:tcPr>
            <w:tcW w:w="2520" w:type="dxa"/>
            <w:vAlign w:val="bottom"/>
            <w:shd w:val="clear" w:color="auto" w:fill="E6EDF3"/>
          </w:tcPr>
          <w:p>
            <w:pPr>
              <w:ind w:left="780"/>
              <w:spacing w:after="0"/>
              <w:rPr>
                <w:sz w:val="20"/>
                <w:szCs w:val="20"/>
                <w:color w:val="auto"/>
              </w:rPr>
            </w:pPr>
            <w:r>
              <w:rPr>
                <w:rFonts w:ascii="Arial" w:cs="Arial" w:eastAsia="Arial" w:hAnsi="Arial"/>
                <w:sz w:val="16"/>
                <w:szCs w:val="16"/>
                <w:color w:val="auto"/>
              </w:rPr>
              <w:t>Guideline Met</w:t>
            </w:r>
          </w:p>
        </w:tc>
        <w:tc>
          <w:tcPr>
            <w:tcW w:w="0" w:type="dxa"/>
            <w:vAlign w:val="bottom"/>
          </w:tcPr>
          <w:p>
            <w:pPr>
              <w:spacing w:after="0"/>
              <w:rPr>
                <w:sz w:val="1"/>
                <w:szCs w:val="1"/>
                <w:color w:val="auto"/>
              </w:rPr>
            </w:pPr>
          </w:p>
        </w:tc>
      </w:tr>
      <w:tr>
        <w:trPr>
          <w:trHeight w:val="189"/>
        </w:trPr>
        <w:tc>
          <w:tcPr>
            <w:tcW w:w="2780" w:type="dxa"/>
            <w:vAlign w:val="bottom"/>
          </w:tcPr>
          <w:p>
            <w:pPr>
              <w:ind w:left="60"/>
              <w:spacing w:after="0"/>
              <w:rPr>
                <w:sz w:val="20"/>
                <w:szCs w:val="20"/>
                <w:color w:val="auto"/>
              </w:rPr>
            </w:pPr>
            <w:r>
              <w:rPr>
                <w:rFonts w:ascii="Arial" w:cs="Arial" w:eastAsia="Arial" w:hAnsi="Arial"/>
                <w:sz w:val="16"/>
                <w:szCs w:val="16"/>
                <w:color w:val="auto"/>
              </w:rPr>
              <w:t>Ram Chandrashekar</w:t>
            </w:r>
          </w:p>
        </w:tc>
        <w:tc>
          <w:tcPr>
            <w:tcW w:w="1360" w:type="dxa"/>
            <w:vAlign w:val="bottom"/>
          </w:tcPr>
          <w:p>
            <w:pPr>
              <w:jc w:val="right"/>
              <w:ind w:right="442"/>
              <w:spacing w:after="0"/>
              <w:rPr>
                <w:sz w:val="20"/>
                <w:szCs w:val="20"/>
                <w:color w:val="auto"/>
              </w:rPr>
            </w:pPr>
            <w:r>
              <w:rPr>
                <w:rFonts w:ascii="Arial" w:cs="Arial" w:eastAsia="Arial" w:hAnsi="Arial"/>
                <w:sz w:val="16"/>
                <w:szCs w:val="16"/>
                <w:color w:val="auto"/>
              </w:rPr>
              <w:t>3</w:t>
            </w:r>
          </w:p>
        </w:tc>
        <w:tc>
          <w:tcPr>
            <w:tcW w:w="1280" w:type="dxa"/>
            <w:vAlign w:val="bottom"/>
          </w:tcPr>
          <w:p>
            <w:pPr>
              <w:jc w:val="right"/>
              <w:ind w:right="182"/>
              <w:spacing w:after="0"/>
              <w:rPr>
                <w:sz w:val="20"/>
                <w:szCs w:val="20"/>
                <w:color w:val="auto"/>
              </w:rPr>
            </w:pPr>
            <w:r>
              <w:rPr>
                <w:rFonts w:ascii="Arial" w:cs="Arial" w:eastAsia="Arial" w:hAnsi="Arial"/>
                <w:sz w:val="16"/>
                <w:szCs w:val="16"/>
                <w:color w:val="auto"/>
              </w:rPr>
              <w:t>1,710,000</w:t>
            </w:r>
          </w:p>
        </w:tc>
        <w:tc>
          <w:tcPr>
            <w:tcW w:w="1220" w:type="dxa"/>
            <w:vAlign w:val="bottom"/>
          </w:tcPr>
          <w:p>
            <w:pPr>
              <w:jc w:val="right"/>
              <w:ind w:right="182"/>
              <w:spacing w:after="0"/>
              <w:rPr>
                <w:sz w:val="20"/>
                <w:szCs w:val="20"/>
                <w:color w:val="auto"/>
              </w:rPr>
            </w:pPr>
            <w:r>
              <w:rPr>
                <w:rFonts w:ascii="Arial" w:cs="Arial" w:eastAsia="Arial" w:hAnsi="Arial"/>
                <w:sz w:val="16"/>
                <w:szCs w:val="16"/>
                <w:color w:val="auto"/>
              </w:rPr>
              <w:t>24,359</w:t>
            </w:r>
          </w:p>
        </w:tc>
        <w:tc>
          <w:tcPr>
            <w:tcW w:w="1860" w:type="dxa"/>
            <w:vAlign w:val="bottom"/>
          </w:tcPr>
          <w:p>
            <w:pPr>
              <w:jc w:val="right"/>
              <w:ind w:right="423"/>
              <w:spacing w:after="0"/>
              <w:rPr>
                <w:sz w:val="20"/>
                <w:szCs w:val="20"/>
                <w:color w:val="auto"/>
              </w:rPr>
            </w:pPr>
            <w:r>
              <w:rPr>
                <w:rFonts w:ascii="Arial" w:cs="Arial" w:eastAsia="Arial" w:hAnsi="Arial"/>
                <w:sz w:val="16"/>
                <w:szCs w:val="16"/>
                <w:color w:val="auto"/>
              </w:rPr>
              <w:t>42,193</w:t>
            </w:r>
          </w:p>
        </w:tc>
        <w:tc>
          <w:tcPr>
            <w:tcW w:w="2520" w:type="dxa"/>
            <w:vAlign w:val="bottom"/>
          </w:tcPr>
          <w:p>
            <w:pPr>
              <w:ind w:left="780"/>
              <w:spacing w:after="0"/>
              <w:rPr>
                <w:sz w:val="20"/>
                <w:szCs w:val="20"/>
                <w:color w:val="auto"/>
              </w:rPr>
            </w:pPr>
            <w:r>
              <w:rPr>
                <w:rFonts w:ascii="Arial" w:cs="Arial" w:eastAsia="Arial" w:hAnsi="Arial"/>
                <w:sz w:val="16"/>
                <w:szCs w:val="16"/>
                <w:color w:val="auto"/>
              </w:rPr>
              <w:t>Guideline Met</w:t>
            </w:r>
          </w:p>
        </w:tc>
        <w:tc>
          <w:tcPr>
            <w:tcW w:w="0" w:type="dxa"/>
            <w:vAlign w:val="bottom"/>
          </w:tcPr>
          <w:p>
            <w:pPr>
              <w:spacing w:after="0"/>
              <w:rPr>
                <w:sz w:val="1"/>
                <w:szCs w:val="1"/>
                <w:color w:val="auto"/>
              </w:rPr>
            </w:pPr>
          </w:p>
        </w:tc>
      </w:tr>
      <w:tr>
        <w:trPr>
          <w:trHeight w:val="189"/>
        </w:trPr>
        <w:tc>
          <w:tcPr>
            <w:tcW w:w="278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Mara E. Swan</w:t>
            </w:r>
          </w:p>
        </w:tc>
        <w:tc>
          <w:tcPr>
            <w:tcW w:w="1360" w:type="dxa"/>
            <w:vAlign w:val="bottom"/>
            <w:tcBorders>
              <w:bottom w:val="single" w:sz="8" w:color="auto"/>
            </w:tcBorders>
            <w:shd w:val="clear" w:color="auto" w:fill="E6EDF3"/>
          </w:tcPr>
          <w:p>
            <w:pPr>
              <w:jc w:val="right"/>
              <w:ind w:right="442"/>
              <w:spacing w:after="0"/>
              <w:rPr>
                <w:sz w:val="20"/>
                <w:szCs w:val="20"/>
                <w:color w:val="auto"/>
              </w:rPr>
            </w:pPr>
            <w:r>
              <w:rPr>
                <w:rFonts w:ascii="Arial" w:cs="Arial" w:eastAsia="Arial" w:hAnsi="Arial"/>
                <w:sz w:val="16"/>
                <w:szCs w:val="16"/>
                <w:color w:val="auto"/>
              </w:rPr>
              <w:t>3</w:t>
            </w:r>
          </w:p>
        </w:tc>
        <w:tc>
          <w:tcPr>
            <w:tcW w:w="1280" w:type="dxa"/>
            <w:vAlign w:val="bottom"/>
            <w:tcBorders>
              <w:bottom w:val="single" w:sz="8" w:color="auto"/>
            </w:tcBorders>
            <w:shd w:val="clear" w:color="auto" w:fill="E6EDF3"/>
          </w:tcPr>
          <w:p>
            <w:pPr>
              <w:jc w:val="right"/>
              <w:ind w:right="182"/>
              <w:spacing w:after="0"/>
              <w:rPr>
                <w:sz w:val="20"/>
                <w:szCs w:val="20"/>
                <w:color w:val="auto"/>
              </w:rPr>
            </w:pPr>
            <w:r>
              <w:rPr>
                <w:rFonts w:ascii="Arial" w:cs="Arial" w:eastAsia="Arial" w:hAnsi="Arial"/>
                <w:sz w:val="16"/>
                <w:szCs w:val="16"/>
                <w:color w:val="auto"/>
              </w:rPr>
              <w:t>1,680,000</w:t>
            </w:r>
          </w:p>
        </w:tc>
        <w:tc>
          <w:tcPr>
            <w:tcW w:w="1220" w:type="dxa"/>
            <w:vAlign w:val="bottom"/>
            <w:tcBorders>
              <w:bottom w:val="single" w:sz="8" w:color="auto"/>
            </w:tcBorders>
            <w:shd w:val="clear" w:color="auto" w:fill="E6EDF3"/>
          </w:tcPr>
          <w:p>
            <w:pPr>
              <w:jc w:val="right"/>
              <w:ind w:right="182"/>
              <w:spacing w:after="0"/>
              <w:rPr>
                <w:sz w:val="20"/>
                <w:szCs w:val="20"/>
                <w:color w:val="auto"/>
              </w:rPr>
            </w:pPr>
            <w:r>
              <w:rPr>
                <w:rFonts w:ascii="Arial" w:cs="Arial" w:eastAsia="Arial" w:hAnsi="Arial"/>
                <w:sz w:val="16"/>
                <w:szCs w:val="16"/>
                <w:color w:val="auto"/>
              </w:rPr>
              <w:t>23,931</w:t>
            </w:r>
          </w:p>
        </w:tc>
        <w:tc>
          <w:tcPr>
            <w:tcW w:w="1860" w:type="dxa"/>
            <w:vAlign w:val="bottom"/>
            <w:tcBorders>
              <w:bottom w:val="single" w:sz="8" w:color="auto"/>
            </w:tcBorders>
            <w:shd w:val="clear" w:color="auto" w:fill="E6EDF3"/>
          </w:tcPr>
          <w:p>
            <w:pPr>
              <w:jc w:val="right"/>
              <w:ind w:right="423"/>
              <w:spacing w:after="0"/>
              <w:rPr>
                <w:sz w:val="20"/>
                <w:szCs w:val="20"/>
                <w:color w:val="auto"/>
              </w:rPr>
            </w:pPr>
            <w:r>
              <w:rPr>
                <w:rFonts w:ascii="Arial" w:cs="Arial" w:eastAsia="Arial" w:hAnsi="Arial"/>
                <w:sz w:val="16"/>
                <w:szCs w:val="16"/>
                <w:color w:val="auto"/>
              </w:rPr>
              <w:t>54,569</w:t>
            </w:r>
          </w:p>
        </w:tc>
        <w:tc>
          <w:tcPr>
            <w:tcW w:w="2520" w:type="dxa"/>
            <w:vAlign w:val="bottom"/>
            <w:tcBorders>
              <w:bottom w:val="single" w:sz="8" w:color="auto"/>
            </w:tcBorders>
            <w:shd w:val="clear" w:color="auto" w:fill="E6EDF3"/>
          </w:tcPr>
          <w:p>
            <w:pPr>
              <w:ind w:left="780"/>
              <w:spacing w:after="0"/>
              <w:rPr>
                <w:sz w:val="20"/>
                <w:szCs w:val="20"/>
                <w:color w:val="auto"/>
              </w:rPr>
            </w:pPr>
            <w:r>
              <w:rPr>
                <w:rFonts w:ascii="Arial" w:cs="Arial" w:eastAsia="Arial" w:hAnsi="Arial"/>
                <w:sz w:val="16"/>
                <w:szCs w:val="16"/>
                <w:color w:val="auto"/>
              </w:rPr>
              <w:t>Guideline Met</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520" w:right="340" w:hanging="316"/>
        <w:spacing w:after="0" w:line="291"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target values were set as of May 1, 2014 for all NEOs except Mr. McGinnis. Under the policy, NEOs have five years from January 1, 2014 to attain the targeted ownership levels or five years from date of hire for NEOs that become NEOs after January 1, 2014.</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target values for Mr. McGinnis are based on his base salary and stock price on his date of hire.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We Have Adopted a Clawback Policy</w:t>
      </w:r>
    </w:p>
    <w:p>
      <w:pPr>
        <w:spacing w:after="0" w:line="144" w:lineRule="exact"/>
        <w:rPr>
          <w:sz w:val="20"/>
          <w:szCs w:val="20"/>
          <w:color w:val="auto"/>
        </w:rPr>
      </w:pPr>
    </w:p>
    <w:p>
      <w:pPr>
        <w:ind w:left="200" w:right="220"/>
        <w:spacing w:after="0" w:line="248" w:lineRule="auto"/>
        <w:rPr>
          <w:sz w:val="20"/>
          <w:szCs w:val="20"/>
          <w:color w:val="auto"/>
        </w:rPr>
      </w:pPr>
      <w:r>
        <w:rPr>
          <w:rFonts w:ascii="Arial" w:cs="Arial" w:eastAsia="Arial" w:hAnsi="Arial"/>
          <w:sz w:val="18"/>
          <w:szCs w:val="18"/>
          <w:color w:val="auto"/>
        </w:rPr>
        <w:t>The Committee maintains a compensation recoupment (“clawback”) policy that is applicable to the members of the Company’s senior management. Under the policy, if the Committee determines an employee engaged in intentional misconduct that causes a financial restatement, the Committee may require the employee to forfeit any outstanding awards, including cash incentives or equity awards that were received as a result of the misconduct.</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We Prohibit Hedging Transactions</w:t>
      </w:r>
    </w:p>
    <w:p>
      <w:pPr>
        <w:spacing w:after="0" w:line="131"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color w:val="auto"/>
        </w:rPr>
        <w:t>ManpowerGroup has adopted a policy prohibiting designated individuals, including the NEOs, from engaging in short-selling of ManpowerGroup securities and buying and selling puts and calls on ManpowerGroup securities without advance approval. We also do not permit these designated individuals to pledge ManpowerGroup securities. To date, no designated individual has requested approval to engage in such transactions.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We Provide Limited Expatriate Benefits</w:t>
      </w:r>
    </w:p>
    <w:p>
      <w:pPr>
        <w:spacing w:after="0" w:line="144"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In connection with Mr. Chandrashekar’s role as Executive Vice President, Operational Excellence and IT, and President, Asia Pacific Middle East, Mr. Chandrashekar receives tax equalization payments related to any compensation earned for the time required to be spent in the United States as part of his role. He also receives certain other benefits, including a car and return visit expenses.</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48</w:t>
      </w:r>
    </w:p>
    <w:p>
      <w:pPr>
        <w:sectPr>
          <w:pgSz w:w="11900" w:h="16838" w:orient="portrait"/>
          <w:cols w:equalWidth="0" w:num="1">
            <w:col w:w="11240"/>
          </w:cols>
          <w:pgMar w:left="240" w:top="455" w:right="41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7980"/>
        <w:spacing w:after="0"/>
        <w:rPr>
          <w:sz w:val="20"/>
          <w:szCs w:val="20"/>
          <w:color w:val="auto"/>
        </w:rPr>
      </w:pPr>
      <w:r>
        <w:rPr>
          <w:rFonts w:ascii="Arial" w:cs="Arial" w:eastAsia="Arial" w:hAnsi="Arial"/>
          <w:sz w:val="18"/>
          <w:szCs w:val="18"/>
          <w:color w:val="FFFFFF"/>
        </w:rPr>
        <w:t>Compensation Discussion and Analysis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Realizable Pay in 2017</w:t>
      </w:r>
    </w:p>
    <w:p>
      <w:pPr>
        <w:spacing w:after="0" w:line="129" w:lineRule="exact"/>
        <w:rPr>
          <w:sz w:val="20"/>
          <w:szCs w:val="20"/>
          <w:color w:val="auto"/>
        </w:rPr>
      </w:pPr>
    </w:p>
    <w:p>
      <w:pPr>
        <w:ind w:left="200" w:right="40"/>
        <w:spacing w:after="0" w:line="260" w:lineRule="auto"/>
        <w:rPr>
          <w:sz w:val="20"/>
          <w:szCs w:val="20"/>
          <w:color w:val="auto"/>
        </w:rPr>
      </w:pPr>
      <w:r>
        <w:rPr>
          <w:rFonts w:ascii="Arial" w:cs="Arial" w:eastAsia="Arial" w:hAnsi="Arial"/>
          <w:sz w:val="17"/>
          <w:szCs w:val="17"/>
          <w:color w:val="auto"/>
        </w:rPr>
        <w:t>We also calculate realizable pay for Mr. Prising. This is a measure of the value of compensation granted or awarded during the reporting year. It shows the impact of Company performance and stock price on potential pay values for Mr. Prising, and provides an alternative means to the Summary Compensation Table on page 53 to evaluate the alignment between pay and performance. In particular, our calculation of realizable pay does not value equity awards using the accounting grant date fair value metric, as required in the Summary Compensation Table under Topic 718. Instead, for realizable pay we measure equity awards at their period-end value, in this case using the year-end stock price on December 31, 2017 of $126.11. For realizable pay our method of calculating equity award values is as follows:</w:t>
      </w:r>
    </w:p>
    <w:p>
      <w:pPr>
        <w:spacing w:after="0" w:line="66" w:lineRule="exact"/>
        <w:rPr>
          <w:sz w:val="20"/>
          <w:szCs w:val="20"/>
          <w:color w:val="auto"/>
        </w:rPr>
      </w:pPr>
    </w:p>
    <w:p>
      <w:pPr>
        <w:ind w:left="640" w:right="20" w:hanging="328"/>
        <w:spacing w:after="0" w:line="276" w:lineRule="auto"/>
        <w:tabs>
          <w:tab w:leader="none" w:pos="640" w:val="left"/>
        </w:tabs>
        <w:numPr>
          <w:ilvl w:val="0"/>
          <w:numId w:val="58"/>
        </w:numPr>
        <w:rPr>
          <w:rFonts w:ascii="Arial" w:cs="Arial" w:eastAsia="Arial" w:hAnsi="Arial"/>
          <w:sz w:val="18"/>
          <w:szCs w:val="18"/>
          <w:color w:val="5D89B4"/>
        </w:rPr>
      </w:pPr>
      <w:r>
        <w:rPr>
          <w:rFonts w:ascii="Arial" w:cs="Arial" w:eastAsia="Arial" w:hAnsi="Arial"/>
          <w:sz w:val="18"/>
          <w:szCs w:val="18"/>
          <w:u w:val="single" w:color="auto"/>
          <w:color w:val="auto"/>
        </w:rPr>
        <w:t>Stock Options</w:t>
      </w:r>
      <w:r>
        <w:rPr>
          <w:rFonts w:ascii="Arial" w:cs="Arial" w:eastAsia="Arial" w:hAnsi="Arial"/>
          <w:sz w:val="18"/>
          <w:szCs w:val="18"/>
          <w:color w:val="auto"/>
        </w:rPr>
        <w:t>. We use the “intrinsic value” of the stock options granted to Mr. Prising in February 2017, meaning the spread between the grant price and the price of the underlying stock at year end.</w:t>
      </w:r>
    </w:p>
    <w:p>
      <w:pPr>
        <w:spacing w:after="0" w:line="50" w:lineRule="exact"/>
        <w:rPr>
          <w:rFonts w:ascii="Arial" w:cs="Arial" w:eastAsia="Arial" w:hAnsi="Arial"/>
          <w:sz w:val="18"/>
          <w:szCs w:val="18"/>
          <w:color w:val="5D89B4"/>
        </w:rPr>
      </w:pPr>
    </w:p>
    <w:p>
      <w:pPr>
        <w:ind w:left="640" w:right="320" w:hanging="328"/>
        <w:spacing w:after="0" w:line="276" w:lineRule="auto"/>
        <w:tabs>
          <w:tab w:leader="none" w:pos="640" w:val="left"/>
        </w:tabs>
        <w:numPr>
          <w:ilvl w:val="0"/>
          <w:numId w:val="58"/>
        </w:numPr>
        <w:rPr>
          <w:rFonts w:ascii="Arial" w:cs="Arial" w:eastAsia="Arial" w:hAnsi="Arial"/>
          <w:sz w:val="18"/>
          <w:szCs w:val="18"/>
          <w:color w:val="5D89B4"/>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We use the year-end value of the restricted stock units awarded to Mr. Prising in February 2017 and value these shares using the year-end stock price on December 31, 2017.</w:t>
      </w:r>
    </w:p>
    <w:p>
      <w:pPr>
        <w:spacing w:after="0" w:line="50" w:lineRule="exact"/>
        <w:rPr>
          <w:rFonts w:ascii="Arial" w:cs="Arial" w:eastAsia="Arial" w:hAnsi="Arial"/>
          <w:sz w:val="18"/>
          <w:szCs w:val="18"/>
          <w:color w:val="5D89B4"/>
        </w:rPr>
      </w:pPr>
    </w:p>
    <w:p>
      <w:pPr>
        <w:ind w:left="640" w:right="400" w:hanging="328"/>
        <w:spacing w:after="0" w:line="276" w:lineRule="auto"/>
        <w:tabs>
          <w:tab w:leader="none" w:pos="640" w:val="left"/>
        </w:tabs>
        <w:numPr>
          <w:ilvl w:val="0"/>
          <w:numId w:val="58"/>
        </w:numPr>
        <w:rPr>
          <w:rFonts w:ascii="Arial" w:cs="Arial" w:eastAsia="Arial" w:hAnsi="Arial"/>
          <w:sz w:val="18"/>
          <w:szCs w:val="18"/>
          <w:color w:val="5D89B4"/>
        </w:rPr>
      </w:pPr>
      <w:r>
        <w:rPr>
          <w:rFonts w:ascii="Arial" w:cs="Arial" w:eastAsia="Arial" w:hAnsi="Arial"/>
          <w:sz w:val="18"/>
          <w:szCs w:val="18"/>
          <w:u w:val="single" w:color="auto"/>
          <w:color w:val="auto"/>
        </w:rPr>
        <w:t>Performance Share Units</w:t>
      </w:r>
      <w:r>
        <w:rPr>
          <w:rFonts w:ascii="Arial" w:cs="Arial" w:eastAsia="Arial" w:hAnsi="Arial"/>
          <w:sz w:val="18"/>
          <w:szCs w:val="18"/>
          <w:color w:val="auto"/>
        </w:rPr>
        <w:t>. We calculate performance share units using the target performance shares granted in 2017 and value these shares using the year-end stock price on December 31, 2017.</w:t>
      </w:r>
    </w:p>
    <w:p>
      <w:pPr>
        <w:spacing w:after="0" w:line="37"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Our realizable pay calculation reflects the significant equity component of Mr. Prising’s total compensation, and illustrates how the value of Mr. Prising’s 2017 compensation is sensitive to movements in our stock price. The Company enjoyed strong operating performance in 2017 and stock price appreciation with a year-end price of $ 126.11 as of December 31, 2017 compared to $88.87 as of January 1, 2017. In addition, the December 31, 2017 stock price was greater than the fair market value used to value the equity grants of $96.94 as of February 9, 2017 (the closing stock price on the date of grant). As a result, Mr. Prising’s realizable pay calculated for 2017 is substantially greater than the total compensation shown in the Summary Compensation Table using SEC reporting methodology. This is not surprising given the significant equity component of Mr. Prising’s total compensation and the significant return enjoyed by our shareholders in 2017. In 2016 Mr. Prising’s realizable pay was less than his reported compensation, despite strong operating performance, due to the intrinsic value of his stock options.</w:t>
      </w:r>
    </w:p>
    <w:p>
      <w:pPr>
        <w:spacing w:after="0" w:line="68" w:lineRule="exact"/>
        <w:rPr>
          <w:sz w:val="20"/>
          <w:szCs w:val="20"/>
          <w:color w:val="auto"/>
        </w:rPr>
      </w:pPr>
    </w:p>
    <w:p>
      <w:pPr>
        <w:ind w:left="200" w:right="20"/>
        <w:spacing w:after="0" w:line="276" w:lineRule="auto"/>
        <w:rPr>
          <w:sz w:val="20"/>
          <w:szCs w:val="20"/>
          <w:color w:val="auto"/>
        </w:rPr>
      </w:pPr>
      <w:r>
        <w:rPr>
          <w:rFonts w:ascii="Arial" w:cs="Arial" w:eastAsia="Arial" w:hAnsi="Arial"/>
          <w:sz w:val="18"/>
          <w:szCs w:val="18"/>
          <w:color w:val="auto"/>
        </w:rPr>
        <w:t>The table below shows realizable pay for Mr. Prising in 2017 as compared to his compensation as reported in the Summary Compensation Table on page 53.</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Supplemental Table of CEO Realizable Compensation</w:t>
      </w:r>
    </w:p>
    <w:p>
      <w:pPr>
        <w:spacing w:after="0" w:line="122"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5340" w:type="dxa"/>
            <w:vAlign w:val="bottom"/>
            <w:tcBorders>
              <w:top w:val="single" w:sz="8" w:color="auto"/>
            </w:tcBorders>
            <w:shd w:val="clear" w:color="auto" w:fill="9DB8D2"/>
          </w:tcPr>
          <w:p>
            <w:pPr>
              <w:spacing w:after="0"/>
              <w:rPr>
                <w:sz w:val="22"/>
                <w:szCs w:val="22"/>
                <w:color w:val="auto"/>
              </w:rPr>
            </w:pPr>
          </w:p>
        </w:tc>
        <w:tc>
          <w:tcPr>
            <w:tcW w:w="3060" w:type="dxa"/>
            <w:vAlign w:val="bottom"/>
            <w:tcBorders>
              <w:top w:val="single" w:sz="8" w:color="auto"/>
            </w:tcBorders>
            <w:gridSpan w:val="3"/>
            <w:shd w:val="clear" w:color="auto" w:fill="9DB8D2"/>
          </w:tcPr>
          <w:p>
            <w:pPr>
              <w:jc w:val="center"/>
              <w:ind w:left="64"/>
              <w:spacing w:after="0"/>
              <w:rPr>
                <w:sz w:val="20"/>
                <w:szCs w:val="20"/>
                <w:color w:val="auto"/>
              </w:rPr>
            </w:pPr>
            <w:r>
              <w:rPr>
                <w:rFonts w:ascii="Arial" w:cs="Arial" w:eastAsia="Arial" w:hAnsi="Arial"/>
                <w:sz w:val="14"/>
                <w:szCs w:val="14"/>
                <w:b w:val="1"/>
                <w:bCs w:val="1"/>
                <w:color w:val="auto"/>
              </w:rPr>
              <w:t>2017 Compensation as</w:t>
            </w:r>
          </w:p>
        </w:tc>
        <w:tc>
          <w:tcPr>
            <w:tcW w:w="98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c>
          <w:tcPr>
            <w:tcW w:w="720" w:type="dxa"/>
            <w:vAlign w:val="bottom"/>
            <w:tcBorders>
              <w:top w:val="single" w:sz="8" w:color="auto"/>
            </w:tcBorders>
            <w:shd w:val="clear" w:color="auto" w:fill="9DB8D2"/>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9DB8D2"/>
          </w:tcPr>
          <w:p>
            <w:pPr>
              <w:spacing w:after="0"/>
              <w:rPr>
                <w:sz w:val="14"/>
                <w:szCs w:val="14"/>
                <w:color w:val="auto"/>
              </w:rPr>
            </w:pPr>
          </w:p>
        </w:tc>
        <w:tc>
          <w:tcPr>
            <w:tcW w:w="3060" w:type="dxa"/>
            <w:vAlign w:val="bottom"/>
            <w:gridSpan w:val="3"/>
            <w:shd w:val="clear" w:color="auto" w:fill="9DB8D2"/>
          </w:tcPr>
          <w:p>
            <w:pPr>
              <w:jc w:val="center"/>
              <w:ind w:left="64"/>
              <w:spacing w:after="0"/>
              <w:rPr>
                <w:sz w:val="20"/>
                <w:szCs w:val="20"/>
                <w:color w:val="auto"/>
              </w:rPr>
            </w:pPr>
            <w:r>
              <w:rPr>
                <w:rFonts w:ascii="Arial" w:cs="Arial" w:eastAsia="Arial" w:hAnsi="Arial"/>
                <w:sz w:val="14"/>
                <w:szCs w:val="14"/>
                <w:b w:val="1"/>
                <w:bCs w:val="1"/>
                <w:color w:val="auto"/>
              </w:rPr>
              <w:t>Reported in the</w:t>
            </w:r>
          </w:p>
        </w:tc>
        <w:tc>
          <w:tcPr>
            <w:tcW w:w="2620" w:type="dxa"/>
            <w:vAlign w:val="bottom"/>
            <w:gridSpan w:val="3"/>
            <w:vMerge w:val="restart"/>
            <w:shd w:val="clear" w:color="auto" w:fill="9DB8D2"/>
          </w:tcPr>
          <w:p>
            <w:pPr>
              <w:jc w:val="center"/>
              <w:ind w:left="83"/>
              <w:spacing w:after="0"/>
              <w:rPr>
                <w:sz w:val="20"/>
                <w:szCs w:val="20"/>
                <w:color w:val="auto"/>
              </w:rPr>
            </w:pPr>
            <w:r>
              <w:rPr>
                <w:rFonts w:ascii="Arial" w:cs="Arial" w:eastAsia="Arial" w:hAnsi="Arial"/>
                <w:sz w:val="14"/>
                <w:szCs w:val="14"/>
                <w:b w:val="1"/>
                <w:bCs w:val="1"/>
                <w:color w:val="auto"/>
              </w:rPr>
              <w:t>2017 Total Realizable</w:t>
            </w:r>
          </w:p>
        </w:tc>
        <w:tc>
          <w:tcPr>
            <w:tcW w:w="0" w:type="dxa"/>
            <w:vAlign w:val="bottom"/>
          </w:tcPr>
          <w:p>
            <w:pPr>
              <w:spacing w:after="0"/>
              <w:rPr>
                <w:sz w:val="1"/>
                <w:szCs w:val="1"/>
                <w:color w:val="auto"/>
              </w:rPr>
            </w:pPr>
          </w:p>
        </w:tc>
      </w:tr>
      <w:tr>
        <w:trPr>
          <w:trHeight w:val="150"/>
        </w:trPr>
        <w:tc>
          <w:tcPr>
            <w:tcW w:w="5340" w:type="dxa"/>
            <w:vAlign w:val="bottom"/>
            <w:shd w:val="clear" w:color="auto" w:fill="9DB8D2"/>
          </w:tcPr>
          <w:p>
            <w:pPr>
              <w:spacing w:after="0"/>
              <w:rPr>
                <w:sz w:val="13"/>
                <w:szCs w:val="13"/>
                <w:color w:val="auto"/>
              </w:rPr>
            </w:pPr>
          </w:p>
        </w:tc>
        <w:tc>
          <w:tcPr>
            <w:tcW w:w="3060" w:type="dxa"/>
            <w:vAlign w:val="bottom"/>
            <w:gridSpan w:val="3"/>
            <w:shd w:val="clear" w:color="auto" w:fill="9DB8D2"/>
          </w:tcPr>
          <w:p>
            <w:pPr>
              <w:jc w:val="center"/>
              <w:ind w:left="64"/>
              <w:spacing w:after="0" w:line="151" w:lineRule="exact"/>
              <w:rPr>
                <w:sz w:val="20"/>
                <w:szCs w:val="20"/>
                <w:color w:val="auto"/>
              </w:rPr>
            </w:pPr>
            <w:r>
              <w:rPr>
                <w:rFonts w:ascii="Arial" w:cs="Arial" w:eastAsia="Arial" w:hAnsi="Arial"/>
                <w:sz w:val="14"/>
                <w:szCs w:val="14"/>
                <w:b w:val="1"/>
                <w:bCs w:val="1"/>
                <w:color w:val="auto"/>
              </w:rPr>
              <w:t>Summary</w:t>
            </w:r>
          </w:p>
        </w:tc>
        <w:tc>
          <w:tcPr>
            <w:tcW w:w="2620" w:type="dxa"/>
            <w:vAlign w:val="bottom"/>
            <w:gridSpan w:val="3"/>
            <w:vMerge w:val="continue"/>
            <w:shd w:val="clear" w:color="auto" w:fill="9DB8D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340" w:type="dxa"/>
            <w:vAlign w:val="bottom"/>
            <w:tcBorders>
              <w:bottom w:val="single" w:sz="8" w:color="auto"/>
            </w:tcBorders>
            <w:shd w:val="clear" w:color="auto" w:fill="9DB8D2"/>
          </w:tcPr>
          <w:p>
            <w:pPr>
              <w:spacing w:after="0"/>
              <w:rPr>
                <w:sz w:val="16"/>
                <w:szCs w:val="16"/>
                <w:color w:val="auto"/>
              </w:rPr>
            </w:pPr>
          </w:p>
        </w:tc>
        <w:tc>
          <w:tcPr>
            <w:tcW w:w="3060" w:type="dxa"/>
            <w:vAlign w:val="bottom"/>
            <w:tcBorders>
              <w:bottom w:val="single" w:sz="8" w:color="auto"/>
            </w:tcBorders>
            <w:gridSpan w:val="3"/>
            <w:shd w:val="clear" w:color="auto" w:fill="9DB8D2"/>
          </w:tcPr>
          <w:p>
            <w:pPr>
              <w:jc w:val="center"/>
              <w:ind w:left="64"/>
              <w:spacing w:after="0"/>
              <w:rPr>
                <w:sz w:val="20"/>
                <w:szCs w:val="20"/>
                <w:color w:val="auto"/>
              </w:rPr>
            </w:pPr>
            <w:r>
              <w:rPr>
                <w:rFonts w:ascii="Arial" w:cs="Arial" w:eastAsia="Arial" w:hAnsi="Arial"/>
                <w:sz w:val="14"/>
                <w:szCs w:val="14"/>
                <w:b w:val="1"/>
                <w:bCs w:val="1"/>
                <w:color w:val="auto"/>
              </w:rPr>
              <w:t>Compensation Table</w:t>
            </w:r>
          </w:p>
        </w:tc>
        <w:tc>
          <w:tcPr>
            <w:tcW w:w="2620" w:type="dxa"/>
            <w:vAlign w:val="bottom"/>
            <w:tcBorders>
              <w:bottom w:val="single" w:sz="8" w:color="auto"/>
            </w:tcBorders>
            <w:gridSpan w:val="3"/>
            <w:shd w:val="clear" w:color="auto" w:fill="9DB8D2"/>
          </w:tcPr>
          <w:p>
            <w:pPr>
              <w:jc w:val="center"/>
              <w:ind w:left="63"/>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83"/>
        </w:trPr>
        <w:tc>
          <w:tcPr>
            <w:tcW w:w="5340" w:type="dxa"/>
            <w:vAlign w:val="bottom"/>
            <w:shd w:val="clear" w:color="auto" w:fill="E6EDF3"/>
          </w:tcPr>
          <w:p>
            <w:pPr>
              <w:ind w:left="60"/>
              <w:spacing w:after="0" w:line="183" w:lineRule="exact"/>
              <w:rPr>
                <w:sz w:val="20"/>
                <w:szCs w:val="20"/>
                <w:color w:val="auto"/>
              </w:rPr>
            </w:pPr>
            <w:r>
              <w:rPr>
                <w:rFonts w:ascii="Arial" w:cs="Arial" w:eastAsia="Arial" w:hAnsi="Arial"/>
                <w:sz w:val="16"/>
                <w:szCs w:val="16"/>
                <w:color w:val="auto"/>
              </w:rPr>
              <w:t>Base Salary</w:t>
            </w:r>
          </w:p>
        </w:tc>
        <w:tc>
          <w:tcPr>
            <w:tcW w:w="2340" w:type="dxa"/>
            <w:vAlign w:val="bottom"/>
            <w:gridSpan w:val="2"/>
            <w:shd w:val="clear" w:color="auto" w:fill="E6EDF3"/>
          </w:tcPr>
          <w:p>
            <w:pPr>
              <w:jc w:val="right"/>
              <w:spacing w:after="0" w:line="183" w:lineRule="exact"/>
              <w:rPr>
                <w:sz w:val="20"/>
                <w:szCs w:val="20"/>
                <w:color w:val="auto"/>
              </w:rPr>
            </w:pPr>
            <w:r>
              <w:rPr>
                <w:rFonts w:ascii="Arial" w:cs="Arial" w:eastAsia="Arial" w:hAnsi="Arial"/>
                <w:sz w:val="16"/>
                <w:szCs w:val="16"/>
                <w:color w:val="auto"/>
              </w:rPr>
              <w:t>$ 1,250,000</w:t>
            </w:r>
          </w:p>
        </w:tc>
        <w:tc>
          <w:tcPr>
            <w:tcW w:w="720" w:type="dxa"/>
            <w:vAlign w:val="bottom"/>
            <w:shd w:val="clear" w:color="auto" w:fill="E6EDF3"/>
          </w:tcPr>
          <w:p>
            <w:pPr>
              <w:spacing w:after="0"/>
              <w:rPr>
                <w:sz w:val="15"/>
                <w:szCs w:val="15"/>
                <w:color w:val="auto"/>
              </w:rPr>
            </w:pPr>
          </w:p>
        </w:tc>
        <w:tc>
          <w:tcPr>
            <w:tcW w:w="1900" w:type="dxa"/>
            <w:vAlign w:val="bottom"/>
            <w:gridSpan w:val="2"/>
            <w:shd w:val="clear" w:color="auto" w:fill="E6EDF3"/>
          </w:tcPr>
          <w:p>
            <w:pPr>
              <w:jc w:val="right"/>
              <w:spacing w:after="0" w:line="183" w:lineRule="exact"/>
              <w:rPr>
                <w:sz w:val="20"/>
                <w:szCs w:val="20"/>
                <w:color w:val="auto"/>
              </w:rPr>
            </w:pPr>
            <w:r>
              <w:rPr>
                <w:rFonts w:ascii="Arial" w:cs="Arial" w:eastAsia="Arial" w:hAnsi="Arial"/>
                <w:sz w:val="16"/>
                <w:szCs w:val="16"/>
                <w:color w:val="auto"/>
              </w:rPr>
              <w:t>$ 1,250,000</w:t>
            </w:r>
          </w:p>
        </w:tc>
        <w:tc>
          <w:tcPr>
            <w:tcW w:w="720" w:type="dxa"/>
            <w:vAlign w:val="bottom"/>
            <w:shd w:val="clear" w:color="auto" w:fill="E6EDF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40" w:type="dxa"/>
            <w:vAlign w:val="bottom"/>
          </w:tcPr>
          <w:p>
            <w:pPr>
              <w:ind w:left="60"/>
              <w:spacing w:after="0"/>
              <w:rPr>
                <w:sz w:val="20"/>
                <w:szCs w:val="20"/>
                <w:color w:val="auto"/>
              </w:rPr>
            </w:pPr>
            <w:r>
              <w:rPr>
                <w:rFonts w:ascii="Arial" w:cs="Arial" w:eastAsia="Arial" w:hAnsi="Arial"/>
                <w:sz w:val="16"/>
                <w:szCs w:val="16"/>
                <w:color w:val="auto"/>
              </w:rPr>
              <w:t>Annual Incentive</w:t>
            </w:r>
          </w:p>
        </w:tc>
        <w:tc>
          <w:tcPr>
            <w:tcW w:w="14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2,240,546</w:t>
            </w: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2,240,546</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40" w:type="dxa"/>
            <w:vAlign w:val="bottom"/>
            <w:shd w:val="clear" w:color="auto" w:fill="E6EDF3"/>
          </w:tcPr>
          <w:p>
            <w:pPr>
              <w:ind w:left="60"/>
              <w:spacing w:after="0"/>
              <w:rPr>
                <w:sz w:val="20"/>
                <w:szCs w:val="20"/>
                <w:color w:val="auto"/>
              </w:rPr>
            </w:pPr>
            <w:r>
              <w:rPr>
                <w:rFonts w:ascii="Arial" w:cs="Arial" w:eastAsia="Arial" w:hAnsi="Arial"/>
                <w:sz w:val="16"/>
                <w:szCs w:val="16"/>
                <w:color w:val="auto"/>
              </w:rPr>
              <w:t>Total Cash</w:t>
            </w:r>
          </w:p>
        </w:tc>
        <w:tc>
          <w:tcPr>
            <w:tcW w:w="1440" w:type="dxa"/>
            <w:vAlign w:val="bottom"/>
            <w:shd w:val="clear" w:color="auto" w:fill="E6EDF3"/>
          </w:tcPr>
          <w:p>
            <w:pPr>
              <w:spacing w:after="0"/>
              <w:rPr>
                <w:sz w:val="16"/>
                <w:szCs w:val="16"/>
                <w:color w:val="auto"/>
              </w:rPr>
            </w:pPr>
          </w:p>
        </w:tc>
        <w:tc>
          <w:tcPr>
            <w:tcW w:w="9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3,490,546</w:t>
            </w:r>
          </w:p>
        </w:tc>
        <w:tc>
          <w:tcPr>
            <w:tcW w:w="720" w:type="dxa"/>
            <w:vAlign w:val="bottom"/>
            <w:shd w:val="clear" w:color="auto" w:fill="E6EDF3"/>
          </w:tcPr>
          <w:p>
            <w:pPr>
              <w:spacing w:after="0"/>
              <w:rPr>
                <w:sz w:val="16"/>
                <w:szCs w:val="16"/>
                <w:color w:val="auto"/>
              </w:rPr>
            </w:pPr>
          </w:p>
        </w:tc>
        <w:tc>
          <w:tcPr>
            <w:tcW w:w="980" w:type="dxa"/>
            <w:vAlign w:val="bottom"/>
            <w:shd w:val="clear" w:color="auto" w:fill="E6EDF3"/>
          </w:tcPr>
          <w:p>
            <w:pPr>
              <w:spacing w:after="0"/>
              <w:rPr>
                <w:sz w:val="16"/>
                <w:szCs w:val="16"/>
                <w:color w:val="auto"/>
              </w:rPr>
            </w:pPr>
          </w:p>
        </w:tc>
        <w:tc>
          <w:tcPr>
            <w:tcW w:w="9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3,490,546</w:t>
            </w:r>
          </w:p>
        </w:tc>
        <w:tc>
          <w:tcPr>
            <w:tcW w:w="720" w:type="dxa"/>
            <w:vAlign w:val="bottom"/>
            <w:shd w:val="clear" w:color="auto" w:fill="E6EDF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60"/>
              <w:spacing w:after="0"/>
              <w:rPr>
                <w:sz w:val="20"/>
                <w:szCs w:val="20"/>
                <w:color w:val="auto"/>
              </w:rPr>
            </w:pPr>
            <w:r>
              <w:rPr>
                <w:rFonts w:ascii="Arial" w:cs="Arial" w:eastAsia="Arial" w:hAnsi="Arial"/>
                <w:sz w:val="16"/>
                <w:szCs w:val="16"/>
                <w:color w:val="auto"/>
              </w:rPr>
              <w:t>Stock Options</w:t>
            </w:r>
          </w:p>
        </w:tc>
        <w:tc>
          <w:tcPr>
            <w:tcW w:w="2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1,690,019</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1,927,204</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40" w:type="dxa"/>
            <w:vAlign w:val="bottom"/>
            <w:shd w:val="clear" w:color="auto" w:fill="E6EDF3"/>
          </w:tcPr>
          <w:p>
            <w:pPr>
              <w:ind w:left="60"/>
              <w:spacing w:after="0"/>
              <w:rPr>
                <w:sz w:val="20"/>
                <w:szCs w:val="20"/>
                <w:color w:val="auto"/>
              </w:rPr>
            </w:pPr>
            <w:r>
              <w:rPr>
                <w:rFonts w:ascii="Arial" w:cs="Arial" w:eastAsia="Arial" w:hAnsi="Arial"/>
                <w:sz w:val="16"/>
                <w:szCs w:val="16"/>
                <w:color w:val="auto"/>
              </w:rPr>
              <w:t>Restricted Stock Units</w:t>
            </w:r>
          </w:p>
        </w:tc>
        <w:tc>
          <w:tcPr>
            <w:tcW w:w="23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1,690,052</w:t>
            </w:r>
          </w:p>
        </w:tc>
        <w:tc>
          <w:tcPr>
            <w:tcW w:w="720" w:type="dxa"/>
            <w:vAlign w:val="bottom"/>
            <w:shd w:val="clear" w:color="auto" w:fill="E6EDF3"/>
          </w:tcPr>
          <w:p>
            <w:pPr>
              <w:spacing w:after="0"/>
              <w:rPr>
                <w:sz w:val="16"/>
                <w:szCs w:val="16"/>
                <w:color w:val="auto"/>
              </w:rPr>
            </w:pPr>
          </w:p>
        </w:tc>
        <w:tc>
          <w:tcPr>
            <w:tcW w:w="19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2,198,602</w:t>
            </w:r>
          </w:p>
        </w:tc>
        <w:tc>
          <w:tcPr>
            <w:tcW w:w="720" w:type="dxa"/>
            <w:vAlign w:val="bottom"/>
            <w:shd w:val="clear" w:color="auto" w:fill="E6EDF3"/>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40" w:type="dxa"/>
            <w:vAlign w:val="bottom"/>
          </w:tcPr>
          <w:p>
            <w:pPr>
              <w:ind w:left="60"/>
              <w:spacing w:after="0"/>
              <w:rPr>
                <w:sz w:val="20"/>
                <w:szCs w:val="20"/>
                <w:color w:val="auto"/>
              </w:rPr>
            </w:pPr>
            <w:r>
              <w:rPr>
                <w:rFonts w:ascii="Arial" w:cs="Arial" w:eastAsia="Arial" w:hAnsi="Arial"/>
                <w:sz w:val="16"/>
                <w:szCs w:val="16"/>
                <w:color w:val="auto"/>
              </w:rPr>
              <w:t>Performance share units</w:t>
            </w:r>
          </w:p>
        </w:tc>
        <w:tc>
          <w:tcPr>
            <w:tcW w:w="14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5,070,059</w:t>
            </w: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6,595,679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40" w:type="dxa"/>
            <w:vAlign w:val="bottom"/>
            <w:shd w:val="clear" w:color="auto" w:fill="E6EDF3"/>
          </w:tcPr>
          <w:p>
            <w:pPr>
              <w:ind w:left="60"/>
              <w:spacing w:after="0"/>
              <w:rPr>
                <w:sz w:val="20"/>
                <w:szCs w:val="20"/>
                <w:color w:val="auto"/>
              </w:rPr>
            </w:pPr>
            <w:r>
              <w:rPr>
                <w:rFonts w:ascii="Arial" w:cs="Arial" w:eastAsia="Arial" w:hAnsi="Arial"/>
                <w:sz w:val="16"/>
                <w:szCs w:val="16"/>
                <w:color w:val="auto"/>
              </w:rPr>
              <w:t>Total</w:t>
            </w:r>
          </w:p>
        </w:tc>
        <w:tc>
          <w:tcPr>
            <w:tcW w:w="23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11,940,676</w:t>
            </w:r>
          </w:p>
        </w:tc>
        <w:tc>
          <w:tcPr>
            <w:tcW w:w="720" w:type="dxa"/>
            <w:vAlign w:val="bottom"/>
            <w:shd w:val="clear" w:color="auto" w:fill="E6EDF3"/>
          </w:tcPr>
          <w:p>
            <w:pPr>
              <w:spacing w:after="0"/>
              <w:rPr>
                <w:sz w:val="16"/>
                <w:szCs w:val="16"/>
                <w:color w:val="auto"/>
              </w:rPr>
            </w:pPr>
          </w:p>
        </w:tc>
        <w:tc>
          <w:tcPr>
            <w:tcW w:w="19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14,212,031</w:t>
            </w:r>
          </w:p>
        </w:tc>
        <w:tc>
          <w:tcPr>
            <w:tcW w:w="720" w:type="dxa"/>
            <w:vAlign w:val="bottom"/>
            <w:shd w:val="clear" w:color="auto" w:fill="E6EDF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D89B4"/>
        </w:rPr>
        <w:t xml:space="preserve">49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Discussion and Analysis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Other Material Tax Implications of the Executive Compensation Program</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Tax Implications for ManpowerGroup</w:t>
      </w:r>
    </w:p>
    <w:p>
      <w:pPr>
        <w:spacing w:after="0" w:line="14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For tax years occurring prior to 2018, Section 162(m) of the Internal Revenue Code generally disallowed a tax deduction to public corporations for compensation for any tax year over $ 1,000,000 paid to each of the corporation’s CEO and three most highly compensated NEOs (other than the CEO and CFO) in service as of the end of any such tax year. However, Section 162(m) also provided that qualifying performance-based compensation would not be subject to the deduction limit if certain requirements were met. Where necessary for payments to covered executives made in tax years prior to 2018, the Committee generally sought to structure compensation amounts and plans to meet the requirements for deductibility under that provision. Specifically, the Committee took steps to qualify the stock option awards, performance share unit awards and certain awards under the Pool Plan as performance-based compensation for this purpose for tax years prior to 2018. Nevertheless, the Committee had the ability to implement compensation arrangements that did not satisfy these requirements for deductibility if it determined that such arrangements were appropriate under the circumstances. In addition, because of uncertainties as to the application and interpretation of Section 162(m) and the regulations issued thereunder, the Committee cannot assure that compensation intended by the Committee to satisfy the requirements for deductibility under Section 162(m) will in fact be deductible for tax years prior to 2018.</w:t>
      </w:r>
    </w:p>
    <w:p>
      <w:pPr>
        <w:spacing w:after="0" w:line="10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For tax years beginning after December 31, 2017, tax reform legislation signed into law on December 22, 2017 (“Tax Reform”) repealed the qualifying performance-based compensation exception to the $1,000,000 deduction limitation. Tax Reform provided some transition relief preserving the qualifying performance based compensation exception for certain qualifying performance-based compensation payable pursuant to a legally binding contract in place on November 2, 2017. However, given the uncertain scope of such transition relief under Tax Reform, no assurance can be given that compensation payable to the NEOs in 2018 (for fiscal 2017) pursuant to the Pool Plan or in 2018 or future years for past grants under the 2011 Equity Incentive Plan will satisfy the requirements for the qualifying performance-based compensation exemption from Section 162(m) as extended through transition relief despite the Committee’s original intention to meet the qualifying performance-based compensation requirements with respect to such amounts. Further, the Committee reserves the right to modify compensation that was initially intended to be exempt from Section 162(m) if it determines that such modifications are consistent with ManpowerGroup’s business needs.</w:t>
      </w:r>
    </w:p>
    <w:p>
      <w:pPr>
        <w:spacing w:after="0" w:line="113" w:lineRule="exact"/>
        <w:rPr>
          <w:sz w:val="20"/>
          <w:szCs w:val="20"/>
          <w:color w:val="auto"/>
        </w:rPr>
      </w:pPr>
    </w:p>
    <w:p>
      <w:pPr>
        <w:ind w:left="200" w:right="160"/>
        <w:spacing w:after="0" w:line="245" w:lineRule="auto"/>
        <w:rPr>
          <w:sz w:val="20"/>
          <w:szCs w:val="20"/>
          <w:color w:val="auto"/>
        </w:rPr>
      </w:pPr>
      <w:r>
        <w:rPr>
          <w:rFonts w:ascii="Arial" w:cs="Arial" w:eastAsia="Arial" w:hAnsi="Arial"/>
          <w:sz w:val="18"/>
          <w:szCs w:val="18"/>
          <w:color w:val="auto"/>
        </w:rPr>
        <w:t>Finally, under Tax Reform, for tax years beginning after December 31, 2017, except to the extent preserved by transition relief, Section 162(m) will disallow a tax deduction for compensation payable to each of our NEOs (the CEO, CFO and the three other most highly compensated NEOs) in excess of $1,000,000 in any tax year. In addition, for any officer that is an NEO of ManpowerGroup whose compensation is subject to this limitation in 2017 or any later tax year, that officer’s compensation will remain subject to this annual deductibility limitation for any future tax year regardless of whether he or she remains an NEO.</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5D89B4"/>
        </w:rPr>
        <w:t>Tax Implications for NEOs</w:t>
      </w:r>
    </w:p>
    <w:p>
      <w:pPr>
        <w:spacing w:after="0" w:line="131"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50</w:t>
      </w:r>
    </w:p>
    <w:p>
      <w:pPr>
        <w:sectPr>
          <w:pgSz w:w="11900" w:h="16838" w:orient="portrait"/>
          <w:cols w:equalWidth="0" w:num="1">
            <w:col w:w="11220"/>
          </w:cols>
          <w:pgMar w:left="240" w:top="455"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240"/>
        <w:spacing w:after="0"/>
        <w:rPr>
          <w:sz w:val="20"/>
          <w:szCs w:val="20"/>
          <w:color w:val="auto"/>
        </w:rPr>
      </w:pPr>
      <w:r>
        <w:rPr>
          <w:rFonts w:ascii="Arial" w:cs="Arial" w:eastAsia="Arial" w:hAnsi="Arial"/>
          <w:sz w:val="18"/>
          <w:szCs w:val="18"/>
          <w:color w:val="FFFFFF"/>
        </w:rPr>
        <w:t>Report of the Executive Compensation and Human Resources Committee of the Board of Directors</w:t>
      </w:r>
    </w:p>
    <w:p>
      <w:pPr>
        <w:spacing w:after="0" w:line="211" w:lineRule="exact"/>
        <w:rPr>
          <w:sz w:val="20"/>
          <w:szCs w:val="20"/>
          <w:color w:val="auto"/>
        </w:rPr>
      </w:pPr>
    </w:p>
    <w:p>
      <w:pPr>
        <w:ind w:left="200" w:right="1680"/>
        <w:spacing w:after="0" w:line="287" w:lineRule="auto"/>
        <w:rPr>
          <w:sz w:val="20"/>
          <w:szCs w:val="20"/>
          <w:color w:val="auto"/>
        </w:rPr>
      </w:pPr>
      <w:r>
        <w:rPr>
          <w:rFonts w:ascii="Arial" w:cs="Arial" w:eastAsia="Arial" w:hAnsi="Arial"/>
          <w:sz w:val="41"/>
          <w:szCs w:val="41"/>
          <w:color w:val="5D89B4"/>
        </w:rPr>
        <w:t>Report of the Executive Compensation and Human Resources Committee of the Board of Directors</w:t>
      </w:r>
    </w:p>
    <w:p>
      <w:pPr>
        <w:spacing w:after="0" w:line="62" w:lineRule="exact"/>
        <w:rPr>
          <w:sz w:val="20"/>
          <w:szCs w:val="20"/>
          <w:color w:val="auto"/>
        </w:rPr>
      </w:pPr>
    </w:p>
    <w:p>
      <w:pPr>
        <w:jc w:val="both"/>
        <w:ind w:left="200" w:right="140"/>
        <w:spacing w:after="0" w:line="248" w:lineRule="auto"/>
        <w:rPr>
          <w:sz w:val="20"/>
          <w:szCs w:val="20"/>
          <w:color w:val="auto"/>
        </w:rPr>
      </w:pPr>
      <w:r>
        <w:rPr>
          <w:rFonts w:ascii="Arial" w:cs="Arial" w:eastAsia="Arial" w:hAnsi="Arial"/>
          <w:sz w:val="18"/>
          <w:szCs w:val="18"/>
          <w:color w:val="auto"/>
        </w:rPr>
        <w:t>The executive compensation and human resources committee of the board of directors of ManpowerGroup has reviewed and discussed with management the Compensation Discussion and Analysis included in this proxy statement. Based on this review and discussion, the executive compensation and human resources committee recommended to the board of directors that the Compensation Discussion and Analysis be included in this proxy statement.</w:t>
      </w:r>
    </w:p>
    <w:p>
      <w:pPr>
        <w:spacing w:after="0" w:line="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5D89B4"/>
        </w:rPr>
        <w:t>The Executive Compensation and Human Resources Committee</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Edward J. Zore, Chair</w:t>
      </w:r>
    </w:p>
    <w:p>
      <w:pPr>
        <w:jc w:val="center"/>
        <w:ind w:right="-199"/>
        <w:spacing w:after="0" w:line="234" w:lineRule="auto"/>
        <w:rPr>
          <w:sz w:val="20"/>
          <w:szCs w:val="20"/>
          <w:color w:val="auto"/>
        </w:rPr>
      </w:pPr>
      <w:r>
        <w:rPr>
          <w:rFonts w:ascii="Arial" w:cs="Arial" w:eastAsia="Arial" w:hAnsi="Arial"/>
          <w:sz w:val="18"/>
          <w:szCs w:val="18"/>
          <w:color w:val="auto"/>
        </w:rPr>
        <w:t>William Downe</w:t>
      </w:r>
    </w:p>
    <w:p>
      <w:pPr>
        <w:jc w:val="center"/>
        <w:ind w:right="-199"/>
        <w:spacing w:after="0" w:line="235" w:lineRule="auto"/>
        <w:rPr>
          <w:sz w:val="20"/>
          <w:szCs w:val="20"/>
          <w:color w:val="auto"/>
        </w:rPr>
      </w:pPr>
      <w:r>
        <w:rPr>
          <w:rFonts w:ascii="Arial" w:cs="Arial" w:eastAsia="Arial" w:hAnsi="Arial"/>
          <w:sz w:val="18"/>
          <w:szCs w:val="18"/>
          <w:color w:val="auto"/>
        </w:rPr>
        <w:t>Cari M. Dominguez</w:t>
      </w:r>
    </w:p>
    <w:p>
      <w:pPr>
        <w:jc w:val="center"/>
        <w:ind w:right="-199"/>
        <w:spacing w:after="0" w:line="235" w:lineRule="auto"/>
        <w:rPr>
          <w:sz w:val="20"/>
          <w:szCs w:val="20"/>
          <w:color w:val="auto"/>
        </w:rPr>
      </w:pPr>
      <w:r>
        <w:rPr>
          <w:rFonts w:ascii="Arial" w:cs="Arial" w:eastAsia="Arial" w:hAnsi="Arial"/>
          <w:sz w:val="18"/>
          <w:szCs w:val="18"/>
          <w:color w:val="auto"/>
        </w:rPr>
        <w:t>Elizabeth P. Sartain</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John R. Walter</w:t>
      </w:r>
    </w:p>
    <w:p>
      <w:pPr>
        <w:spacing w:after="0" w:line="270" w:lineRule="exact"/>
        <w:rPr>
          <w:sz w:val="20"/>
          <w:szCs w:val="20"/>
          <w:color w:val="auto"/>
        </w:rPr>
      </w:pPr>
    </w:p>
    <w:p>
      <w:pPr>
        <w:ind w:left="200" w:right="2080"/>
        <w:spacing w:after="0" w:line="287" w:lineRule="auto"/>
        <w:rPr>
          <w:sz w:val="20"/>
          <w:szCs w:val="20"/>
          <w:color w:val="auto"/>
        </w:rPr>
      </w:pPr>
      <w:r>
        <w:rPr>
          <w:rFonts w:ascii="Arial" w:cs="Arial" w:eastAsia="Arial" w:hAnsi="Arial"/>
          <w:sz w:val="41"/>
          <w:szCs w:val="41"/>
          <w:color w:val="5D89B4"/>
        </w:rPr>
        <w:t>Executive Compensation and Human Resources Committee Interlocks and Insider Participation</w:t>
      </w:r>
    </w:p>
    <w:p>
      <w:pPr>
        <w:spacing w:after="0" w:line="62" w:lineRule="exact"/>
        <w:rPr>
          <w:sz w:val="20"/>
          <w:szCs w:val="20"/>
          <w:color w:val="auto"/>
        </w:rPr>
      </w:pPr>
    </w:p>
    <w:p>
      <w:pPr>
        <w:jc w:val="both"/>
        <w:ind w:left="200" w:right="100"/>
        <w:spacing w:after="0" w:line="255" w:lineRule="auto"/>
        <w:rPr>
          <w:sz w:val="20"/>
          <w:szCs w:val="20"/>
          <w:color w:val="auto"/>
        </w:rPr>
      </w:pPr>
      <w:r>
        <w:rPr>
          <w:rFonts w:ascii="Arial" w:cs="Arial" w:eastAsia="Arial" w:hAnsi="Arial"/>
          <w:sz w:val="18"/>
          <w:szCs w:val="18"/>
          <w:color w:val="auto"/>
        </w:rPr>
        <w:t>No member of the executive compensation and human resources committee has ever been an officer or employee of ManpowerGroup or any of our subsidiaries or had any relationships requiring disclosure under Item 404 of Regulation S-K. None of our executive officers has served on the compensation committee or board of directors of any company of which any of our other directors is an executive officer.</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51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Policies and Practices as They Relate to Risk Management</w:t>
      </w:r>
    </w:p>
    <w:p>
      <w:pPr>
        <w:spacing w:after="0" w:line="211" w:lineRule="exact"/>
        <w:rPr>
          <w:sz w:val="20"/>
          <w:szCs w:val="20"/>
          <w:color w:val="auto"/>
        </w:rPr>
      </w:pPr>
    </w:p>
    <w:p>
      <w:pPr>
        <w:ind w:left="200" w:right="820"/>
        <w:spacing w:after="0" w:line="287" w:lineRule="auto"/>
        <w:rPr>
          <w:sz w:val="20"/>
          <w:szCs w:val="20"/>
          <w:color w:val="auto"/>
        </w:rPr>
      </w:pPr>
      <w:r>
        <w:rPr>
          <w:rFonts w:ascii="Arial" w:cs="Arial" w:eastAsia="Arial" w:hAnsi="Arial"/>
          <w:sz w:val="41"/>
          <w:szCs w:val="41"/>
          <w:color w:val="5D89B4"/>
        </w:rPr>
        <w:t>Compensation Policies and Practices as They Relate to Risk Management</w:t>
      </w:r>
    </w:p>
    <w:p>
      <w:pPr>
        <w:spacing w:after="0" w:line="62" w:lineRule="exact"/>
        <w:rPr>
          <w:sz w:val="20"/>
          <w:szCs w:val="20"/>
          <w:color w:val="auto"/>
        </w:rPr>
      </w:pPr>
    </w:p>
    <w:p>
      <w:pPr>
        <w:ind w:left="200" w:right="140"/>
        <w:spacing w:after="0" w:line="245" w:lineRule="auto"/>
        <w:rPr>
          <w:sz w:val="20"/>
          <w:szCs w:val="20"/>
          <w:color w:val="auto"/>
        </w:rPr>
      </w:pPr>
      <w:r>
        <w:rPr>
          <w:rFonts w:ascii="Arial" w:cs="Arial" w:eastAsia="Arial" w:hAnsi="Arial"/>
          <w:sz w:val="18"/>
          <w:szCs w:val="18"/>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executive compensation and human resources committee and has determined there are no risks arising from our compensation policies and practices that are reasonably likely to have a material adverse effect on ManpowerGroup.</w:t>
      </w:r>
    </w:p>
    <w:p>
      <w:pPr>
        <w:spacing w:after="0" w:line="105" w:lineRule="exact"/>
        <w:rPr>
          <w:sz w:val="20"/>
          <w:szCs w:val="20"/>
          <w:color w:val="auto"/>
        </w:rPr>
      </w:pPr>
    </w:p>
    <w:p>
      <w:pPr>
        <w:jc w:val="both"/>
        <w:ind w:left="200" w:right="320"/>
        <w:spacing w:after="0" w:line="255" w:lineRule="auto"/>
        <w:rPr>
          <w:sz w:val="20"/>
          <w:szCs w:val="20"/>
          <w:color w:val="auto"/>
        </w:rPr>
      </w:pPr>
      <w:r>
        <w:rPr>
          <w:rFonts w:ascii="Arial" w:cs="Arial" w:eastAsia="Arial" w:hAnsi="Arial"/>
          <w:sz w:val="18"/>
          <w:szCs w:val="18"/>
          <w:color w:val="auto"/>
        </w:rPr>
        <w:t>As ManpowerGroup is located in various countries around the world, we have several incentive plans. Our plans use various financial performance growth metrics, generally relating to profitability. As a result, there is no common incentive driving behavior. We also have controls in place that mitigate any impact these plans might have on us as follows:</w:t>
      </w:r>
    </w:p>
    <w:p>
      <w:pPr>
        <w:spacing w:after="0" w:line="29" w:lineRule="exact"/>
        <w:rPr>
          <w:sz w:val="20"/>
          <w:szCs w:val="20"/>
          <w:color w:val="auto"/>
        </w:rPr>
      </w:pPr>
    </w:p>
    <w:p>
      <w:pPr>
        <w:ind w:left="640" w:right="280" w:hanging="328"/>
        <w:spacing w:after="0" w:line="276" w:lineRule="auto"/>
        <w:tabs>
          <w:tab w:leader="none" w:pos="640" w:val="left"/>
        </w:tabs>
        <w:numPr>
          <w:ilvl w:val="0"/>
          <w:numId w:val="59"/>
        </w:numPr>
        <w:rPr>
          <w:rFonts w:ascii="Arial" w:cs="Arial" w:eastAsia="Arial" w:hAnsi="Arial"/>
          <w:sz w:val="18"/>
          <w:szCs w:val="18"/>
          <w:color w:val="5D89B4"/>
        </w:rPr>
      </w:pPr>
      <w:r>
        <w:rPr>
          <w:rFonts w:ascii="Arial" w:cs="Arial" w:eastAsia="Arial" w:hAnsi="Arial"/>
          <w:sz w:val="18"/>
          <w:szCs w:val="18"/>
          <w:color w:val="auto"/>
        </w:rPr>
        <w:t>In general, each of our incentive plans has a threshold, target and outstanding payout level, which is not material to the Company, that is earned based on the results of the financial metrics.</w:t>
      </w:r>
    </w:p>
    <w:p>
      <w:pPr>
        <w:spacing w:after="0" w:line="10" w:lineRule="exact"/>
        <w:rPr>
          <w:rFonts w:ascii="Arial" w:cs="Arial" w:eastAsia="Arial" w:hAnsi="Arial"/>
          <w:sz w:val="18"/>
          <w:szCs w:val="18"/>
          <w:color w:val="5D89B4"/>
        </w:rPr>
      </w:pPr>
    </w:p>
    <w:p>
      <w:pPr>
        <w:ind w:left="640" w:right="820" w:hanging="328"/>
        <w:spacing w:after="0" w:line="276" w:lineRule="auto"/>
        <w:tabs>
          <w:tab w:leader="none" w:pos="640" w:val="left"/>
        </w:tabs>
        <w:numPr>
          <w:ilvl w:val="0"/>
          <w:numId w:val="59"/>
        </w:numPr>
        <w:rPr>
          <w:rFonts w:ascii="Arial" w:cs="Arial" w:eastAsia="Arial" w:hAnsi="Arial"/>
          <w:sz w:val="18"/>
          <w:szCs w:val="18"/>
          <w:color w:val="5D89B4"/>
        </w:rPr>
      </w:pPr>
      <w:r>
        <w:rPr>
          <w:rFonts w:ascii="Arial" w:cs="Arial" w:eastAsia="Arial" w:hAnsi="Arial"/>
          <w:sz w:val="18"/>
          <w:szCs w:val="18"/>
          <w:color w:val="auto"/>
        </w:rPr>
        <w:t>The annual incentive and PSU awards are capped at a maximum level such that employees cannot receive a bonus that is significant enough to create a significant risk to the Company.</w:t>
      </w:r>
    </w:p>
    <w:p>
      <w:pPr>
        <w:spacing w:after="0" w:line="10" w:lineRule="exact"/>
        <w:rPr>
          <w:rFonts w:ascii="Arial" w:cs="Arial" w:eastAsia="Arial" w:hAnsi="Arial"/>
          <w:sz w:val="18"/>
          <w:szCs w:val="18"/>
          <w:color w:val="5D89B4"/>
        </w:rPr>
      </w:pPr>
    </w:p>
    <w:p>
      <w:pPr>
        <w:ind w:left="640" w:hanging="328"/>
        <w:spacing w:after="0" w:line="276" w:lineRule="auto"/>
        <w:tabs>
          <w:tab w:leader="none" w:pos="640" w:val="left"/>
        </w:tabs>
        <w:numPr>
          <w:ilvl w:val="0"/>
          <w:numId w:val="59"/>
        </w:numPr>
        <w:rPr>
          <w:rFonts w:ascii="Arial" w:cs="Arial" w:eastAsia="Arial" w:hAnsi="Arial"/>
          <w:sz w:val="18"/>
          <w:szCs w:val="18"/>
          <w:color w:val="5D89B4"/>
        </w:rPr>
      </w:pPr>
      <w:r>
        <w:rPr>
          <w:rFonts w:ascii="Arial" w:cs="Arial" w:eastAsia="Arial" w:hAnsi="Arial"/>
          <w:sz w:val="18"/>
          <w:szCs w:val="18"/>
          <w:color w:val="auto"/>
        </w:rPr>
        <w:t>We have multiple financial metrics under the annual incentive which focus on company-wide and segment-wide goals and objectives, and the results of those metrics are reviewed and approved at multiple levels in the Company.</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59"/>
        </w:numPr>
        <w:rPr>
          <w:rFonts w:ascii="Arial" w:cs="Arial" w:eastAsia="Arial" w:hAnsi="Arial"/>
          <w:sz w:val="18"/>
          <w:szCs w:val="18"/>
          <w:color w:val="5D89B4"/>
        </w:rPr>
      </w:pPr>
      <w:r>
        <w:rPr>
          <w:rFonts w:ascii="Arial" w:cs="Arial" w:eastAsia="Arial" w:hAnsi="Arial"/>
          <w:sz w:val="18"/>
          <w:szCs w:val="18"/>
          <w:color w:val="auto"/>
        </w:rPr>
        <w:t>Each of the NEOs is subject to stock ownership guidelines.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59"/>
        </w:numPr>
        <w:rPr>
          <w:rFonts w:ascii="Arial" w:cs="Arial" w:eastAsia="Arial" w:hAnsi="Arial"/>
          <w:sz w:val="18"/>
          <w:szCs w:val="18"/>
          <w:color w:val="5D89B4"/>
        </w:rPr>
      </w:pPr>
      <w:r>
        <w:rPr>
          <w:rFonts w:ascii="Arial" w:cs="Arial" w:eastAsia="Arial" w:hAnsi="Arial"/>
          <w:sz w:val="18"/>
          <w:szCs w:val="18"/>
          <w:color w:val="auto"/>
        </w:rPr>
        <w:t>We have adopted a clawback policy.</w:t>
      </w:r>
    </w:p>
    <w:p>
      <w:pPr>
        <w:spacing w:after="0" w:line="76" w:lineRule="exact"/>
        <w:rPr>
          <w:rFonts w:ascii="Arial" w:cs="Arial" w:eastAsia="Arial" w:hAnsi="Arial"/>
          <w:sz w:val="18"/>
          <w:szCs w:val="18"/>
          <w:color w:val="5D89B4"/>
        </w:rPr>
      </w:pPr>
    </w:p>
    <w:p>
      <w:pPr>
        <w:ind w:left="640" w:right="60" w:hanging="328"/>
        <w:spacing w:after="0" w:line="276" w:lineRule="auto"/>
        <w:tabs>
          <w:tab w:leader="none" w:pos="640" w:val="left"/>
        </w:tabs>
        <w:numPr>
          <w:ilvl w:val="0"/>
          <w:numId w:val="59"/>
        </w:numPr>
        <w:rPr>
          <w:rFonts w:ascii="Arial" w:cs="Arial" w:eastAsia="Arial" w:hAnsi="Arial"/>
          <w:sz w:val="18"/>
          <w:szCs w:val="18"/>
          <w:color w:val="5D89B4"/>
        </w:rPr>
      </w:pPr>
      <w:r>
        <w:rPr>
          <w:rFonts w:ascii="Arial" w:cs="Arial" w:eastAsia="Arial" w:hAnsi="Arial"/>
          <w:sz w:val="18"/>
          <w:szCs w:val="18"/>
          <w:color w:val="auto"/>
        </w:rPr>
        <w:t>We do not permit executives to engage in short-selling of ManpowerGroup securities or trading in puts and calls on ManpowerGroup securities.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59"/>
        </w:numPr>
        <w:rPr>
          <w:rFonts w:ascii="Arial" w:cs="Arial" w:eastAsia="Arial" w:hAnsi="Arial"/>
          <w:sz w:val="18"/>
          <w:szCs w:val="18"/>
          <w:color w:val="5D89B4"/>
        </w:rPr>
      </w:pPr>
      <w:r>
        <w:rPr>
          <w:rFonts w:ascii="Arial" w:cs="Arial" w:eastAsia="Arial" w:hAnsi="Arial"/>
          <w:sz w:val="18"/>
          <w:szCs w:val="18"/>
          <w:color w:val="auto"/>
        </w:rPr>
        <w:t>We do not permit our NEOs to pledge shares of our common stock.</w:t>
      </w:r>
    </w:p>
    <w:p>
      <w:pPr>
        <w:spacing w:after="0" w:line="76" w:lineRule="exact"/>
        <w:rPr>
          <w:rFonts w:ascii="Arial" w:cs="Arial" w:eastAsia="Arial" w:hAnsi="Arial"/>
          <w:sz w:val="18"/>
          <w:szCs w:val="18"/>
          <w:color w:val="5D89B4"/>
        </w:rPr>
      </w:pPr>
    </w:p>
    <w:p>
      <w:pPr>
        <w:ind w:left="640" w:right="660" w:hanging="328"/>
        <w:spacing w:after="0" w:line="276" w:lineRule="auto"/>
        <w:tabs>
          <w:tab w:leader="none" w:pos="640" w:val="left"/>
        </w:tabs>
        <w:numPr>
          <w:ilvl w:val="0"/>
          <w:numId w:val="59"/>
        </w:numPr>
        <w:rPr>
          <w:rFonts w:ascii="Arial" w:cs="Arial" w:eastAsia="Arial" w:hAnsi="Arial"/>
          <w:sz w:val="18"/>
          <w:szCs w:val="18"/>
          <w:color w:val="5D89B4"/>
        </w:rPr>
      </w:pPr>
      <w:r>
        <w:rPr>
          <w:rFonts w:ascii="Arial" w:cs="Arial" w:eastAsia="Arial" w:hAnsi="Arial"/>
          <w:sz w:val="18"/>
          <w:szCs w:val="18"/>
          <w:color w:val="auto"/>
        </w:rPr>
        <w:t>There is an approval process of the various incentive plans in each country, which are approved by the general manager and financial manager in the respective country to ensure the growth metrics are based on company performance.</w:t>
      </w:r>
    </w:p>
    <w:p>
      <w:pPr>
        <w:spacing w:after="0" w:line="78" w:lineRule="exact"/>
        <w:rPr>
          <w:sz w:val="20"/>
          <w:szCs w:val="20"/>
          <w:color w:val="auto"/>
        </w:rPr>
      </w:pPr>
    </w:p>
    <w:p>
      <w:pPr>
        <w:ind w:left="200" w:right="260"/>
        <w:spacing w:after="0" w:line="276" w:lineRule="auto"/>
        <w:rPr>
          <w:sz w:val="20"/>
          <w:szCs w:val="20"/>
          <w:color w:val="auto"/>
        </w:rPr>
      </w:pPr>
      <w:r>
        <w:rPr>
          <w:rFonts w:ascii="Arial" w:cs="Arial" w:eastAsia="Arial" w:hAnsi="Arial"/>
          <w:sz w:val="18"/>
          <w:szCs w:val="18"/>
          <w:color w:val="auto"/>
        </w:rPr>
        <w:t>Based on the above factors, we do not believe our compensation policies and practices create risks that are reasonably likely to have a material adverse effect on ManpowerGroup.</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52</w:t>
      </w:r>
    </w:p>
    <w:p>
      <w:pPr>
        <w:sectPr>
          <w:pgSz w:w="11900" w:h="16838" w:orient="portrait"/>
          <w:cols w:equalWidth="0" w:num="1">
            <w:col w:w="11220"/>
          </w:cols>
          <w:pgMar w:left="24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Compensation Tables</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Summary Compensation Table</w:t>
      </w:r>
    </w:p>
    <w:p>
      <w:pPr>
        <w:spacing w:after="0" w:line="129"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The table below sets forth the compensation information for our NEOs during the fiscal years ended December 31, 2017, December 31, 2016, and December 31, 2015. All amounts are calculated in accordance with SEC disclosure rules, including amounts with respect to our equity compensation plan awards, as further described below.</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3380" w:type="dxa"/>
            <w:vAlign w:val="bottom"/>
            <w:tcBorders>
              <w:top w:val="single" w:sz="8" w:color="auto"/>
            </w:tcBorders>
            <w:shd w:val="clear" w:color="auto" w:fill="9DB8D2"/>
          </w:tcPr>
          <w:p>
            <w:pPr>
              <w:spacing w:after="0"/>
              <w:rPr>
                <w:sz w:val="22"/>
                <w:szCs w:val="22"/>
                <w:color w:val="auto"/>
              </w:rPr>
            </w:pPr>
          </w:p>
        </w:tc>
        <w:tc>
          <w:tcPr>
            <w:tcW w:w="560" w:type="dxa"/>
            <w:vAlign w:val="bottom"/>
            <w:tcBorders>
              <w:top w:val="single" w:sz="8" w:color="auto"/>
            </w:tcBorders>
            <w:shd w:val="clear" w:color="auto" w:fill="9DB8D2"/>
          </w:tcPr>
          <w:p>
            <w:pPr>
              <w:spacing w:after="0"/>
              <w:rPr>
                <w:sz w:val="22"/>
                <w:szCs w:val="22"/>
                <w:color w:val="auto"/>
              </w:rPr>
            </w:pPr>
          </w:p>
        </w:tc>
        <w:tc>
          <w:tcPr>
            <w:tcW w:w="800" w:type="dxa"/>
            <w:vAlign w:val="bottom"/>
            <w:tcBorders>
              <w:top w:val="single" w:sz="8" w:color="auto"/>
            </w:tcBorders>
            <w:shd w:val="clear" w:color="auto" w:fill="9DB8D2"/>
          </w:tcPr>
          <w:p>
            <w:pPr>
              <w:spacing w:after="0"/>
              <w:rPr>
                <w:sz w:val="22"/>
                <w:szCs w:val="22"/>
                <w:color w:val="auto"/>
              </w:rPr>
            </w:pPr>
          </w:p>
        </w:tc>
        <w:tc>
          <w:tcPr>
            <w:tcW w:w="58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spacing w:after="0"/>
              <w:rPr>
                <w:sz w:val="22"/>
                <w:szCs w:val="22"/>
                <w:color w:val="auto"/>
              </w:rPr>
            </w:pPr>
          </w:p>
        </w:tc>
        <w:tc>
          <w:tcPr>
            <w:tcW w:w="800" w:type="dxa"/>
            <w:vAlign w:val="bottom"/>
            <w:tcBorders>
              <w:top w:val="single" w:sz="8" w:color="auto"/>
            </w:tcBorders>
            <w:shd w:val="clear" w:color="auto" w:fill="9DB8D2"/>
          </w:tcPr>
          <w:p>
            <w:pPr>
              <w:spacing w:after="0"/>
              <w:rPr>
                <w:sz w:val="22"/>
                <w:szCs w:val="22"/>
                <w:color w:val="auto"/>
              </w:rPr>
            </w:pPr>
          </w:p>
        </w:tc>
        <w:tc>
          <w:tcPr>
            <w:tcW w:w="1080" w:type="dxa"/>
            <w:vAlign w:val="bottom"/>
            <w:tcBorders>
              <w:top w:val="single" w:sz="8" w:color="auto"/>
            </w:tcBorders>
            <w:shd w:val="clear" w:color="auto" w:fill="9DB8D2"/>
          </w:tcPr>
          <w:p>
            <w:pPr>
              <w:spacing w:after="0"/>
              <w:rPr>
                <w:sz w:val="22"/>
                <w:szCs w:val="22"/>
                <w:color w:val="auto"/>
              </w:rPr>
            </w:pPr>
          </w:p>
        </w:tc>
        <w:tc>
          <w:tcPr>
            <w:tcW w:w="102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Change in</w:t>
            </w:r>
          </w:p>
        </w:tc>
        <w:tc>
          <w:tcPr>
            <w:tcW w:w="1080" w:type="dxa"/>
            <w:vAlign w:val="bottom"/>
            <w:tcBorders>
              <w:top w:val="single" w:sz="8" w:color="auto"/>
            </w:tcBorders>
            <w:shd w:val="clear" w:color="auto" w:fill="9DB8D2"/>
          </w:tcPr>
          <w:p>
            <w:pPr>
              <w:spacing w:after="0"/>
              <w:rPr>
                <w:sz w:val="22"/>
                <w:szCs w:val="22"/>
                <w:color w:val="auto"/>
              </w:rPr>
            </w:pPr>
          </w:p>
        </w:tc>
        <w:tc>
          <w:tcPr>
            <w:tcW w:w="900" w:type="dxa"/>
            <w:vAlign w:val="bottom"/>
            <w:tcBorders>
              <w:top w:val="single" w:sz="8" w:color="auto"/>
            </w:tcBorders>
            <w:shd w:val="clear" w:color="auto" w:fill="9DB8D2"/>
          </w:tcPr>
          <w:p>
            <w:pPr>
              <w:spacing w:after="0"/>
              <w:rPr>
                <w:sz w:val="22"/>
                <w:szCs w:val="22"/>
                <w:color w:val="auto"/>
              </w:rPr>
            </w:pPr>
          </w:p>
        </w:tc>
      </w:tr>
      <w:tr>
        <w:trPr>
          <w:trHeight w:val="162"/>
        </w:trPr>
        <w:tc>
          <w:tcPr>
            <w:tcW w:w="3380" w:type="dxa"/>
            <w:vAlign w:val="bottom"/>
            <w:shd w:val="clear" w:color="auto" w:fill="9DB8D2"/>
          </w:tcPr>
          <w:p>
            <w:pPr>
              <w:spacing w:after="0"/>
              <w:rPr>
                <w:sz w:val="14"/>
                <w:szCs w:val="14"/>
                <w:color w:val="auto"/>
              </w:rPr>
            </w:pPr>
          </w:p>
        </w:tc>
        <w:tc>
          <w:tcPr>
            <w:tcW w:w="560" w:type="dxa"/>
            <w:vAlign w:val="bottom"/>
            <w:shd w:val="clear" w:color="auto" w:fill="9DB8D2"/>
          </w:tcPr>
          <w:p>
            <w:pPr>
              <w:spacing w:after="0"/>
              <w:rPr>
                <w:sz w:val="14"/>
                <w:szCs w:val="14"/>
                <w:color w:val="auto"/>
              </w:rPr>
            </w:pPr>
          </w:p>
        </w:tc>
        <w:tc>
          <w:tcPr>
            <w:tcW w:w="800" w:type="dxa"/>
            <w:vAlign w:val="bottom"/>
            <w:shd w:val="clear" w:color="auto" w:fill="9DB8D2"/>
          </w:tcPr>
          <w:p>
            <w:pPr>
              <w:spacing w:after="0"/>
              <w:rPr>
                <w:sz w:val="14"/>
                <w:szCs w:val="14"/>
                <w:color w:val="auto"/>
              </w:rPr>
            </w:pPr>
          </w:p>
        </w:tc>
        <w:tc>
          <w:tcPr>
            <w:tcW w:w="58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800" w:type="dxa"/>
            <w:vAlign w:val="bottom"/>
            <w:shd w:val="clear" w:color="auto" w:fill="9DB8D2"/>
          </w:tcPr>
          <w:p>
            <w:pPr>
              <w:spacing w:after="0"/>
              <w:rPr>
                <w:sz w:val="14"/>
                <w:szCs w:val="14"/>
                <w:color w:val="auto"/>
              </w:rPr>
            </w:pPr>
          </w:p>
        </w:tc>
        <w:tc>
          <w:tcPr>
            <w:tcW w:w="1080" w:type="dxa"/>
            <w:vAlign w:val="bottom"/>
            <w:shd w:val="clear" w:color="auto" w:fill="9DB8D2"/>
          </w:tcPr>
          <w:p>
            <w:pPr>
              <w:spacing w:after="0"/>
              <w:rPr>
                <w:sz w:val="14"/>
                <w:szCs w:val="14"/>
                <w:color w:val="auto"/>
              </w:rPr>
            </w:pPr>
          </w:p>
        </w:tc>
        <w:tc>
          <w:tcPr>
            <w:tcW w:w="10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Pension</w:t>
            </w:r>
          </w:p>
        </w:tc>
        <w:tc>
          <w:tcPr>
            <w:tcW w:w="1080" w:type="dxa"/>
            <w:vAlign w:val="bottom"/>
            <w:shd w:val="clear" w:color="auto" w:fill="9DB8D2"/>
          </w:tcPr>
          <w:p>
            <w:pPr>
              <w:spacing w:after="0"/>
              <w:rPr>
                <w:sz w:val="14"/>
                <w:szCs w:val="14"/>
                <w:color w:val="auto"/>
              </w:rPr>
            </w:pPr>
          </w:p>
        </w:tc>
        <w:tc>
          <w:tcPr>
            <w:tcW w:w="900" w:type="dxa"/>
            <w:vAlign w:val="bottom"/>
            <w:shd w:val="clear" w:color="auto" w:fill="9DB8D2"/>
          </w:tcPr>
          <w:p>
            <w:pPr>
              <w:spacing w:after="0"/>
              <w:rPr>
                <w:sz w:val="14"/>
                <w:szCs w:val="14"/>
                <w:color w:val="auto"/>
              </w:rPr>
            </w:pPr>
          </w:p>
        </w:tc>
      </w:tr>
      <w:tr>
        <w:trPr>
          <w:trHeight w:val="162"/>
        </w:trPr>
        <w:tc>
          <w:tcPr>
            <w:tcW w:w="3380" w:type="dxa"/>
            <w:vAlign w:val="bottom"/>
            <w:shd w:val="clear" w:color="auto" w:fill="9DB8D2"/>
          </w:tcPr>
          <w:p>
            <w:pPr>
              <w:spacing w:after="0"/>
              <w:rPr>
                <w:sz w:val="14"/>
                <w:szCs w:val="14"/>
                <w:color w:val="auto"/>
              </w:rPr>
            </w:pPr>
          </w:p>
        </w:tc>
        <w:tc>
          <w:tcPr>
            <w:tcW w:w="560" w:type="dxa"/>
            <w:vAlign w:val="bottom"/>
            <w:shd w:val="clear" w:color="auto" w:fill="9DB8D2"/>
          </w:tcPr>
          <w:p>
            <w:pPr>
              <w:spacing w:after="0"/>
              <w:rPr>
                <w:sz w:val="14"/>
                <w:szCs w:val="14"/>
                <w:color w:val="auto"/>
              </w:rPr>
            </w:pPr>
          </w:p>
        </w:tc>
        <w:tc>
          <w:tcPr>
            <w:tcW w:w="800" w:type="dxa"/>
            <w:vAlign w:val="bottom"/>
            <w:shd w:val="clear" w:color="auto" w:fill="9DB8D2"/>
          </w:tcPr>
          <w:p>
            <w:pPr>
              <w:spacing w:after="0"/>
              <w:rPr>
                <w:sz w:val="14"/>
                <w:szCs w:val="14"/>
                <w:color w:val="auto"/>
              </w:rPr>
            </w:pPr>
          </w:p>
        </w:tc>
        <w:tc>
          <w:tcPr>
            <w:tcW w:w="58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800" w:type="dxa"/>
            <w:vAlign w:val="bottom"/>
            <w:shd w:val="clear" w:color="auto" w:fill="9DB8D2"/>
          </w:tcPr>
          <w:p>
            <w:pPr>
              <w:spacing w:after="0"/>
              <w:rPr>
                <w:sz w:val="14"/>
                <w:szCs w:val="14"/>
                <w:color w:val="auto"/>
              </w:rPr>
            </w:pPr>
          </w:p>
        </w:tc>
        <w:tc>
          <w:tcPr>
            <w:tcW w:w="1080" w:type="dxa"/>
            <w:vAlign w:val="bottom"/>
            <w:shd w:val="clear" w:color="auto" w:fill="9DB8D2"/>
          </w:tcPr>
          <w:p>
            <w:pPr>
              <w:spacing w:after="0"/>
              <w:rPr>
                <w:sz w:val="14"/>
                <w:szCs w:val="14"/>
                <w:color w:val="auto"/>
              </w:rPr>
            </w:pPr>
          </w:p>
        </w:tc>
        <w:tc>
          <w:tcPr>
            <w:tcW w:w="10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1080" w:type="dxa"/>
            <w:vAlign w:val="bottom"/>
            <w:shd w:val="clear" w:color="auto" w:fill="9DB8D2"/>
          </w:tcPr>
          <w:p>
            <w:pPr>
              <w:spacing w:after="0"/>
              <w:rPr>
                <w:sz w:val="14"/>
                <w:szCs w:val="14"/>
                <w:color w:val="auto"/>
              </w:rPr>
            </w:pPr>
          </w:p>
        </w:tc>
        <w:tc>
          <w:tcPr>
            <w:tcW w:w="900" w:type="dxa"/>
            <w:vAlign w:val="bottom"/>
            <w:shd w:val="clear" w:color="auto" w:fill="9DB8D2"/>
          </w:tcPr>
          <w:p>
            <w:pPr>
              <w:spacing w:after="0"/>
              <w:rPr>
                <w:sz w:val="14"/>
                <w:szCs w:val="14"/>
                <w:color w:val="auto"/>
              </w:rPr>
            </w:pPr>
          </w:p>
        </w:tc>
      </w:tr>
      <w:tr>
        <w:trPr>
          <w:trHeight w:val="162"/>
        </w:trPr>
        <w:tc>
          <w:tcPr>
            <w:tcW w:w="3380" w:type="dxa"/>
            <w:vAlign w:val="bottom"/>
            <w:shd w:val="clear" w:color="auto" w:fill="9DB8D2"/>
          </w:tcPr>
          <w:p>
            <w:pPr>
              <w:spacing w:after="0"/>
              <w:rPr>
                <w:sz w:val="14"/>
                <w:szCs w:val="14"/>
                <w:color w:val="auto"/>
              </w:rPr>
            </w:pPr>
          </w:p>
        </w:tc>
        <w:tc>
          <w:tcPr>
            <w:tcW w:w="560" w:type="dxa"/>
            <w:vAlign w:val="bottom"/>
            <w:shd w:val="clear" w:color="auto" w:fill="9DB8D2"/>
          </w:tcPr>
          <w:p>
            <w:pPr>
              <w:spacing w:after="0"/>
              <w:rPr>
                <w:sz w:val="14"/>
                <w:szCs w:val="14"/>
                <w:color w:val="auto"/>
              </w:rPr>
            </w:pPr>
          </w:p>
        </w:tc>
        <w:tc>
          <w:tcPr>
            <w:tcW w:w="800" w:type="dxa"/>
            <w:vAlign w:val="bottom"/>
            <w:shd w:val="clear" w:color="auto" w:fill="9DB8D2"/>
          </w:tcPr>
          <w:p>
            <w:pPr>
              <w:spacing w:after="0"/>
              <w:rPr>
                <w:sz w:val="14"/>
                <w:szCs w:val="14"/>
                <w:color w:val="auto"/>
              </w:rPr>
            </w:pPr>
          </w:p>
        </w:tc>
        <w:tc>
          <w:tcPr>
            <w:tcW w:w="58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800" w:type="dxa"/>
            <w:vAlign w:val="bottom"/>
            <w:shd w:val="clear" w:color="auto" w:fill="9DB8D2"/>
          </w:tcPr>
          <w:p>
            <w:pPr>
              <w:spacing w:after="0"/>
              <w:rPr>
                <w:sz w:val="14"/>
                <w:szCs w:val="14"/>
                <w:color w:val="auto"/>
              </w:rPr>
            </w:pPr>
          </w:p>
        </w:tc>
        <w:tc>
          <w:tcPr>
            <w:tcW w:w="1080" w:type="dxa"/>
            <w:vAlign w:val="bottom"/>
            <w:shd w:val="clear" w:color="auto" w:fill="9DB8D2"/>
          </w:tcPr>
          <w:p>
            <w:pPr>
              <w:spacing w:after="0"/>
              <w:rPr>
                <w:sz w:val="14"/>
                <w:szCs w:val="14"/>
                <w:color w:val="auto"/>
              </w:rPr>
            </w:pPr>
          </w:p>
        </w:tc>
        <w:tc>
          <w:tcPr>
            <w:tcW w:w="10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Non-</w:t>
            </w:r>
          </w:p>
        </w:tc>
        <w:tc>
          <w:tcPr>
            <w:tcW w:w="1080" w:type="dxa"/>
            <w:vAlign w:val="bottom"/>
            <w:shd w:val="clear" w:color="auto" w:fill="9DB8D2"/>
          </w:tcPr>
          <w:p>
            <w:pPr>
              <w:spacing w:after="0"/>
              <w:rPr>
                <w:sz w:val="14"/>
                <w:szCs w:val="14"/>
                <w:color w:val="auto"/>
              </w:rPr>
            </w:pPr>
          </w:p>
        </w:tc>
        <w:tc>
          <w:tcPr>
            <w:tcW w:w="900" w:type="dxa"/>
            <w:vAlign w:val="bottom"/>
            <w:shd w:val="clear" w:color="auto" w:fill="9DB8D2"/>
          </w:tcPr>
          <w:p>
            <w:pPr>
              <w:spacing w:after="0"/>
              <w:rPr>
                <w:sz w:val="14"/>
                <w:szCs w:val="14"/>
                <w:color w:val="auto"/>
              </w:rPr>
            </w:pPr>
          </w:p>
        </w:tc>
      </w:tr>
      <w:tr>
        <w:trPr>
          <w:trHeight w:val="162"/>
        </w:trPr>
        <w:tc>
          <w:tcPr>
            <w:tcW w:w="3380" w:type="dxa"/>
            <w:vAlign w:val="bottom"/>
            <w:shd w:val="clear" w:color="auto" w:fill="9DB8D2"/>
          </w:tcPr>
          <w:p>
            <w:pPr>
              <w:spacing w:after="0"/>
              <w:rPr>
                <w:sz w:val="14"/>
                <w:szCs w:val="14"/>
                <w:color w:val="auto"/>
              </w:rPr>
            </w:pPr>
          </w:p>
        </w:tc>
        <w:tc>
          <w:tcPr>
            <w:tcW w:w="560" w:type="dxa"/>
            <w:vAlign w:val="bottom"/>
            <w:shd w:val="clear" w:color="auto" w:fill="9DB8D2"/>
          </w:tcPr>
          <w:p>
            <w:pPr>
              <w:spacing w:after="0"/>
              <w:rPr>
                <w:sz w:val="14"/>
                <w:szCs w:val="14"/>
                <w:color w:val="auto"/>
              </w:rPr>
            </w:pPr>
          </w:p>
        </w:tc>
        <w:tc>
          <w:tcPr>
            <w:tcW w:w="800" w:type="dxa"/>
            <w:vAlign w:val="bottom"/>
            <w:shd w:val="clear" w:color="auto" w:fill="9DB8D2"/>
          </w:tcPr>
          <w:p>
            <w:pPr>
              <w:spacing w:after="0"/>
              <w:rPr>
                <w:sz w:val="14"/>
                <w:szCs w:val="14"/>
                <w:color w:val="auto"/>
              </w:rPr>
            </w:pPr>
          </w:p>
        </w:tc>
        <w:tc>
          <w:tcPr>
            <w:tcW w:w="58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800" w:type="dxa"/>
            <w:vAlign w:val="bottom"/>
            <w:shd w:val="clear" w:color="auto" w:fill="9DB8D2"/>
          </w:tcPr>
          <w:p>
            <w:pPr>
              <w:spacing w:after="0"/>
              <w:rPr>
                <w:sz w:val="14"/>
                <w:szCs w:val="14"/>
                <w:color w:val="auto"/>
              </w:rPr>
            </w:pPr>
          </w:p>
        </w:tc>
        <w:tc>
          <w:tcPr>
            <w:tcW w:w="10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Non-Equity</w:t>
            </w:r>
          </w:p>
        </w:tc>
        <w:tc>
          <w:tcPr>
            <w:tcW w:w="10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Qualified</w:t>
            </w:r>
          </w:p>
        </w:tc>
        <w:tc>
          <w:tcPr>
            <w:tcW w:w="1080" w:type="dxa"/>
            <w:vAlign w:val="bottom"/>
            <w:shd w:val="clear" w:color="auto" w:fill="9DB8D2"/>
          </w:tcPr>
          <w:p>
            <w:pPr>
              <w:spacing w:after="0"/>
              <w:rPr>
                <w:sz w:val="14"/>
                <w:szCs w:val="14"/>
                <w:color w:val="auto"/>
              </w:rPr>
            </w:pPr>
          </w:p>
        </w:tc>
        <w:tc>
          <w:tcPr>
            <w:tcW w:w="900" w:type="dxa"/>
            <w:vAlign w:val="bottom"/>
            <w:shd w:val="clear" w:color="auto" w:fill="9DB8D2"/>
          </w:tcPr>
          <w:p>
            <w:pPr>
              <w:spacing w:after="0"/>
              <w:rPr>
                <w:sz w:val="14"/>
                <w:szCs w:val="14"/>
                <w:color w:val="auto"/>
              </w:rPr>
            </w:pPr>
          </w:p>
        </w:tc>
      </w:tr>
      <w:tr>
        <w:trPr>
          <w:trHeight w:val="162"/>
        </w:trPr>
        <w:tc>
          <w:tcPr>
            <w:tcW w:w="3380" w:type="dxa"/>
            <w:vAlign w:val="bottom"/>
            <w:shd w:val="clear" w:color="auto" w:fill="9DB8D2"/>
          </w:tcPr>
          <w:p>
            <w:pPr>
              <w:spacing w:after="0"/>
              <w:rPr>
                <w:sz w:val="14"/>
                <w:szCs w:val="14"/>
                <w:color w:val="auto"/>
              </w:rPr>
            </w:pPr>
          </w:p>
        </w:tc>
        <w:tc>
          <w:tcPr>
            <w:tcW w:w="560" w:type="dxa"/>
            <w:vAlign w:val="bottom"/>
            <w:shd w:val="clear" w:color="auto" w:fill="9DB8D2"/>
          </w:tcPr>
          <w:p>
            <w:pPr>
              <w:spacing w:after="0"/>
              <w:rPr>
                <w:sz w:val="14"/>
                <w:szCs w:val="14"/>
                <w:color w:val="auto"/>
              </w:rPr>
            </w:pPr>
          </w:p>
        </w:tc>
        <w:tc>
          <w:tcPr>
            <w:tcW w:w="800" w:type="dxa"/>
            <w:vAlign w:val="bottom"/>
            <w:shd w:val="clear" w:color="auto" w:fill="9DB8D2"/>
          </w:tcPr>
          <w:p>
            <w:pPr>
              <w:spacing w:after="0"/>
              <w:rPr>
                <w:sz w:val="14"/>
                <w:szCs w:val="14"/>
                <w:color w:val="auto"/>
              </w:rPr>
            </w:pPr>
          </w:p>
        </w:tc>
        <w:tc>
          <w:tcPr>
            <w:tcW w:w="58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800" w:type="dxa"/>
            <w:vAlign w:val="bottom"/>
            <w:shd w:val="clear" w:color="auto" w:fill="9DB8D2"/>
          </w:tcPr>
          <w:p>
            <w:pPr>
              <w:spacing w:after="0"/>
              <w:rPr>
                <w:sz w:val="14"/>
                <w:szCs w:val="14"/>
                <w:color w:val="auto"/>
              </w:rPr>
            </w:pPr>
          </w:p>
        </w:tc>
        <w:tc>
          <w:tcPr>
            <w:tcW w:w="10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Incentive</w:t>
            </w:r>
          </w:p>
        </w:tc>
        <w:tc>
          <w:tcPr>
            <w:tcW w:w="10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Deferred</w:t>
            </w:r>
          </w:p>
        </w:tc>
        <w:tc>
          <w:tcPr>
            <w:tcW w:w="10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All</w:t>
            </w:r>
          </w:p>
        </w:tc>
        <w:tc>
          <w:tcPr>
            <w:tcW w:w="900" w:type="dxa"/>
            <w:vAlign w:val="bottom"/>
            <w:shd w:val="clear" w:color="auto" w:fill="9DB8D2"/>
          </w:tcPr>
          <w:p>
            <w:pPr>
              <w:spacing w:after="0"/>
              <w:rPr>
                <w:sz w:val="14"/>
                <w:szCs w:val="14"/>
                <w:color w:val="auto"/>
              </w:rPr>
            </w:pPr>
          </w:p>
        </w:tc>
      </w:tr>
      <w:tr>
        <w:trPr>
          <w:trHeight w:val="162"/>
        </w:trPr>
        <w:tc>
          <w:tcPr>
            <w:tcW w:w="3380" w:type="dxa"/>
            <w:vAlign w:val="bottom"/>
            <w:shd w:val="clear" w:color="auto" w:fill="9DB8D2"/>
          </w:tcPr>
          <w:p>
            <w:pPr>
              <w:spacing w:after="0"/>
              <w:rPr>
                <w:sz w:val="14"/>
                <w:szCs w:val="14"/>
                <w:color w:val="auto"/>
              </w:rPr>
            </w:pPr>
          </w:p>
        </w:tc>
        <w:tc>
          <w:tcPr>
            <w:tcW w:w="560" w:type="dxa"/>
            <w:vAlign w:val="bottom"/>
            <w:shd w:val="clear" w:color="auto" w:fill="9DB8D2"/>
          </w:tcPr>
          <w:p>
            <w:pPr>
              <w:spacing w:after="0"/>
              <w:rPr>
                <w:sz w:val="14"/>
                <w:szCs w:val="14"/>
                <w:color w:val="auto"/>
              </w:rPr>
            </w:pPr>
          </w:p>
        </w:tc>
        <w:tc>
          <w:tcPr>
            <w:tcW w:w="800" w:type="dxa"/>
            <w:vAlign w:val="bottom"/>
            <w:shd w:val="clear" w:color="auto" w:fill="9DB8D2"/>
          </w:tcPr>
          <w:p>
            <w:pPr>
              <w:spacing w:after="0"/>
              <w:rPr>
                <w:sz w:val="14"/>
                <w:szCs w:val="14"/>
                <w:color w:val="auto"/>
              </w:rPr>
            </w:pPr>
          </w:p>
        </w:tc>
        <w:tc>
          <w:tcPr>
            <w:tcW w:w="580" w:type="dxa"/>
            <w:vAlign w:val="bottom"/>
            <w:shd w:val="clear" w:color="auto" w:fill="9DB8D2"/>
          </w:tcPr>
          <w:p>
            <w:pPr>
              <w:spacing w:after="0"/>
              <w:rPr>
                <w:sz w:val="14"/>
                <w:szCs w:val="14"/>
                <w:color w:val="auto"/>
              </w:rPr>
            </w:pPr>
          </w:p>
        </w:tc>
        <w:tc>
          <w:tcPr>
            <w:tcW w:w="820" w:type="dxa"/>
            <w:vAlign w:val="bottom"/>
            <w:shd w:val="clear" w:color="auto" w:fill="9DB8D2"/>
          </w:tcPr>
          <w:p>
            <w:pPr>
              <w:jc w:val="center"/>
              <w:ind w:right="8"/>
              <w:spacing w:after="0"/>
              <w:rPr>
                <w:sz w:val="20"/>
                <w:szCs w:val="20"/>
                <w:color w:val="auto"/>
              </w:rPr>
            </w:pPr>
            <w:r>
              <w:rPr>
                <w:rFonts w:ascii="Arial" w:cs="Arial" w:eastAsia="Arial" w:hAnsi="Arial"/>
                <w:sz w:val="14"/>
                <w:szCs w:val="14"/>
                <w:b w:val="1"/>
                <w:bCs w:val="1"/>
                <w:color w:val="auto"/>
                <w:w w:val="99"/>
              </w:rPr>
              <w:t>Stock</w:t>
            </w:r>
          </w:p>
        </w:tc>
        <w:tc>
          <w:tcPr>
            <w:tcW w:w="8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Option</w:t>
            </w:r>
          </w:p>
        </w:tc>
        <w:tc>
          <w:tcPr>
            <w:tcW w:w="10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Plan</w:t>
            </w:r>
          </w:p>
        </w:tc>
        <w:tc>
          <w:tcPr>
            <w:tcW w:w="10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w:t>
            </w:r>
          </w:p>
        </w:tc>
        <w:tc>
          <w:tcPr>
            <w:tcW w:w="10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Other</w:t>
            </w:r>
          </w:p>
        </w:tc>
        <w:tc>
          <w:tcPr>
            <w:tcW w:w="900" w:type="dxa"/>
            <w:vAlign w:val="bottom"/>
            <w:shd w:val="clear" w:color="auto" w:fill="9DB8D2"/>
          </w:tcPr>
          <w:p>
            <w:pPr>
              <w:spacing w:after="0"/>
              <w:rPr>
                <w:sz w:val="14"/>
                <w:szCs w:val="14"/>
                <w:color w:val="auto"/>
              </w:rPr>
            </w:pPr>
          </w:p>
        </w:tc>
      </w:tr>
      <w:tr>
        <w:trPr>
          <w:trHeight w:val="162"/>
        </w:trPr>
        <w:tc>
          <w:tcPr>
            <w:tcW w:w="3380" w:type="dxa"/>
            <w:vAlign w:val="bottom"/>
            <w:shd w:val="clear" w:color="auto" w:fill="9DB8D2"/>
          </w:tcPr>
          <w:p>
            <w:pPr>
              <w:ind w:left="60"/>
              <w:spacing w:after="0"/>
              <w:rPr>
                <w:sz w:val="20"/>
                <w:szCs w:val="20"/>
                <w:color w:val="auto"/>
              </w:rPr>
            </w:pPr>
            <w:r>
              <w:rPr>
                <w:rFonts w:ascii="Arial" w:cs="Arial" w:eastAsia="Arial" w:hAnsi="Arial"/>
                <w:sz w:val="14"/>
                <w:szCs w:val="14"/>
                <w:b w:val="1"/>
                <w:bCs w:val="1"/>
                <w:color w:val="auto"/>
              </w:rPr>
              <w:t>Name &amp;</w:t>
            </w:r>
          </w:p>
        </w:tc>
        <w:tc>
          <w:tcPr>
            <w:tcW w:w="560" w:type="dxa"/>
            <w:vAlign w:val="bottom"/>
            <w:shd w:val="clear" w:color="auto" w:fill="9DB8D2"/>
          </w:tcPr>
          <w:p>
            <w:pPr>
              <w:spacing w:after="0"/>
              <w:rPr>
                <w:sz w:val="14"/>
                <w:szCs w:val="14"/>
                <w:color w:val="auto"/>
              </w:rPr>
            </w:pPr>
          </w:p>
        </w:tc>
        <w:tc>
          <w:tcPr>
            <w:tcW w:w="800" w:type="dxa"/>
            <w:vAlign w:val="bottom"/>
            <w:shd w:val="clear" w:color="auto" w:fill="9DB8D2"/>
          </w:tcPr>
          <w:p>
            <w:pPr>
              <w:jc w:val="right"/>
              <w:ind w:right="108"/>
              <w:spacing w:after="0"/>
              <w:rPr>
                <w:sz w:val="20"/>
                <w:szCs w:val="20"/>
                <w:color w:val="auto"/>
              </w:rPr>
            </w:pPr>
            <w:r>
              <w:rPr>
                <w:rFonts w:ascii="Arial" w:cs="Arial" w:eastAsia="Arial" w:hAnsi="Arial"/>
                <w:sz w:val="14"/>
                <w:szCs w:val="14"/>
                <w:b w:val="1"/>
                <w:bCs w:val="1"/>
                <w:color w:val="auto"/>
              </w:rPr>
              <w:t>Salary</w:t>
            </w:r>
          </w:p>
        </w:tc>
        <w:tc>
          <w:tcPr>
            <w:tcW w:w="580" w:type="dxa"/>
            <w:vAlign w:val="bottom"/>
            <w:shd w:val="clear" w:color="auto" w:fill="9DB8D2"/>
          </w:tcPr>
          <w:p>
            <w:pPr>
              <w:ind w:left="60"/>
              <w:spacing w:after="0"/>
              <w:rPr>
                <w:sz w:val="20"/>
                <w:szCs w:val="20"/>
                <w:color w:val="auto"/>
              </w:rPr>
            </w:pPr>
            <w:r>
              <w:rPr>
                <w:rFonts w:ascii="Arial" w:cs="Arial" w:eastAsia="Arial" w:hAnsi="Arial"/>
                <w:sz w:val="14"/>
                <w:szCs w:val="14"/>
                <w:b w:val="1"/>
                <w:bCs w:val="1"/>
                <w:color w:val="auto"/>
              </w:rPr>
              <w:t>Bonus</w:t>
            </w:r>
          </w:p>
        </w:tc>
        <w:tc>
          <w:tcPr>
            <w:tcW w:w="820" w:type="dxa"/>
            <w:vAlign w:val="bottom"/>
            <w:shd w:val="clear" w:color="auto" w:fill="9DB8D2"/>
          </w:tcPr>
          <w:p>
            <w:pPr>
              <w:jc w:val="center"/>
              <w:ind w:right="8"/>
              <w:spacing w:after="0"/>
              <w:rPr>
                <w:sz w:val="20"/>
                <w:szCs w:val="20"/>
                <w:color w:val="auto"/>
              </w:rPr>
            </w:pPr>
            <w:r>
              <w:rPr>
                <w:rFonts w:ascii="Arial" w:cs="Arial" w:eastAsia="Arial" w:hAnsi="Arial"/>
                <w:sz w:val="14"/>
                <w:szCs w:val="14"/>
                <w:b w:val="1"/>
                <w:bCs w:val="1"/>
                <w:color w:val="auto"/>
                <w:w w:val="98"/>
              </w:rPr>
              <w:t>Awards</w:t>
            </w:r>
          </w:p>
        </w:tc>
        <w:tc>
          <w:tcPr>
            <w:tcW w:w="8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Awards</w:t>
            </w:r>
          </w:p>
        </w:tc>
        <w:tc>
          <w:tcPr>
            <w:tcW w:w="10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w:t>
            </w:r>
          </w:p>
        </w:tc>
        <w:tc>
          <w:tcPr>
            <w:tcW w:w="10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Earnings</w:t>
            </w:r>
          </w:p>
        </w:tc>
        <w:tc>
          <w:tcPr>
            <w:tcW w:w="10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w:t>
            </w:r>
          </w:p>
        </w:tc>
        <w:tc>
          <w:tcPr>
            <w:tcW w:w="900" w:type="dxa"/>
            <w:vAlign w:val="bottom"/>
            <w:shd w:val="clear" w:color="auto" w:fill="9DB8D2"/>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191"/>
        </w:trPr>
        <w:tc>
          <w:tcPr>
            <w:tcW w:w="338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Principal Position</w:t>
            </w:r>
          </w:p>
        </w:tc>
        <w:tc>
          <w:tcPr>
            <w:tcW w:w="560" w:type="dxa"/>
            <w:vAlign w:val="bottom"/>
            <w:tcBorders>
              <w:bottom w:val="single" w:sz="8" w:color="auto"/>
            </w:tcBorders>
            <w:shd w:val="clear" w:color="auto" w:fill="9DB8D2"/>
          </w:tcPr>
          <w:p>
            <w:pPr>
              <w:ind w:left="120"/>
              <w:spacing w:after="0"/>
              <w:rPr>
                <w:sz w:val="20"/>
                <w:szCs w:val="20"/>
                <w:color w:val="auto"/>
              </w:rPr>
            </w:pPr>
            <w:r>
              <w:rPr>
                <w:rFonts w:ascii="Arial" w:cs="Arial" w:eastAsia="Arial" w:hAnsi="Arial"/>
                <w:sz w:val="14"/>
                <w:szCs w:val="14"/>
                <w:b w:val="1"/>
                <w:bCs w:val="1"/>
                <w:color w:val="auto"/>
              </w:rPr>
              <w:t>Year</w:t>
            </w:r>
          </w:p>
        </w:tc>
        <w:tc>
          <w:tcPr>
            <w:tcW w:w="800" w:type="dxa"/>
            <w:vAlign w:val="bottom"/>
            <w:tcBorders>
              <w:bottom w:val="single" w:sz="8" w:color="auto"/>
            </w:tcBorders>
            <w:shd w:val="clear" w:color="auto" w:fill="9DB8D2"/>
          </w:tcPr>
          <w:p>
            <w:pPr>
              <w:jc w:val="right"/>
              <w:ind w:right="2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9DB8D2"/>
          </w:tcPr>
          <w:p>
            <w:pPr>
              <w:ind w:left="20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9DB8D2"/>
          </w:tcPr>
          <w:p>
            <w:pPr>
              <w:jc w:val="center"/>
              <w:ind w:right="8"/>
              <w:spacing w:after="0"/>
              <w:rPr>
                <w:sz w:val="20"/>
                <w:szCs w:val="20"/>
                <w:color w:val="auto"/>
              </w:rPr>
            </w:pPr>
            <w:r>
              <w:rPr>
                <w:rFonts w:ascii="Arial" w:cs="Arial" w:eastAsia="Arial" w:hAnsi="Arial"/>
                <w:sz w:val="14"/>
                <w:szCs w:val="14"/>
                <w:b w:val="1"/>
                <w:bCs w:val="1"/>
                <w:color w:val="auto"/>
                <w:w w:val="99"/>
              </w:rPr>
              <w:t>($)(1)</w:t>
            </w:r>
          </w:p>
        </w:tc>
        <w:tc>
          <w:tcPr>
            <w:tcW w:w="8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($)(2)</w:t>
            </w:r>
          </w:p>
        </w:tc>
        <w:tc>
          <w:tcPr>
            <w:tcW w:w="10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($)(3)</w:t>
            </w:r>
          </w:p>
        </w:tc>
        <w:tc>
          <w:tcPr>
            <w:tcW w:w="900" w:type="dxa"/>
            <w:vAlign w:val="bottom"/>
            <w:tcBorders>
              <w:bottom w:val="single" w:sz="8" w:color="auto"/>
            </w:tcBorders>
            <w:shd w:val="clear" w:color="auto" w:fill="9DB8D2"/>
          </w:tcPr>
          <w:p>
            <w:pPr>
              <w:jc w:val="right"/>
              <w:ind w:right="328"/>
              <w:spacing w:after="0"/>
              <w:rPr>
                <w:sz w:val="20"/>
                <w:szCs w:val="20"/>
                <w:color w:val="auto"/>
              </w:rPr>
            </w:pPr>
            <w:r>
              <w:rPr>
                <w:rFonts w:ascii="Arial" w:cs="Arial" w:eastAsia="Arial" w:hAnsi="Arial"/>
                <w:sz w:val="14"/>
                <w:szCs w:val="14"/>
                <w:b w:val="1"/>
                <w:bCs w:val="1"/>
                <w:color w:val="auto"/>
              </w:rPr>
              <w:t>($)</w:t>
            </w:r>
          </w:p>
        </w:tc>
      </w:tr>
      <w:tr>
        <w:trPr>
          <w:trHeight w:val="142"/>
        </w:trPr>
        <w:tc>
          <w:tcPr>
            <w:tcW w:w="3380" w:type="dxa"/>
            <w:vAlign w:val="bottom"/>
          </w:tcPr>
          <w:p>
            <w:pPr>
              <w:ind w:left="60"/>
              <w:spacing w:after="0" w:line="143" w:lineRule="exact"/>
              <w:rPr>
                <w:sz w:val="20"/>
                <w:szCs w:val="20"/>
                <w:color w:val="auto"/>
              </w:rPr>
            </w:pPr>
            <w:r>
              <w:rPr>
                <w:rFonts w:ascii="Arial" w:cs="Arial" w:eastAsia="Arial" w:hAnsi="Arial"/>
                <w:sz w:val="14"/>
                <w:szCs w:val="14"/>
                <w:color w:val="auto"/>
              </w:rPr>
              <w:t>Jonas Prising</w:t>
            </w:r>
          </w:p>
        </w:tc>
        <w:tc>
          <w:tcPr>
            <w:tcW w:w="560" w:type="dxa"/>
            <w:vAlign w:val="bottom"/>
          </w:tcPr>
          <w:p>
            <w:pPr>
              <w:ind w:left="140"/>
              <w:spacing w:after="0" w:line="143" w:lineRule="exact"/>
              <w:rPr>
                <w:sz w:val="20"/>
                <w:szCs w:val="20"/>
                <w:color w:val="auto"/>
              </w:rPr>
            </w:pPr>
            <w:r>
              <w:rPr>
                <w:rFonts w:ascii="Arial" w:cs="Arial" w:eastAsia="Arial" w:hAnsi="Arial"/>
                <w:sz w:val="14"/>
                <w:szCs w:val="14"/>
                <w:color w:val="auto"/>
              </w:rPr>
              <w:t>2017</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1,250,000</w:t>
            </w:r>
          </w:p>
        </w:tc>
        <w:tc>
          <w:tcPr>
            <w:tcW w:w="580" w:type="dxa"/>
            <w:vAlign w:val="bottom"/>
          </w:tcPr>
          <w:p>
            <w:pPr>
              <w:ind w:left="280"/>
              <w:spacing w:after="0" w:line="143"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line="143" w:lineRule="exact"/>
              <w:rPr>
                <w:sz w:val="20"/>
                <w:szCs w:val="20"/>
                <w:color w:val="auto"/>
              </w:rPr>
            </w:pPr>
            <w:r>
              <w:rPr>
                <w:rFonts w:ascii="Arial" w:cs="Arial" w:eastAsia="Arial" w:hAnsi="Arial"/>
                <w:sz w:val="14"/>
                <w:szCs w:val="14"/>
                <w:color w:val="auto"/>
              </w:rPr>
              <w:t>6,760,111</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1,690,019</w:t>
            </w:r>
          </w:p>
        </w:tc>
        <w:tc>
          <w:tcPr>
            <w:tcW w:w="1080" w:type="dxa"/>
            <w:vAlign w:val="bottom"/>
          </w:tcPr>
          <w:p>
            <w:pPr>
              <w:jc w:val="right"/>
              <w:ind w:right="28"/>
              <w:spacing w:after="0" w:line="143" w:lineRule="exact"/>
              <w:rPr>
                <w:sz w:val="20"/>
                <w:szCs w:val="20"/>
                <w:color w:val="auto"/>
              </w:rPr>
            </w:pPr>
            <w:r>
              <w:rPr>
                <w:rFonts w:ascii="Arial" w:cs="Arial" w:eastAsia="Arial" w:hAnsi="Arial"/>
                <w:sz w:val="14"/>
                <w:szCs w:val="14"/>
                <w:color w:val="auto"/>
              </w:rPr>
              <w:t>2,240,546</w:t>
            </w:r>
          </w:p>
        </w:tc>
        <w:tc>
          <w:tcPr>
            <w:tcW w:w="1020" w:type="dxa"/>
            <w:vAlign w:val="bottom"/>
          </w:tcPr>
          <w:p>
            <w:pPr>
              <w:ind w:left="780"/>
              <w:spacing w:after="0" w:line="143"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line="143" w:lineRule="exact"/>
              <w:rPr>
                <w:sz w:val="20"/>
                <w:szCs w:val="20"/>
                <w:color w:val="auto"/>
              </w:rPr>
            </w:pPr>
            <w:r>
              <w:rPr>
                <w:rFonts w:ascii="Arial" w:cs="Arial" w:eastAsia="Arial" w:hAnsi="Arial"/>
                <w:sz w:val="14"/>
                <w:szCs w:val="14"/>
                <w:color w:val="auto"/>
              </w:rPr>
              <w:t>47,197</w:t>
            </w:r>
          </w:p>
        </w:tc>
        <w:tc>
          <w:tcPr>
            <w:tcW w:w="900" w:type="dxa"/>
            <w:vAlign w:val="bottom"/>
          </w:tcPr>
          <w:p>
            <w:pPr>
              <w:jc w:val="right"/>
              <w:ind w:right="28"/>
              <w:spacing w:after="0" w:line="143" w:lineRule="exact"/>
              <w:rPr>
                <w:sz w:val="20"/>
                <w:szCs w:val="20"/>
                <w:color w:val="auto"/>
              </w:rPr>
            </w:pPr>
            <w:r>
              <w:rPr>
                <w:rFonts w:ascii="Arial" w:cs="Arial" w:eastAsia="Arial" w:hAnsi="Arial"/>
                <w:sz w:val="14"/>
                <w:szCs w:val="14"/>
                <w:color w:val="auto"/>
              </w:rPr>
              <w:t>11,987,873</w:t>
            </w:r>
          </w:p>
        </w:tc>
      </w:tr>
      <w:tr>
        <w:trPr>
          <w:trHeight w:val="162"/>
        </w:trPr>
        <w:tc>
          <w:tcPr>
            <w:tcW w:w="3380" w:type="dxa"/>
            <w:vAlign w:val="bottom"/>
          </w:tcPr>
          <w:p>
            <w:pPr>
              <w:ind w:left="200"/>
              <w:spacing w:after="0"/>
              <w:rPr>
                <w:sz w:val="20"/>
                <w:szCs w:val="20"/>
                <w:color w:val="auto"/>
              </w:rPr>
            </w:pPr>
            <w:r>
              <w:rPr>
                <w:rFonts w:ascii="Arial" w:cs="Arial" w:eastAsia="Arial" w:hAnsi="Arial"/>
                <w:sz w:val="14"/>
                <w:szCs w:val="14"/>
                <w:i w:val="1"/>
                <w:iCs w:val="1"/>
                <w:color w:val="auto"/>
              </w:rPr>
              <w:t>CEO</w:t>
            </w:r>
          </w:p>
        </w:tc>
        <w:tc>
          <w:tcPr>
            <w:tcW w:w="560" w:type="dxa"/>
            <w:vAlign w:val="bottom"/>
          </w:tcPr>
          <w:p>
            <w:pPr>
              <w:ind w:left="140"/>
              <w:spacing w:after="0"/>
              <w:rPr>
                <w:sz w:val="20"/>
                <w:szCs w:val="20"/>
                <w:color w:val="auto"/>
              </w:rPr>
            </w:pPr>
            <w:r>
              <w:rPr>
                <w:rFonts w:ascii="Arial" w:cs="Arial" w:eastAsia="Arial" w:hAnsi="Arial"/>
                <w:sz w:val="14"/>
                <w:szCs w:val="14"/>
                <w:color w:val="auto"/>
              </w:rPr>
              <w:t>2016</w:t>
            </w:r>
          </w:p>
        </w:tc>
        <w:tc>
          <w:tcPr>
            <w:tcW w:w="800" w:type="dxa"/>
            <w:vAlign w:val="bottom"/>
          </w:tcPr>
          <w:p>
            <w:pPr>
              <w:jc w:val="right"/>
              <w:spacing w:after="0"/>
              <w:rPr>
                <w:sz w:val="20"/>
                <w:szCs w:val="20"/>
                <w:color w:val="auto"/>
              </w:rPr>
            </w:pPr>
            <w:r>
              <w:rPr>
                <w:rFonts w:ascii="Arial" w:cs="Arial" w:eastAsia="Arial" w:hAnsi="Arial"/>
                <w:sz w:val="14"/>
                <w:szCs w:val="14"/>
                <w:color w:val="auto"/>
              </w:rPr>
              <w:t>1,200,000</w:t>
            </w:r>
          </w:p>
        </w:tc>
        <w:tc>
          <w:tcPr>
            <w:tcW w:w="580" w:type="dxa"/>
            <w:vAlign w:val="bottom"/>
          </w:tcPr>
          <w:p>
            <w:pPr>
              <w:ind w:left="2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6,000,120</w:t>
            </w:r>
          </w:p>
        </w:tc>
        <w:tc>
          <w:tcPr>
            <w:tcW w:w="800" w:type="dxa"/>
            <w:vAlign w:val="bottom"/>
          </w:tcPr>
          <w:p>
            <w:pPr>
              <w:jc w:val="right"/>
              <w:spacing w:after="0"/>
              <w:rPr>
                <w:sz w:val="20"/>
                <w:szCs w:val="20"/>
                <w:color w:val="auto"/>
              </w:rPr>
            </w:pPr>
            <w:r>
              <w:rPr>
                <w:rFonts w:ascii="Arial" w:cs="Arial" w:eastAsia="Arial" w:hAnsi="Arial"/>
                <w:sz w:val="14"/>
                <w:szCs w:val="14"/>
                <w:color w:val="auto"/>
              </w:rPr>
              <w:t>1,500,010</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2,238,000</w:t>
            </w:r>
          </w:p>
        </w:tc>
        <w:tc>
          <w:tcPr>
            <w:tcW w:w="1020" w:type="dxa"/>
            <w:vAlign w:val="bottom"/>
          </w:tcPr>
          <w:p>
            <w:pPr>
              <w:ind w:left="7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52,010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10,990,140</w:t>
            </w:r>
          </w:p>
        </w:tc>
      </w:tr>
      <w:tr>
        <w:trPr>
          <w:trHeight w:val="175"/>
        </w:trPr>
        <w:tc>
          <w:tcPr>
            <w:tcW w:w="3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1,100,000</w:t>
            </w: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4,512,135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1,128,009</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2,300,000</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74,742</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9,114,886</w:t>
            </w:r>
          </w:p>
        </w:tc>
      </w:tr>
      <w:tr>
        <w:trPr>
          <w:trHeight w:val="156"/>
        </w:trPr>
        <w:tc>
          <w:tcPr>
            <w:tcW w:w="3380" w:type="dxa"/>
            <w:vAlign w:val="bottom"/>
            <w:shd w:val="clear" w:color="auto" w:fill="E6EDF3"/>
          </w:tcPr>
          <w:p>
            <w:pPr>
              <w:ind w:left="60"/>
              <w:spacing w:after="0" w:line="155" w:lineRule="exact"/>
              <w:rPr>
                <w:sz w:val="20"/>
                <w:szCs w:val="20"/>
                <w:color w:val="auto"/>
              </w:rPr>
            </w:pPr>
            <w:r>
              <w:rPr>
                <w:rFonts w:ascii="Arial" w:cs="Arial" w:eastAsia="Arial" w:hAnsi="Arial"/>
                <w:sz w:val="14"/>
                <w:szCs w:val="14"/>
                <w:color w:val="auto"/>
              </w:rPr>
              <w:t>John T. McGinnis(4)</w:t>
            </w:r>
          </w:p>
        </w:tc>
        <w:tc>
          <w:tcPr>
            <w:tcW w:w="560" w:type="dxa"/>
            <w:vAlign w:val="bottom"/>
            <w:shd w:val="clear" w:color="auto" w:fill="E6EDF3"/>
          </w:tcPr>
          <w:p>
            <w:pPr>
              <w:ind w:left="140"/>
              <w:spacing w:after="0" w:line="155" w:lineRule="exact"/>
              <w:rPr>
                <w:sz w:val="20"/>
                <w:szCs w:val="20"/>
                <w:color w:val="auto"/>
              </w:rPr>
            </w:pPr>
            <w:r>
              <w:rPr>
                <w:rFonts w:ascii="Arial" w:cs="Arial" w:eastAsia="Arial" w:hAnsi="Arial"/>
                <w:sz w:val="14"/>
                <w:szCs w:val="14"/>
                <w:color w:val="auto"/>
              </w:rPr>
              <w:t>2017</w:t>
            </w:r>
          </w:p>
        </w:tc>
        <w:tc>
          <w:tcPr>
            <w:tcW w:w="80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650,000</w:t>
            </w:r>
          </w:p>
        </w:tc>
        <w:tc>
          <w:tcPr>
            <w:tcW w:w="580" w:type="dxa"/>
            <w:vAlign w:val="bottom"/>
            <w:shd w:val="clear" w:color="auto" w:fill="E6EDF3"/>
          </w:tcPr>
          <w:p>
            <w:pPr>
              <w:ind w:left="28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1,840,115</w:t>
            </w:r>
          </w:p>
        </w:tc>
        <w:tc>
          <w:tcPr>
            <w:tcW w:w="80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460,005</w:t>
            </w:r>
          </w:p>
        </w:tc>
        <w:tc>
          <w:tcPr>
            <w:tcW w:w="108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755,040</w:t>
            </w:r>
          </w:p>
        </w:tc>
        <w:tc>
          <w:tcPr>
            <w:tcW w:w="1020" w:type="dxa"/>
            <w:vAlign w:val="bottom"/>
            <w:shd w:val="clear" w:color="auto" w:fill="E6EDF3"/>
          </w:tcPr>
          <w:p>
            <w:pPr>
              <w:ind w:left="780"/>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E6EDF3"/>
          </w:tcPr>
          <w:p>
            <w:pPr>
              <w:jc w:val="right"/>
              <w:ind w:right="68"/>
              <w:spacing w:after="0" w:line="155" w:lineRule="exact"/>
              <w:rPr>
                <w:sz w:val="20"/>
                <w:szCs w:val="20"/>
                <w:color w:val="auto"/>
              </w:rPr>
            </w:pPr>
            <w:r>
              <w:rPr>
                <w:rFonts w:ascii="Arial" w:cs="Arial" w:eastAsia="Arial" w:hAnsi="Arial"/>
                <w:sz w:val="14"/>
                <w:szCs w:val="14"/>
                <w:color w:val="auto"/>
              </w:rPr>
              <w:t>43,798</w:t>
            </w:r>
          </w:p>
        </w:tc>
        <w:tc>
          <w:tcPr>
            <w:tcW w:w="90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3,748,958</w:t>
            </w:r>
          </w:p>
        </w:tc>
      </w:tr>
      <w:tr>
        <w:trPr>
          <w:trHeight w:val="162"/>
        </w:trPr>
        <w:tc>
          <w:tcPr>
            <w:tcW w:w="3380" w:type="dxa"/>
            <w:vAlign w:val="bottom"/>
            <w:tcBorders>
              <w:bottom w:val="single" w:sz="8" w:color="auto"/>
            </w:tcBorders>
            <w:shd w:val="clear" w:color="auto" w:fill="E6EDF3"/>
          </w:tcPr>
          <w:p>
            <w:pPr>
              <w:ind w:left="200"/>
              <w:spacing w:after="0"/>
              <w:rPr>
                <w:sz w:val="20"/>
                <w:szCs w:val="20"/>
                <w:color w:val="auto"/>
              </w:rPr>
            </w:pPr>
            <w:r>
              <w:rPr>
                <w:rFonts w:ascii="Arial" w:cs="Arial" w:eastAsia="Arial" w:hAnsi="Arial"/>
                <w:sz w:val="14"/>
                <w:szCs w:val="14"/>
                <w:i w:val="1"/>
                <w:iCs w:val="1"/>
                <w:color w:val="auto"/>
              </w:rPr>
              <w:t>CFO</w:t>
            </w:r>
          </w:p>
        </w:tc>
        <w:tc>
          <w:tcPr>
            <w:tcW w:w="560" w:type="dxa"/>
            <w:vAlign w:val="bottom"/>
            <w:tcBorders>
              <w:bottom w:val="single" w:sz="8" w:color="auto"/>
            </w:tcBorders>
            <w:shd w:val="clear" w:color="auto" w:fill="E6EDF3"/>
          </w:tcPr>
          <w:p>
            <w:pPr>
              <w:ind w:left="140"/>
              <w:spacing w:after="0"/>
              <w:rPr>
                <w:sz w:val="20"/>
                <w:szCs w:val="20"/>
                <w:color w:val="auto"/>
              </w:rPr>
            </w:pPr>
            <w:r>
              <w:rPr>
                <w:rFonts w:ascii="Arial" w:cs="Arial" w:eastAsia="Arial" w:hAnsi="Arial"/>
                <w:sz w:val="14"/>
                <w:szCs w:val="14"/>
                <w:color w:val="auto"/>
              </w:rPr>
              <w:t>2016</w:t>
            </w:r>
          </w:p>
        </w:tc>
        <w:tc>
          <w:tcPr>
            <w:tcW w:w="8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519,231</w:t>
            </w:r>
          </w:p>
        </w:tc>
        <w:tc>
          <w:tcPr>
            <w:tcW w:w="580" w:type="dxa"/>
            <w:vAlign w:val="bottom"/>
            <w:tcBorders>
              <w:bottom w:val="single" w:sz="8" w:color="auto"/>
            </w:tcBorders>
            <w:shd w:val="clear" w:color="auto" w:fill="E6EDF3"/>
          </w:tcPr>
          <w:p>
            <w:pPr>
              <w:ind w:left="2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2,600,125</w:t>
            </w:r>
          </w:p>
        </w:tc>
        <w:tc>
          <w:tcPr>
            <w:tcW w:w="8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400,016</w:t>
            </w:r>
          </w:p>
        </w:tc>
        <w:tc>
          <w:tcPr>
            <w:tcW w:w="108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712,680</w:t>
            </w:r>
          </w:p>
        </w:tc>
        <w:tc>
          <w:tcPr>
            <w:tcW w:w="1020" w:type="dxa"/>
            <w:vAlign w:val="bottom"/>
            <w:tcBorders>
              <w:bottom w:val="single" w:sz="8" w:color="auto"/>
            </w:tcBorders>
            <w:shd w:val="clear" w:color="auto" w:fill="E6EDF3"/>
          </w:tcPr>
          <w:p>
            <w:pPr>
              <w:ind w:left="7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6EDF3"/>
          </w:tcPr>
          <w:p>
            <w:pPr>
              <w:jc w:val="right"/>
              <w:ind w:right="68"/>
              <w:spacing w:after="0"/>
              <w:rPr>
                <w:sz w:val="20"/>
                <w:szCs w:val="20"/>
                <w:color w:val="auto"/>
              </w:rPr>
            </w:pPr>
            <w:r>
              <w:rPr>
                <w:rFonts w:ascii="Arial" w:cs="Arial" w:eastAsia="Arial" w:hAnsi="Arial"/>
                <w:sz w:val="14"/>
                <w:szCs w:val="14"/>
                <w:color w:val="auto"/>
              </w:rPr>
              <w:t>309,047</w:t>
            </w:r>
          </w:p>
        </w:tc>
        <w:tc>
          <w:tcPr>
            <w:tcW w:w="90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4,541,099</w:t>
            </w:r>
          </w:p>
        </w:tc>
      </w:tr>
      <w:tr>
        <w:trPr>
          <w:trHeight w:val="142"/>
        </w:trPr>
        <w:tc>
          <w:tcPr>
            <w:tcW w:w="3380" w:type="dxa"/>
            <w:vAlign w:val="bottom"/>
          </w:tcPr>
          <w:p>
            <w:pPr>
              <w:ind w:left="60"/>
              <w:spacing w:after="0" w:line="143" w:lineRule="exact"/>
              <w:rPr>
                <w:sz w:val="20"/>
                <w:szCs w:val="20"/>
                <w:color w:val="auto"/>
              </w:rPr>
            </w:pPr>
            <w:r>
              <w:rPr>
                <w:rFonts w:ascii="Arial" w:cs="Arial" w:eastAsia="Arial" w:hAnsi="Arial"/>
                <w:sz w:val="14"/>
                <w:szCs w:val="14"/>
                <w:color w:val="auto"/>
              </w:rPr>
              <w:t>Darryl Green</w:t>
            </w:r>
          </w:p>
        </w:tc>
        <w:tc>
          <w:tcPr>
            <w:tcW w:w="560" w:type="dxa"/>
            <w:vAlign w:val="bottom"/>
          </w:tcPr>
          <w:p>
            <w:pPr>
              <w:ind w:left="140"/>
              <w:spacing w:after="0" w:line="143" w:lineRule="exact"/>
              <w:rPr>
                <w:sz w:val="20"/>
                <w:szCs w:val="20"/>
                <w:color w:val="auto"/>
              </w:rPr>
            </w:pPr>
            <w:r>
              <w:rPr>
                <w:rFonts w:ascii="Arial" w:cs="Arial" w:eastAsia="Arial" w:hAnsi="Arial"/>
                <w:sz w:val="14"/>
                <w:szCs w:val="14"/>
                <w:color w:val="auto"/>
              </w:rPr>
              <w:t>2017</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850,000</w:t>
            </w:r>
          </w:p>
        </w:tc>
        <w:tc>
          <w:tcPr>
            <w:tcW w:w="580" w:type="dxa"/>
            <w:vAlign w:val="bottom"/>
          </w:tcPr>
          <w:p>
            <w:pPr>
              <w:ind w:left="280"/>
              <w:spacing w:after="0" w:line="143"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line="143" w:lineRule="exact"/>
              <w:rPr>
                <w:sz w:val="20"/>
                <w:szCs w:val="20"/>
                <w:color w:val="auto"/>
              </w:rPr>
            </w:pPr>
            <w:r>
              <w:rPr>
                <w:rFonts w:ascii="Arial" w:cs="Arial" w:eastAsia="Arial" w:hAnsi="Arial"/>
                <w:sz w:val="14"/>
                <w:szCs w:val="14"/>
                <w:color w:val="auto"/>
              </w:rPr>
              <w:t>3,040,039</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760,007</w:t>
            </w:r>
          </w:p>
        </w:tc>
        <w:tc>
          <w:tcPr>
            <w:tcW w:w="1080" w:type="dxa"/>
            <w:vAlign w:val="bottom"/>
          </w:tcPr>
          <w:p>
            <w:pPr>
              <w:jc w:val="right"/>
              <w:ind w:right="28"/>
              <w:spacing w:after="0" w:line="143" w:lineRule="exact"/>
              <w:rPr>
                <w:sz w:val="20"/>
                <w:szCs w:val="20"/>
                <w:color w:val="auto"/>
              </w:rPr>
            </w:pPr>
            <w:r>
              <w:rPr>
                <w:rFonts w:ascii="Arial" w:cs="Arial" w:eastAsia="Arial" w:hAnsi="Arial"/>
                <w:sz w:val="14"/>
                <w:szCs w:val="14"/>
                <w:color w:val="auto"/>
              </w:rPr>
              <w:t>1,004,360</w:t>
            </w:r>
          </w:p>
        </w:tc>
        <w:tc>
          <w:tcPr>
            <w:tcW w:w="1020" w:type="dxa"/>
            <w:vAlign w:val="bottom"/>
          </w:tcPr>
          <w:p>
            <w:pPr>
              <w:ind w:left="780"/>
              <w:spacing w:after="0" w:line="143"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line="143" w:lineRule="exact"/>
              <w:rPr>
                <w:sz w:val="20"/>
                <w:szCs w:val="20"/>
                <w:color w:val="auto"/>
              </w:rPr>
            </w:pPr>
            <w:r>
              <w:rPr>
                <w:rFonts w:ascii="Arial" w:cs="Arial" w:eastAsia="Arial" w:hAnsi="Arial"/>
                <w:sz w:val="14"/>
                <w:szCs w:val="14"/>
                <w:color w:val="auto"/>
              </w:rPr>
              <w:t>53,385</w:t>
            </w:r>
          </w:p>
        </w:tc>
        <w:tc>
          <w:tcPr>
            <w:tcW w:w="900" w:type="dxa"/>
            <w:vAlign w:val="bottom"/>
          </w:tcPr>
          <w:p>
            <w:pPr>
              <w:jc w:val="right"/>
              <w:ind w:right="28"/>
              <w:spacing w:after="0" w:line="143" w:lineRule="exact"/>
              <w:rPr>
                <w:sz w:val="20"/>
                <w:szCs w:val="20"/>
                <w:color w:val="auto"/>
              </w:rPr>
            </w:pPr>
            <w:r>
              <w:rPr>
                <w:rFonts w:ascii="Arial" w:cs="Arial" w:eastAsia="Arial" w:hAnsi="Arial"/>
                <w:sz w:val="14"/>
                <w:szCs w:val="14"/>
                <w:color w:val="auto"/>
              </w:rPr>
              <w:t>5,707,791</w:t>
            </w:r>
          </w:p>
        </w:tc>
      </w:tr>
      <w:tr>
        <w:trPr>
          <w:trHeight w:val="162"/>
        </w:trPr>
        <w:tc>
          <w:tcPr>
            <w:tcW w:w="3380" w:type="dxa"/>
            <w:vAlign w:val="bottom"/>
          </w:tcPr>
          <w:p>
            <w:pPr>
              <w:ind w:left="200"/>
              <w:spacing w:after="0"/>
              <w:rPr>
                <w:sz w:val="20"/>
                <w:szCs w:val="20"/>
                <w:color w:val="auto"/>
              </w:rPr>
            </w:pPr>
            <w:r>
              <w:rPr>
                <w:rFonts w:ascii="Arial" w:cs="Arial" w:eastAsia="Arial" w:hAnsi="Arial"/>
                <w:sz w:val="14"/>
                <w:szCs w:val="14"/>
                <w:i w:val="1"/>
                <w:iCs w:val="1"/>
                <w:color w:val="auto"/>
              </w:rPr>
              <w:t>President &amp; COO</w:t>
            </w:r>
          </w:p>
        </w:tc>
        <w:tc>
          <w:tcPr>
            <w:tcW w:w="560" w:type="dxa"/>
            <w:vAlign w:val="bottom"/>
          </w:tcPr>
          <w:p>
            <w:pPr>
              <w:ind w:left="140"/>
              <w:spacing w:after="0"/>
              <w:rPr>
                <w:sz w:val="20"/>
                <w:szCs w:val="20"/>
                <w:color w:val="auto"/>
              </w:rPr>
            </w:pPr>
            <w:r>
              <w:rPr>
                <w:rFonts w:ascii="Arial" w:cs="Arial" w:eastAsia="Arial" w:hAnsi="Arial"/>
                <w:sz w:val="14"/>
                <w:szCs w:val="14"/>
                <w:color w:val="auto"/>
              </w:rPr>
              <w:t>2016</w:t>
            </w:r>
          </w:p>
        </w:tc>
        <w:tc>
          <w:tcPr>
            <w:tcW w:w="800" w:type="dxa"/>
            <w:vAlign w:val="bottom"/>
          </w:tcPr>
          <w:p>
            <w:pPr>
              <w:jc w:val="right"/>
              <w:spacing w:after="0"/>
              <w:rPr>
                <w:sz w:val="20"/>
                <w:szCs w:val="20"/>
                <w:color w:val="auto"/>
              </w:rPr>
            </w:pPr>
            <w:r>
              <w:rPr>
                <w:rFonts w:ascii="Arial" w:cs="Arial" w:eastAsia="Arial" w:hAnsi="Arial"/>
                <w:sz w:val="14"/>
                <w:szCs w:val="14"/>
                <w:color w:val="auto"/>
              </w:rPr>
              <w:t>800,000</w:t>
            </w:r>
          </w:p>
        </w:tc>
        <w:tc>
          <w:tcPr>
            <w:tcW w:w="580" w:type="dxa"/>
            <w:vAlign w:val="bottom"/>
          </w:tcPr>
          <w:p>
            <w:pPr>
              <w:ind w:left="2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2,800,036</w:t>
            </w:r>
          </w:p>
        </w:tc>
        <w:tc>
          <w:tcPr>
            <w:tcW w:w="800" w:type="dxa"/>
            <w:vAlign w:val="bottom"/>
          </w:tcPr>
          <w:p>
            <w:pPr>
              <w:jc w:val="right"/>
              <w:spacing w:after="0"/>
              <w:rPr>
                <w:sz w:val="20"/>
                <w:szCs w:val="20"/>
                <w:color w:val="auto"/>
              </w:rPr>
            </w:pPr>
            <w:r>
              <w:rPr>
                <w:rFonts w:ascii="Arial" w:cs="Arial" w:eastAsia="Arial" w:hAnsi="Arial"/>
                <w:sz w:val="14"/>
                <w:szCs w:val="14"/>
                <w:color w:val="auto"/>
              </w:rPr>
              <w:t>700,018</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990,240</w:t>
            </w:r>
          </w:p>
        </w:tc>
        <w:tc>
          <w:tcPr>
            <w:tcW w:w="1020" w:type="dxa"/>
            <w:vAlign w:val="bottom"/>
          </w:tcPr>
          <w:p>
            <w:pPr>
              <w:ind w:left="7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55,499</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5,345,793</w:t>
            </w:r>
          </w:p>
        </w:tc>
      </w:tr>
      <w:tr>
        <w:trPr>
          <w:trHeight w:val="175"/>
        </w:trPr>
        <w:tc>
          <w:tcPr>
            <w:tcW w:w="3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800,000</w:t>
            </w: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2,800,091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700,008</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1,105,000</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47,429</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5,452,528</w:t>
            </w:r>
          </w:p>
        </w:tc>
      </w:tr>
      <w:tr>
        <w:trPr>
          <w:trHeight w:val="156"/>
        </w:trPr>
        <w:tc>
          <w:tcPr>
            <w:tcW w:w="3380" w:type="dxa"/>
            <w:vAlign w:val="bottom"/>
            <w:shd w:val="clear" w:color="auto" w:fill="E6EDF3"/>
          </w:tcPr>
          <w:p>
            <w:pPr>
              <w:ind w:left="60"/>
              <w:spacing w:after="0" w:line="155" w:lineRule="exact"/>
              <w:rPr>
                <w:sz w:val="20"/>
                <w:szCs w:val="20"/>
                <w:color w:val="auto"/>
              </w:rPr>
            </w:pPr>
            <w:r>
              <w:rPr>
                <w:rFonts w:ascii="Arial" w:cs="Arial" w:eastAsia="Arial" w:hAnsi="Arial"/>
                <w:sz w:val="14"/>
                <w:szCs w:val="14"/>
                <w:color w:val="auto"/>
              </w:rPr>
              <w:t>Ram Chandrashekar(5)</w:t>
            </w:r>
          </w:p>
        </w:tc>
        <w:tc>
          <w:tcPr>
            <w:tcW w:w="560" w:type="dxa"/>
            <w:vAlign w:val="bottom"/>
            <w:shd w:val="clear" w:color="auto" w:fill="E6EDF3"/>
          </w:tcPr>
          <w:p>
            <w:pPr>
              <w:ind w:left="140"/>
              <w:spacing w:after="0" w:line="155" w:lineRule="exact"/>
              <w:rPr>
                <w:sz w:val="20"/>
                <w:szCs w:val="20"/>
                <w:color w:val="auto"/>
              </w:rPr>
            </w:pPr>
            <w:r>
              <w:rPr>
                <w:rFonts w:ascii="Arial" w:cs="Arial" w:eastAsia="Arial" w:hAnsi="Arial"/>
                <w:sz w:val="14"/>
                <w:szCs w:val="14"/>
                <w:color w:val="auto"/>
              </w:rPr>
              <w:t>2017</w:t>
            </w:r>
          </w:p>
        </w:tc>
        <w:tc>
          <w:tcPr>
            <w:tcW w:w="80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627,849</w:t>
            </w:r>
          </w:p>
        </w:tc>
        <w:tc>
          <w:tcPr>
            <w:tcW w:w="580" w:type="dxa"/>
            <w:vAlign w:val="bottom"/>
            <w:shd w:val="clear" w:color="auto" w:fill="E6EDF3"/>
          </w:tcPr>
          <w:p>
            <w:pPr>
              <w:ind w:left="28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1,520,019</w:t>
            </w:r>
          </w:p>
        </w:tc>
        <w:tc>
          <w:tcPr>
            <w:tcW w:w="80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380,016</w:t>
            </w:r>
          </w:p>
        </w:tc>
        <w:tc>
          <w:tcPr>
            <w:tcW w:w="108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653,967</w:t>
            </w:r>
          </w:p>
        </w:tc>
        <w:tc>
          <w:tcPr>
            <w:tcW w:w="1020" w:type="dxa"/>
            <w:vAlign w:val="bottom"/>
            <w:shd w:val="clear" w:color="auto" w:fill="E6EDF3"/>
          </w:tcPr>
          <w:p>
            <w:pPr>
              <w:ind w:left="780"/>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E6EDF3"/>
          </w:tcPr>
          <w:p>
            <w:pPr>
              <w:jc w:val="right"/>
              <w:ind w:right="68"/>
              <w:spacing w:after="0" w:line="155" w:lineRule="exact"/>
              <w:rPr>
                <w:sz w:val="20"/>
                <w:szCs w:val="20"/>
                <w:color w:val="auto"/>
              </w:rPr>
            </w:pPr>
            <w:r>
              <w:rPr>
                <w:rFonts w:ascii="Arial" w:cs="Arial" w:eastAsia="Arial" w:hAnsi="Arial"/>
                <w:sz w:val="14"/>
                <w:szCs w:val="14"/>
                <w:color w:val="auto"/>
              </w:rPr>
              <w:t>175,269</w:t>
            </w:r>
          </w:p>
        </w:tc>
        <w:tc>
          <w:tcPr>
            <w:tcW w:w="90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3,357,120</w:t>
            </w:r>
          </w:p>
        </w:tc>
      </w:tr>
      <w:tr>
        <w:trPr>
          <w:trHeight w:val="149"/>
        </w:trPr>
        <w:tc>
          <w:tcPr>
            <w:tcW w:w="3380" w:type="dxa"/>
            <w:vAlign w:val="bottom"/>
            <w:shd w:val="clear" w:color="auto" w:fill="E6EDF3"/>
          </w:tcPr>
          <w:p>
            <w:pPr>
              <w:ind w:left="200"/>
              <w:spacing w:after="0" w:line="149" w:lineRule="exact"/>
              <w:rPr>
                <w:sz w:val="20"/>
                <w:szCs w:val="20"/>
                <w:color w:val="auto"/>
              </w:rPr>
            </w:pPr>
            <w:r>
              <w:rPr>
                <w:rFonts w:ascii="Arial" w:cs="Arial" w:eastAsia="Arial" w:hAnsi="Arial"/>
                <w:sz w:val="14"/>
                <w:szCs w:val="14"/>
                <w:i w:val="1"/>
                <w:iCs w:val="1"/>
                <w:color w:val="auto"/>
              </w:rPr>
              <w:t>EVP, Operational</w:t>
            </w:r>
          </w:p>
        </w:tc>
        <w:tc>
          <w:tcPr>
            <w:tcW w:w="560" w:type="dxa"/>
            <w:vAlign w:val="bottom"/>
            <w:shd w:val="clear" w:color="auto" w:fill="E6EDF3"/>
          </w:tcPr>
          <w:p>
            <w:pPr>
              <w:ind w:left="140"/>
              <w:spacing w:after="0" w:line="149" w:lineRule="exact"/>
              <w:rPr>
                <w:sz w:val="20"/>
                <w:szCs w:val="20"/>
                <w:color w:val="auto"/>
              </w:rPr>
            </w:pPr>
            <w:r>
              <w:rPr>
                <w:rFonts w:ascii="Arial" w:cs="Arial" w:eastAsia="Arial" w:hAnsi="Arial"/>
                <w:sz w:val="14"/>
                <w:szCs w:val="14"/>
                <w:color w:val="auto"/>
              </w:rPr>
              <w:t>2016</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568,035</w:t>
            </w:r>
          </w:p>
        </w:tc>
        <w:tc>
          <w:tcPr>
            <w:tcW w:w="580" w:type="dxa"/>
            <w:vAlign w:val="bottom"/>
            <w:shd w:val="clear" w:color="auto" w:fill="E6EDF3"/>
          </w:tcPr>
          <w:p>
            <w:pPr>
              <w:ind w:lef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E6EDF3"/>
          </w:tcPr>
          <w:p>
            <w:pPr>
              <w:jc w:val="right"/>
              <w:ind w:right="28"/>
              <w:spacing w:after="0" w:line="149" w:lineRule="exact"/>
              <w:rPr>
                <w:sz w:val="20"/>
                <w:szCs w:val="20"/>
                <w:color w:val="auto"/>
              </w:rPr>
            </w:pPr>
            <w:r>
              <w:rPr>
                <w:rFonts w:ascii="Arial" w:cs="Arial" w:eastAsia="Arial" w:hAnsi="Arial"/>
                <w:sz w:val="14"/>
                <w:szCs w:val="14"/>
                <w:color w:val="auto"/>
              </w:rPr>
              <w:t>1,620,086</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280,007</w:t>
            </w:r>
          </w:p>
        </w:tc>
        <w:tc>
          <w:tcPr>
            <w:tcW w:w="1080" w:type="dxa"/>
            <w:vAlign w:val="bottom"/>
            <w:shd w:val="clear" w:color="auto" w:fill="E6EDF3"/>
          </w:tcPr>
          <w:p>
            <w:pPr>
              <w:jc w:val="right"/>
              <w:ind w:right="28"/>
              <w:spacing w:after="0" w:line="149" w:lineRule="exact"/>
              <w:rPr>
                <w:sz w:val="20"/>
                <w:szCs w:val="20"/>
                <w:color w:val="auto"/>
              </w:rPr>
            </w:pPr>
            <w:r>
              <w:rPr>
                <w:rFonts w:ascii="Arial" w:cs="Arial" w:eastAsia="Arial" w:hAnsi="Arial"/>
                <w:sz w:val="14"/>
                <w:szCs w:val="14"/>
                <w:color w:val="auto"/>
              </w:rPr>
              <w:t>370,188</w:t>
            </w:r>
          </w:p>
        </w:tc>
        <w:tc>
          <w:tcPr>
            <w:tcW w:w="1020" w:type="dxa"/>
            <w:vAlign w:val="bottom"/>
            <w:shd w:val="clear" w:color="auto" w:fill="E6EDF3"/>
          </w:tcPr>
          <w:p>
            <w:pPr>
              <w:ind w:left="78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E6EDF3"/>
          </w:tcPr>
          <w:p>
            <w:pPr>
              <w:jc w:val="right"/>
              <w:ind w:right="68"/>
              <w:spacing w:after="0" w:line="149" w:lineRule="exact"/>
              <w:rPr>
                <w:sz w:val="20"/>
                <w:szCs w:val="20"/>
                <w:color w:val="auto"/>
              </w:rPr>
            </w:pPr>
            <w:r>
              <w:rPr>
                <w:rFonts w:ascii="Arial" w:cs="Arial" w:eastAsia="Arial" w:hAnsi="Arial"/>
                <w:sz w:val="14"/>
                <w:szCs w:val="14"/>
                <w:color w:val="auto"/>
              </w:rPr>
              <w:t>294,960</w:t>
            </w:r>
          </w:p>
        </w:tc>
        <w:tc>
          <w:tcPr>
            <w:tcW w:w="900" w:type="dxa"/>
            <w:vAlign w:val="bottom"/>
            <w:shd w:val="clear" w:color="auto" w:fill="E6EDF3"/>
          </w:tcPr>
          <w:p>
            <w:pPr>
              <w:jc w:val="right"/>
              <w:ind w:right="28"/>
              <w:spacing w:after="0" w:line="149" w:lineRule="exact"/>
              <w:rPr>
                <w:sz w:val="20"/>
                <w:szCs w:val="20"/>
                <w:color w:val="auto"/>
              </w:rPr>
            </w:pPr>
            <w:r>
              <w:rPr>
                <w:rFonts w:ascii="Arial" w:cs="Arial" w:eastAsia="Arial" w:hAnsi="Arial"/>
                <w:sz w:val="14"/>
                <w:szCs w:val="14"/>
                <w:color w:val="auto"/>
              </w:rPr>
              <w:t>3,133,276</w:t>
            </w:r>
          </w:p>
        </w:tc>
      </w:tr>
      <w:tr>
        <w:trPr>
          <w:trHeight w:val="164"/>
        </w:trPr>
        <w:tc>
          <w:tcPr>
            <w:tcW w:w="3380" w:type="dxa"/>
            <w:vAlign w:val="bottom"/>
            <w:shd w:val="clear" w:color="auto" w:fill="E6EDF3"/>
          </w:tcPr>
          <w:p>
            <w:pPr>
              <w:ind w:left="200"/>
              <w:spacing w:after="0"/>
              <w:rPr>
                <w:sz w:val="20"/>
                <w:szCs w:val="20"/>
                <w:color w:val="auto"/>
              </w:rPr>
            </w:pPr>
            <w:r>
              <w:rPr>
                <w:rFonts w:ascii="Arial" w:cs="Arial" w:eastAsia="Arial" w:hAnsi="Arial"/>
                <w:sz w:val="14"/>
                <w:szCs w:val="14"/>
                <w:i w:val="1"/>
                <w:iCs w:val="1"/>
                <w:color w:val="auto"/>
              </w:rPr>
              <w:t>Excellence &amp; IT and</w:t>
            </w:r>
          </w:p>
        </w:tc>
        <w:tc>
          <w:tcPr>
            <w:tcW w:w="560" w:type="dxa"/>
            <w:vAlign w:val="bottom"/>
            <w:shd w:val="clear" w:color="auto" w:fill="E6EDF3"/>
          </w:tcPr>
          <w:p>
            <w:pPr>
              <w:ind w:left="140"/>
              <w:spacing w:after="0"/>
              <w:rPr>
                <w:sz w:val="20"/>
                <w:szCs w:val="20"/>
                <w:color w:val="auto"/>
              </w:rPr>
            </w:pPr>
            <w:r>
              <w:rPr>
                <w:rFonts w:ascii="Arial" w:cs="Arial" w:eastAsia="Arial" w:hAnsi="Arial"/>
                <w:sz w:val="14"/>
                <w:szCs w:val="14"/>
                <w:color w:val="auto"/>
              </w:rPr>
              <w:t>2015</w:t>
            </w:r>
          </w:p>
        </w:tc>
        <w:tc>
          <w:tcPr>
            <w:tcW w:w="8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568,035</w:t>
            </w:r>
          </w:p>
        </w:tc>
        <w:tc>
          <w:tcPr>
            <w:tcW w:w="580" w:type="dxa"/>
            <w:vAlign w:val="bottom"/>
            <w:shd w:val="clear" w:color="auto" w:fill="E6EDF3"/>
          </w:tcPr>
          <w:p>
            <w:pPr>
              <w:ind w:left="2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1,120,068</w:t>
            </w:r>
          </w:p>
        </w:tc>
        <w:tc>
          <w:tcPr>
            <w:tcW w:w="8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280,020</w:t>
            </w:r>
          </w:p>
        </w:tc>
        <w:tc>
          <w:tcPr>
            <w:tcW w:w="108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460,108</w:t>
            </w:r>
          </w:p>
        </w:tc>
        <w:tc>
          <w:tcPr>
            <w:tcW w:w="1020" w:type="dxa"/>
            <w:vAlign w:val="bottom"/>
            <w:shd w:val="clear" w:color="auto" w:fill="E6EDF3"/>
          </w:tcPr>
          <w:p>
            <w:pPr>
              <w:ind w:left="7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6EDF3"/>
          </w:tcPr>
          <w:p>
            <w:pPr>
              <w:jc w:val="right"/>
              <w:ind w:right="68"/>
              <w:spacing w:after="0"/>
              <w:rPr>
                <w:sz w:val="20"/>
                <w:szCs w:val="20"/>
                <w:color w:val="auto"/>
              </w:rPr>
            </w:pPr>
            <w:r>
              <w:rPr>
                <w:rFonts w:ascii="Arial" w:cs="Arial" w:eastAsia="Arial" w:hAnsi="Arial"/>
                <w:sz w:val="14"/>
                <w:szCs w:val="14"/>
                <w:color w:val="auto"/>
              </w:rPr>
              <w:t>101,760</w:t>
            </w:r>
          </w:p>
        </w:tc>
        <w:tc>
          <w:tcPr>
            <w:tcW w:w="90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2,529,991</w:t>
            </w:r>
          </w:p>
        </w:tc>
      </w:tr>
      <w:tr>
        <w:trPr>
          <w:trHeight w:val="162"/>
        </w:trPr>
        <w:tc>
          <w:tcPr>
            <w:tcW w:w="3380" w:type="dxa"/>
            <w:vAlign w:val="bottom"/>
            <w:shd w:val="clear" w:color="auto" w:fill="E6EDF3"/>
          </w:tcPr>
          <w:p>
            <w:pPr>
              <w:ind w:left="200"/>
              <w:spacing w:after="0"/>
              <w:rPr>
                <w:sz w:val="20"/>
                <w:szCs w:val="20"/>
                <w:color w:val="auto"/>
              </w:rPr>
            </w:pPr>
            <w:r>
              <w:rPr>
                <w:rFonts w:ascii="Arial" w:cs="Arial" w:eastAsia="Arial" w:hAnsi="Arial"/>
                <w:sz w:val="14"/>
                <w:szCs w:val="14"/>
                <w:i w:val="1"/>
                <w:iCs w:val="1"/>
                <w:color w:val="auto"/>
              </w:rPr>
              <w:t>President, Asia Pacific</w:t>
            </w:r>
          </w:p>
        </w:tc>
        <w:tc>
          <w:tcPr>
            <w:tcW w:w="560" w:type="dxa"/>
            <w:vAlign w:val="bottom"/>
            <w:shd w:val="clear" w:color="auto" w:fill="E6EDF3"/>
          </w:tcPr>
          <w:p>
            <w:pPr>
              <w:spacing w:after="0"/>
              <w:rPr>
                <w:sz w:val="14"/>
                <w:szCs w:val="14"/>
                <w:color w:val="auto"/>
              </w:rPr>
            </w:pPr>
          </w:p>
        </w:tc>
        <w:tc>
          <w:tcPr>
            <w:tcW w:w="800" w:type="dxa"/>
            <w:vAlign w:val="bottom"/>
            <w:shd w:val="clear" w:color="auto" w:fill="E6EDF3"/>
          </w:tcPr>
          <w:p>
            <w:pPr>
              <w:spacing w:after="0"/>
              <w:rPr>
                <w:sz w:val="14"/>
                <w:szCs w:val="14"/>
                <w:color w:val="auto"/>
              </w:rPr>
            </w:pPr>
          </w:p>
        </w:tc>
        <w:tc>
          <w:tcPr>
            <w:tcW w:w="580" w:type="dxa"/>
            <w:vAlign w:val="bottom"/>
            <w:shd w:val="clear" w:color="auto" w:fill="E6EDF3"/>
          </w:tcPr>
          <w:p>
            <w:pPr>
              <w:spacing w:after="0"/>
              <w:rPr>
                <w:sz w:val="14"/>
                <w:szCs w:val="14"/>
                <w:color w:val="auto"/>
              </w:rPr>
            </w:pPr>
          </w:p>
        </w:tc>
        <w:tc>
          <w:tcPr>
            <w:tcW w:w="820" w:type="dxa"/>
            <w:vAlign w:val="bottom"/>
            <w:shd w:val="clear" w:color="auto" w:fill="E6EDF3"/>
          </w:tcPr>
          <w:p>
            <w:pPr>
              <w:spacing w:after="0"/>
              <w:rPr>
                <w:sz w:val="14"/>
                <w:szCs w:val="14"/>
                <w:color w:val="auto"/>
              </w:rPr>
            </w:pPr>
          </w:p>
        </w:tc>
        <w:tc>
          <w:tcPr>
            <w:tcW w:w="800" w:type="dxa"/>
            <w:vAlign w:val="bottom"/>
            <w:shd w:val="clear" w:color="auto" w:fill="E6EDF3"/>
          </w:tcPr>
          <w:p>
            <w:pPr>
              <w:spacing w:after="0"/>
              <w:rPr>
                <w:sz w:val="14"/>
                <w:szCs w:val="14"/>
                <w:color w:val="auto"/>
              </w:rPr>
            </w:pPr>
          </w:p>
        </w:tc>
        <w:tc>
          <w:tcPr>
            <w:tcW w:w="1080" w:type="dxa"/>
            <w:vAlign w:val="bottom"/>
            <w:shd w:val="clear" w:color="auto" w:fill="E6EDF3"/>
          </w:tcPr>
          <w:p>
            <w:pPr>
              <w:spacing w:after="0"/>
              <w:rPr>
                <w:sz w:val="14"/>
                <w:szCs w:val="14"/>
                <w:color w:val="auto"/>
              </w:rPr>
            </w:pPr>
          </w:p>
        </w:tc>
        <w:tc>
          <w:tcPr>
            <w:tcW w:w="1020" w:type="dxa"/>
            <w:vAlign w:val="bottom"/>
            <w:shd w:val="clear" w:color="auto" w:fill="E6EDF3"/>
          </w:tcPr>
          <w:p>
            <w:pPr>
              <w:spacing w:after="0"/>
              <w:rPr>
                <w:sz w:val="14"/>
                <w:szCs w:val="14"/>
                <w:color w:val="auto"/>
              </w:rPr>
            </w:pPr>
          </w:p>
        </w:tc>
        <w:tc>
          <w:tcPr>
            <w:tcW w:w="1080" w:type="dxa"/>
            <w:vAlign w:val="bottom"/>
            <w:shd w:val="clear" w:color="auto" w:fill="E6EDF3"/>
          </w:tcPr>
          <w:p>
            <w:pPr>
              <w:spacing w:after="0"/>
              <w:rPr>
                <w:sz w:val="14"/>
                <w:szCs w:val="14"/>
                <w:color w:val="auto"/>
              </w:rPr>
            </w:pPr>
          </w:p>
        </w:tc>
        <w:tc>
          <w:tcPr>
            <w:tcW w:w="900" w:type="dxa"/>
            <w:vAlign w:val="bottom"/>
            <w:shd w:val="clear" w:color="auto" w:fill="E6EDF3"/>
          </w:tcPr>
          <w:p>
            <w:pPr>
              <w:spacing w:after="0"/>
              <w:rPr>
                <w:sz w:val="14"/>
                <w:szCs w:val="14"/>
                <w:color w:val="auto"/>
              </w:rPr>
            </w:pPr>
          </w:p>
        </w:tc>
      </w:tr>
      <w:tr>
        <w:trPr>
          <w:trHeight w:val="187"/>
        </w:trPr>
        <w:tc>
          <w:tcPr>
            <w:tcW w:w="3380" w:type="dxa"/>
            <w:vAlign w:val="bottom"/>
            <w:tcBorders>
              <w:bottom w:val="single" w:sz="8" w:color="auto"/>
            </w:tcBorders>
            <w:shd w:val="clear" w:color="auto" w:fill="E6EDF3"/>
          </w:tcPr>
          <w:p>
            <w:pPr>
              <w:ind w:left="200"/>
              <w:spacing w:after="0"/>
              <w:rPr>
                <w:sz w:val="20"/>
                <w:szCs w:val="20"/>
                <w:color w:val="auto"/>
              </w:rPr>
            </w:pPr>
            <w:r>
              <w:rPr>
                <w:rFonts w:ascii="Arial" w:cs="Arial" w:eastAsia="Arial" w:hAnsi="Arial"/>
                <w:sz w:val="14"/>
                <w:szCs w:val="14"/>
                <w:i w:val="1"/>
                <w:iCs w:val="1"/>
                <w:color w:val="auto"/>
              </w:rPr>
              <w:t>Middle East</w:t>
            </w:r>
          </w:p>
        </w:tc>
        <w:tc>
          <w:tcPr>
            <w:tcW w:w="560" w:type="dxa"/>
            <w:vAlign w:val="bottom"/>
            <w:tcBorders>
              <w:bottom w:val="single" w:sz="8" w:color="auto"/>
            </w:tcBorders>
            <w:shd w:val="clear" w:color="auto" w:fill="E6EDF3"/>
          </w:tcPr>
          <w:p>
            <w:pPr>
              <w:spacing w:after="0"/>
              <w:rPr>
                <w:sz w:val="16"/>
                <w:szCs w:val="16"/>
                <w:color w:val="auto"/>
              </w:rPr>
            </w:pPr>
          </w:p>
        </w:tc>
        <w:tc>
          <w:tcPr>
            <w:tcW w:w="800" w:type="dxa"/>
            <w:vAlign w:val="bottom"/>
            <w:tcBorders>
              <w:bottom w:val="single" w:sz="8" w:color="auto"/>
            </w:tcBorders>
            <w:shd w:val="clear" w:color="auto" w:fill="E6EDF3"/>
          </w:tcPr>
          <w:p>
            <w:pPr>
              <w:spacing w:after="0"/>
              <w:rPr>
                <w:sz w:val="16"/>
                <w:szCs w:val="16"/>
                <w:color w:val="auto"/>
              </w:rPr>
            </w:pPr>
          </w:p>
        </w:tc>
        <w:tc>
          <w:tcPr>
            <w:tcW w:w="580" w:type="dxa"/>
            <w:vAlign w:val="bottom"/>
            <w:tcBorders>
              <w:bottom w:val="single" w:sz="8" w:color="auto"/>
            </w:tcBorders>
            <w:shd w:val="clear" w:color="auto" w:fill="E6EDF3"/>
          </w:tcPr>
          <w:p>
            <w:pPr>
              <w:spacing w:after="0"/>
              <w:rPr>
                <w:sz w:val="16"/>
                <w:szCs w:val="16"/>
                <w:color w:val="auto"/>
              </w:rPr>
            </w:pPr>
          </w:p>
        </w:tc>
        <w:tc>
          <w:tcPr>
            <w:tcW w:w="820" w:type="dxa"/>
            <w:vAlign w:val="bottom"/>
            <w:tcBorders>
              <w:bottom w:val="single" w:sz="8" w:color="auto"/>
            </w:tcBorders>
            <w:shd w:val="clear" w:color="auto" w:fill="E6EDF3"/>
          </w:tcPr>
          <w:p>
            <w:pPr>
              <w:spacing w:after="0"/>
              <w:rPr>
                <w:sz w:val="16"/>
                <w:szCs w:val="16"/>
                <w:color w:val="auto"/>
              </w:rPr>
            </w:pPr>
          </w:p>
        </w:tc>
        <w:tc>
          <w:tcPr>
            <w:tcW w:w="800" w:type="dxa"/>
            <w:vAlign w:val="bottom"/>
            <w:tcBorders>
              <w:bottom w:val="single" w:sz="8" w:color="auto"/>
            </w:tcBorders>
            <w:shd w:val="clear" w:color="auto" w:fill="E6EDF3"/>
          </w:tcPr>
          <w:p>
            <w:pPr>
              <w:spacing w:after="0"/>
              <w:rPr>
                <w:sz w:val="16"/>
                <w:szCs w:val="16"/>
                <w:color w:val="auto"/>
              </w:rPr>
            </w:pPr>
          </w:p>
        </w:tc>
        <w:tc>
          <w:tcPr>
            <w:tcW w:w="1080" w:type="dxa"/>
            <w:vAlign w:val="bottom"/>
            <w:tcBorders>
              <w:bottom w:val="single" w:sz="8" w:color="auto"/>
            </w:tcBorders>
            <w:shd w:val="clear" w:color="auto" w:fill="E6EDF3"/>
          </w:tcPr>
          <w:p>
            <w:pPr>
              <w:spacing w:after="0"/>
              <w:rPr>
                <w:sz w:val="16"/>
                <w:szCs w:val="16"/>
                <w:color w:val="auto"/>
              </w:rPr>
            </w:pPr>
          </w:p>
        </w:tc>
        <w:tc>
          <w:tcPr>
            <w:tcW w:w="1020" w:type="dxa"/>
            <w:vAlign w:val="bottom"/>
            <w:tcBorders>
              <w:bottom w:val="single" w:sz="8" w:color="auto"/>
            </w:tcBorders>
            <w:shd w:val="clear" w:color="auto" w:fill="E6EDF3"/>
          </w:tcPr>
          <w:p>
            <w:pPr>
              <w:spacing w:after="0"/>
              <w:rPr>
                <w:sz w:val="16"/>
                <w:szCs w:val="16"/>
                <w:color w:val="auto"/>
              </w:rPr>
            </w:pPr>
          </w:p>
        </w:tc>
        <w:tc>
          <w:tcPr>
            <w:tcW w:w="1080" w:type="dxa"/>
            <w:vAlign w:val="bottom"/>
            <w:tcBorders>
              <w:bottom w:val="single" w:sz="8" w:color="auto"/>
            </w:tcBorders>
            <w:shd w:val="clear" w:color="auto" w:fill="E6EDF3"/>
          </w:tcPr>
          <w:p>
            <w:pPr>
              <w:spacing w:after="0"/>
              <w:rPr>
                <w:sz w:val="16"/>
                <w:szCs w:val="16"/>
                <w:color w:val="auto"/>
              </w:rPr>
            </w:pPr>
          </w:p>
        </w:tc>
        <w:tc>
          <w:tcPr>
            <w:tcW w:w="900" w:type="dxa"/>
            <w:vAlign w:val="bottom"/>
            <w:tcBorders>
              <w:bottom w:val="single" w:sz="8" w:color="auto"/>
            </w:tcBorders>
            <w:shd w:val="clear" w:color="auto" w:fill="E6EDF3"/>
          </w:tcPr>
          <w:p>
            <w:pPr>
              <w:spacing w:after="0"/>
              <w:rPr>
                <w:sz w:val="16"/>
                <w:szCs w:val="16"/>
                <w:color w:val="auto"/>
              </w:rPr>
            </w:pPr>
          </w:p>
        </w:tc>
      </w:tr>
      <w:tr>
        <w:trPr>
          <w:trHeight w:val="144"/>
        </w:trPr>
        <w:tc>
          <w:tcPr>
            <w:tcW w:w="3380" w:type="dxa"/>
            <w:vAlign w:val="bottom"/>
          </w:tcPr>
          <w:p>
            <w:pPr>
              <w:ind w:left="60"/>
              <w:spacing w:after="0" w:line="145" w:lineRule="exact"/>
              <w:rPr>
                <w:sz w:val="20"/>
                <w:szCs w:val="20"/>
                <w:color w:val="auto"/>
              </w:rPr>
            </w:pPr>
            <w:r>
              <w:rPr>
                <w:rFonts w:ascii="Arial" w:cs="Arial" w:eastAsia="Arial" w:hAnsi="Arial"/>
                <w:sz w:val="14"/>
                <w:szCs w:val="14"/>
                <w:color w:val="auto"/>
              </w:rPr>
              <w:t>Mara E. Swan</w:t>
            </w:r>
          </w:p>
        </w:tc>
        <w:tc>
          <w:tcPr>
            <w:tcW w:w="560" w:type="dxa"/>
            <w:vAlign w:val="bottom"/>
          </w:tcPr>
          <w:p>
            <w:pPr>
              <w:ind w:left="140"/>
              <w:spacing w:after="0" w:line="145" w:lineRule="exact"/>
              <w:rPr>
                <w:sz w:val="20"/>
                <w:szCs w:val="20"/>
                <w:color w:val="auto"/>
              </w:rPr>
            </w:pPr>
            <w:r>
              <w:rPr>
                <w:rFonts w:ascii="Arial" w:cs="Arial" w:eastAsia="Arial" w:hAnsi="Arial"/>
                <w:sz w:val="14"/>
                <w:szCs w:val="14"/>
                <w:color w:val="auto"/>
              </w:rPr>
              <w:t>2017</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610,000</w:t>
            </w:r>
          </w:p>
        </w:tc>
        <w:tc>
          <w:tcPr>
            <w:tcW w:w="580" w:type="dxa"/>
            <w:vAlign w:val="bottom"/>
          </w:tcPr>
          <w:p>
            <w:pPr>
              <w:ind w:left="280"/>
              <w:spacing w:after="0" w:line="14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line="145" w:lineRule="exact"/>
              <w:rPr>
                <w:sz w:val="20"/>
                <w:szCs w:val="20"/>
                <w:color w:val="auto"/>
              </w:rPr>
            </w:pPr>
            <w:r>
              <w:rPr>
                <w:rFonts w:ascii="Arial" w:cs="Arial" w:eastAsia="Arial" w:hAnsi="Arial"/>
                <w:sz w:val="14"/>
                <w:szCs w:val="14"/>
                <w:color w:val="auto"/>
              </w:rPr>
              <w:t>1,080,106</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270,022</w:t>
            </w:r>
          </w:p>
        </w:tc>
        <w:tc>
          <w:tcPr>
            <w:tcW w:w="1080" w:type="dxa"/>
            <w:vAlign w:val="bottom"/>
          </w:tcPr>
          <w:p>
            <w:pPr>
              <w:jc w:val="right"/>
              <w:ind w:right="28"/>
              <w:spacing w:after="0" w:line="145" w:lineRule="exact"/>
              <w:rPr>
                <w:sz w:val="20"/>
                <w:szCs w:val="20"/>
                <w:color w:val="auto"/>
              </w:rPr>
            </w:pPr>
            <w:r>
              <w:rPr>
                <w:rFonts w:ascii="Arial" w:cs="Arial" w:eastAsia="Arial" w:hAnsi="Arial"/>
                <w:sz w:val="14"/>
                <w:szCs w:val="14"/>
                <w:color w:val="auto"/>
              </w:rPr>
              <w:t>546,682</w:t>
            </w:r>
          </w:p>
        </w:tc>
        <w:tc>
          <w:tcPr>
            <w:tcW w:w="1020" w:type="dxa"/>
            <w:vAlign w:val="bottom"/>
          </w:tcPr>
          <w:p>
            <w:pPr>
              <w:ind w:left="780"/>
              <w:spacing w:after="0" w:line="145"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line="145" w:lineRule="exact"/>
              <w:rPr>
                <w:sz w:val="20"/>
                <w:szCs w:val="20"/>
                <w:color w:val="auto"/>
              </w:rPr>
            </w:pPr>
            <w:r>
              <w:rPr>
                <w:rFonts w:ascii="Arial" w:cs="Arial" w:eastAsia="Arial" w:hAnsi="Arial"/>
                <w:sz w:val="14"/>
                <w:szCs w:val="14"/>
                <w:color w:val="auto"/>
              </w:rPr>
              <w:t>61,507</w:t>
            </w:r>
          </w:p>
        </w:tc>
        <w:tc>
          <w:tcPr>
            <w:tcW w:w="900" w:type="dxa"/>
            <w:vAlign w:val="bottom"/>
          </w:tcPr>
          <w:p>
            <w:pPr>
              <w:jc w:val="right"/>
              <w:ind w:right="28"/>
              <w:spacing w:after="0" w:line="145" w:lineRule="exact"/>
              <w:rPr>
                <w:sz w:val="20"/>
                <w:szCs w:val="20"/>
                <w:color w:val="auto"/>
              </w:rPr>
            </w:pPr>
            <w:r>
              <w:rPr>
                <w:rFonts w:ascii="Arial" w:cs="Arial" w:eastAsia="Arial" w:hAnsi="Arial"/>
                <w:sz w:val="14"/>
                <w:szCs w:val="14"/>
                <w:color w:val="auto"/>
              </w:rPr>
              <w:t>2,568,317</w:t>
            </w:r>
          </w:p>
        </w:tc>
      </w:tr>
      <w:tr>
        <w:trPr>
          <w:trHeight w:val="162"/>
        </w:trPr>
        <w:tc>
          <w:tcPr>
            <w:tcW w:w="3380" w:type="dxa"/>
            <w:vAlign w:val="bottom"/>
          </w:tcPr>
          <w:p>
            <w:pPr>
              <w:ind w:left="200"/>
              <w:spacing w:after="0"/>
              <w:rPr>
                <w:sz w:val="20"/>
                <w:szCs w:val="20"/>
                <w:color w:val="auto"/>
              </w:rPr>
            </w:pPr>
            <w:r>
              <w:rPr>
                <w:rFonts w:ascii="Arial" w:cs="Arial" w:eastAsia="Arial" w:hAnsi="Arial"/>
                <w:sz w:val="14"/>
                <w:szCs w:val="14"/>
                <w:i w:val="1"/>
                <w:iCs w:val="1"/>
                <w:color w:val="auto"/>
              </w:rPr>
              <w:t>EVP, Global Strategy</w:t>
            </w:r>
          </w:p>
        </w:tc>
        <w:tc>
          <w:tcPr>
            <w:tcW w:w="560" w:type="dxa"/>
            <w:vAlign w:val="bottom"/>
          </w:tcPr>
          <w:p>
            <w:pPr>
              <w:ind w:left="140"/>
              <w:spacing w:after="0"/>
              <w:rPr>
                <w:sz w:val="20"/>
                <w:szCs w:val="20"/>
                <w:color w:val="auto"/>
              </w:rPr>
            </w:pPr>
            <w:r>
              <w:rPr>
                <w:rFonts w:ascii="Arial" w:cs="Arial" w:eastAsia="Arial" w:hAnsi="Arial"/>
                <w:sz w:val="14"/>
                <w:szCs w:val="14"/>
                <w:color w:val="auto"/>
              </w:rPr>
              <w:t>2016</w:t>
            </w:r>
          </w:p>
        </w:tc>
        <w:tc>
          <w:tcPr>
            <w:tcW w:w="800" w:type="dxa"/>
            <w:vAlign w:val="bottom"/>
          </w:tcPr>
          <w:p>
            <w:pPr>
              <w:jc w:val="right"/>
              <w:spacing w:after="0"/>
              <w:rPr>
                <w:sz w:val="20"/>
                <w:szCs w:val="20"/>
                <w:color w:val="auto"/>
              </w:rPr>
            </w:pPr>
            <w:r>
              <w:rPr>
                <w:rFonts w:ascii="Arial" w:cs="Arial" w:eastAsia="Arial" w:hAnsi="Arial"/>
                <w:sz w:val="14"/>
                <w:szCs w:val="14"/>
                <w:color w:val="auto"/>
              </w:rPr>
              <w:t>560,000</w:t>
            </w:r>
          </w:p>
        </w:tc>
        <w:tc>
          <w:tcPr>
            <w:tcW w:w="580" w:type="dxa"/>
            <w:vAlign w:val="bottom"/>
          </w:tcPr>
          <w:p>
            <w:pPr>
              <w:ind w:left="2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960,145</w:t>
            </w:r>
          </w:p>
        </w:tc>
        <w:tc>
          <w:tcPr>
            <w:tcW w:w="800" w:type="dxa"/>
            <w:vAlign w:val="bottom"/>
          </w:tcPr>
          <w:p>
            <w:pPr>
              <w:jc w:val="right"/>
              <w:spacing w:after="0"/>
              <w:rPr>
                <w:sz w:val="20"/>
                <w:szCs w:val="20"/>
                <w:color w:val="auto"/>
              </w:rPr>
            </w:pPr>
            <w:r>
              <w:rPr>
                <w:rFonts w:ascii="Arial" w:cs="Arial" w:eastAsia="Arial" w:hAnsi="Arial"/>
                <w:sz w:val="14"/>
                <w:szCs w:val="14"/>
                <w:color w:val="auto"/>
              </w:rPr>
              <w:t>240,017</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522,648</w:t>
            </w:r>
          </w:p>
        </w:tc>
        <w:tc>
          <w:tcPr>
            <w:tcW w:w="1020" w:type="dxa"/>
            <w:vAlign w:val="bottom"/>
          </w:tcPr>
          <w:p>
            <w:pPr>
              <w:ind w:left="7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83,271</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2,366,081</w:t>
            </w:r>
          </w:p>
        </w:tc>
      </w:tr>
      <w:tr>
        <w:trPr>
          <w:trHeight w:val="187"/>
        </w:trPr>
        <w:tc>
          <w:tcPr>
            <w:tcW w:w="3380" w:type="dxa"/>
            <w:vAlign w:val="bottom"/>
            <w:tcBorders>
              <w:bottom w:val="single" w:sz="8" w:color="auto"/>
            </w:tcBorders>
          </w:tcPr>
          <w:p>
            <w:pPr>
              <w:ind w:left="200"/>
              <w:spacing w:after="0"/>
              <w:rPr>
                <w:sz w:val="20"/>
                <w:szCs w:val="20"/>
                <w:color w:val="auto"/>
              </w:rPr>
            </w:pPr>
            <w:r>
              <w:rPr>
                <w:rFonts w:ascii="Arial" w:cs="Arial" w:eastAsia="Arial" w:hAnsi="Arial"/>
                <w:sz w:val="14"/>
                <w:szCs w:val="14"/>
                <w:i w:val="1"/>
                <w:iCs w:val="1"/>
                <w:color w:val="auto"/>
              </w:rPr>
              <w:t>&amp; Talent</w:t>
            </w: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560,000</w:t>
            </w: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960,123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240,014</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580,000</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71,432</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2,411,569</w:t>
            </w:r>
          </w:p>
        </w:tc>
      </w:tr>
    </w:tbl>
    <w:p>
      <w:pPr>
        <w:spacing w:after="0" w:line="54" w:lineRule="exact"/>
        <w:rPr>
          <w:sz w:val="20"/>
          <w:szCs w:val="20"/>
          <w:color w:val="auto"/>
        </w:rPr>
      </w:pPr>
    </w:p>
    <w:p>
      <w:pPr>
        <w:ind w:left="520" w:right="140" w:hanging="316"/>
        <w:spacing w:after="0" w:line="266"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value of stock awards in this table for all years includes the grant date fair value (calculated at the target level) for performance share units and restricted stock units (including career shares) as computed in accordance with Financial Accounting Standards Board (“FASB”) Accounting Standards Codification (“ASC”) Topic 718, “Stock Compensation.” See page 55 for the breakout in the grant date fair value of performance share units and restricted stock units.</w:t>
      </w:r>
    </w:p>
    <w:p>
      <w:pPr>
        <w:spacing w:after="0" w:line="18"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The grant date fair value of the 2017 performance share unit awards at the outstanding level for each executive officer was:</w:t>
      </w: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270"/>
        </w:trPr>
        <w:tc>
          <w:tcPr>
            <w:tcW w:w="9400" w:type="dxa"/>
            <w:vAlign w:val="bottom"/>
            <w:tcBorders>
              <w:top w:val="single" w:sz="8" w:color="auto"/>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w:t>
            </w:r>
          </w:p>
        </w:tc>
        <w:tc>
          <w:tcPr>
            <w:tcW w:w="1300" w:type="dxa"/>
            <w:vAlign w:val="bottom"/>
            <w:tcBorders>
              <w:top w:val="single" w:sz="8" w:color="auto"/>
              <w:bottom w:val="single" w:sz="8" w:color="auto"/>
            </w:tcBorders>
            <w:shd w:val="clear" w:color="auto" w:fill="9DB8D2"/>
          </w:tcPr>
          <w:p>
            <w:pPr>
              <w:jc w:val="right"/>
              <w:ind w:right="260"/>
              <w:spacing w:after="0"/>
              <w:rPr>
                <w:sz w:val="20"/>
                <w:szCs w:val="20"/>
                <w:color w:val="auto"/>
              </w:rPr>
            </w:pPr>
            <w:r>
              <w:rPr>
                <w:rFonts w:ascii="Arial" w:cs="Arial" w:eastAsia="Arial" w:hAnsi="Arial"/>
                <w:sz w:val="14"/>
                <w:szCs w:val="14"/>
                <w:b w:val="1"/>
                <w:bCs w:val="1"/>
                <w:color w:val="auto"/>
              </w:rPr>
              <w:t>2017</w:t>
            </w:r>
          </w:p>
        </w:tc>
      </w:tr>
      <w:tr>
        <w:trPr>
          <w:trHeight w:val="183"/>
        </w:trPr>
        <w:tc>
          <w:tcPr>
            <w:tcW w:w="9400" w:type="dxa"/>
            <w:vAlign w:val="bottom"/>
          </w:tcPr>
          <w:p>
            <w:pPr>
              <w:ind w:left="80"/>
              <w:spacing w:after="0" w:line="183" w:lineRule="exact"/>
              <w:rPr>
                <w:sz w:val="20"/>
                <w:szCs w:val="20"/>
                <w:color w:val="auto"/>
              </w:rPr>
            </w:pPr>
            <w:r>
              <w:rPr>
                <w:rFonts w:ascii="Arial" w:cs="Arial" w:eastAsia="Arial" w:hAnsi="Arial"/>
                <w:sz w:val="16"/>
                <w:szCs w:val="16"/>
                <w:color w:val="auto"/>
              </w:rPr>
              <w:t>Jonas Prising</w:t>
            </w: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$10,140,117</w:t>
            </w:r>
          </w:p>
        </w:tc>
      </w:tr>
      <w:tr>
        <w:trPr>
          <w:trHeight w:val="189"/>
        </w:trPr>
        <w:tc>
          <w:tcPr>
            <w:tcW w:w="9400" w:type="dxa"/>
            <w:vAlign w:val="bottom"/>
            <w:shd w:val="clear" w:color="auto" w:fill="E6EDF3"/>
          </w:tcPr>
          <w:p>
            <w:pPr>
              <w:ind w:left="80"/>
              <w:spacing w:after="0"/>
              <w:rPr>
                <w:sz w:val="20"/>
                <w:szCs w:val="20"/>
                <w:color w:val="auto"/>
              </w:rPr>
            </w:pPr>
            <w:r>
              <w:rPr>
                <w:rFonts w:ascii="Arial" w:cs="Arial" w:eastAsia="Arial" w:hAnsi="Arial"/>
                <w:sz w:val="16"/>
                <w:szCs w:val="16"/>
                <w:color w:val="auto"/>
              </w:rPr>
              <w:t>John T. McGinnis</w:t>
            </w:r>
          </w:p>
        </w:tc>
        <w:tc>
          <w:tcPr>
            <w:tcW w:w="1300" w:type="dxa"/>
            <w:vAlign w:val="bottom"/>
            <w:shd w:val="clear" w:color="auto" w:fill="E6EDF3"/>
          </w:tcPr>
          <w:p>
            <w:pPr>
              <w:jc w:val="right"/>
              <w:spacing w:after="0"/>
              <w:rPr>
                <w:sz w:val="20"/>
                <w:szCs w:val="20"/>
                <w:color w:val="auto"/>
              </w:rPr>
            </w:pPr>
            <w:r>
              <w:rPr>
                <w:rFonts w:ascii="Arial" w:cs="Arial" w:eastAsia="Arial" w:hAnsi="Arial"/>
                <w:sz w:val="16"/>
                <w:szCs w:val="16"/>
                <w:color w:val="auto"/>
              </w:rPr>
              <w:t>2,760,076</w:t>
            </w:r>
          </w:p>
        </w:tc>
      </w:tr>
      <w:tr>
        <w:trPr>
          <w:trHeight w:val="189"/>
        </w:trPr>
        <w:tc>
          <w:tcPr>
            <w:tcW w:w="9400" w:type="dxa"/>
            <w:vAlign w:val="bottom"/>
          </w:tcPr>
          <w:p>
            <w:pPr>
              <w:ind w:left="80"/>
              <w:spacing w:after="0"/>
              <w:rPr>
                <w:sz w:val="20"/>
                <w:szCs w:val="20"/>
                <w:color w:val="auto"/>
              </w:rPr>
            </w:pPr>
            <w:r>
              <w:rPr>
                <w:rFonts w:ascii="Arial" w:cs="Arial" w:eastAsia="Arial" w:hAnsi="Arial"/>
                <w:sz w:val="16"/>
                <w:szCs w:val="16"/>
                <w:color w:val="auto"/>
              </w:rPr>
              <w:t>Darryl Green</w:t>
            </w:r>
          </w:p>
        </w:tc>
        <w:tc>
          <w:tcPr>
            <w:tcW w:w="1300" w:type="dxa"/>
            <w:vAlign w:val="bottom"/>
          </w:tcPr>
          <w:p>
            <w:pPr>
              <w:jc w:val="right"/>
              <w:spacing w:after="0"/>
              <w:rPr>
                <w:sz w:val="20"/>
                <w:szCs w:val="20"/>
                <w:color w:val="auto"/>
              </w:rPr>
            </w:pPr>
            <w:r>
              <w:rPr>
                <w:rFonts w:ascii="Arial" w:cs="Arial" w:eastAsia="Arial" w:hAnsi="Arial"/>
                <w:sz w:val="16"/>
                <w:szCs w:val="16"/>
                <w:color w:val="auto"/>
              </w:rPr>
              <w:t>4,560,058</w:t>
            </w:r>
          </w:p>
        </w:tc>
      </w:tr>
      <w:tr>
        <w:trPr>
          <w:trHeight w:val="189"/>
        </w:trPr>
        <w:tc>
          <w:tcPr>
            <w:tcW w:w="9400" w:type="dxa"/>
            <w:vAlign w:val="bottom"/>
            <w:shd w:val="clear" w:color="auto" w:fill="E6EDF3"/>
          </w:tcPr>
          <w:p>
            <w:pPr>
              <w:ind w:left="80"/>
              <w:spacing w:after="0"/>
              <w:rPr>
                <w:sz w:val="20"/>
                <w:szCs w:val="20"/>
                <w:color w:val="auto"/>
              </w:rPr>
            </w:pPr>
            <w:r>
              <w:rPr>
                <w:rFonts w:ascii="Arial" w:cs="Arial" w:eastAsia="Arial" w:hAnsi="Arial"/>
                <w:sz w:val="16"/>
                <w:szCs w:val="16"/>
                <w:color w:val="auto"/>
              </w:rPr>
              <w:t>Ram Chandrashekar</w:t>
            </w:r>
          </w:p>
        </w:tc>
        <w:tc>
          <w:tcPr>
            <w:tcW w:w="1300" w:type="dxa"/>
            <w:vAlign w:val="bottom"/>
            <w:shd w:val="clear" w:color="auto" w:fill="E6EDF3"/>
          </w:tcPr>
          <w:p>
            <w:pPr>
              <w:jc w:val="right"/>
              <w:spacing w:after="0"/>
              <w:rPr>
                <w:sz w:val="20"/>
                <w:szCs w:val="20"/>
                <w:color w:val="auto"/>
              </w:rPr>
            </w:pPr>
            <w:r>
              <w:rPr>
                <w:rFonts w:ascii="Arial" w:cs="Arial" w:eastAsia="Arial" w:hAnsi="Arial"/>
                <w:sz w:val="16"/>
                <w:szCs w:val="16"/>
                <w:color w:val="auto"/>
              </w:rPr>
              <w:t>2,280,029</w:t>
            </w:r>
          </w:p>
        </w:tc>
      </w:tr>
      <w:tr>
        <w:trPr>
          <w:trHeight w:val="189"/>
        </w:trPr>
        <w:tc>
          <w:tcPr>
            <w:tcW w:w="9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Mara E. Swan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1,620,061</w:t>
            </w:r>
          </w:p>
        </w:tc>
      </w:tr>
    </w:tbl>
    <w:p>
      <w:pPr>
        <w:spacing w:after="0" w:line="108" w:lineRule="exact"/>
        <w:rPr>
          <w:sz w:val="20"/>
          <w:szCs w:val="20"/>
          <w:color w:val="auto"/>
        </w:rPr>
      </w:pPr>
    </w:p>
    <w:p>
      <w:pPr>
        <w:ind w:left="520" w:hanging="316"/>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value of options in this table represents the grant date fair value of the stock options as computed in accordance with FASB ASC Topic 718.</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These amounts are described in further detail in the All Other Compensation in 2017 Table.</w:t>
      </w:r>
    </w:p>
    <w:p>
      <w:pPr>
        <w:spacing w:after="0" w:line="68" w:lineRule="exact"/>
        <w:rPr>
          <w:rFonts w:ascii="Arial" w:cs="Arial" w:eastAsia="Arial" w:hAnsi="Arial"/>
          <w:sz w:val="14"/>
          <w:szCs w:val="14"/>
          <w:color w:val="auto"/>
        </w:rPr>
      </w:pPr>
    </w:p>
    <w:p>
      <w:pPr>
        <w:ind w:left="520" w:right="140" w:hanging="316"/>
        <w:spacing w:after="0" w:line="291" w:lineRule="auto"/>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As previously disclosed, in 2016 as part of his offer package to join the Company, Mr. McGinnis received a grant of 13,321 career shares with a grant date fair value of $1,000,007.</w:t>
      </w:r>
    </w:p>
    <w:p>
      <w:pPr>
        <w:spacing w:after="0" w:line="1" w:lineRule="exact"/>
        <w:rPr>
          <w:rFonts w:ascii="Arial" w:cs="Arial" w:eastAsia="Arial" w:hAnsi="Arial"/>
          <w:sz w:val="14"/>
          <w:szCs w:val="14"/>
          <w:color w:val="auto"/>
        </w:rPr>
      </w:pPr>
    </w:p>
    <w:p>
      <w:pPr>
        <w:ind w:left="520" w:right="40" w:hanging="316"/>
        <w:spacing w:after="0" w:line="254" w:lineRule="auto"/>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Chandrashekar’s annual salary is 795,736 Singapore Dollars (“SGD”). Mr. Chandrashekar’s salary and incentive payment are paid in SGD. His salary and incentive payment have been translated at an exchange rate of 0.789017 (in U.S. Dollars), which was the exchange rate on February 11, 2014, the date Mr. Chandrashekar was promoted to Executive Vice President, Operational Excellence &amp; IT and President, Asia Pacific Middle East. The amounts included in the all other compensation column have been translated at an exchange rate of 0.7486 (in U.S. Dollars), the rate in effect on December 31, 2017. Based on the exchange rate of 0.7486 (in U.S. Dollars), as of December 31, 2017, Mr. Chandrashekar’s salary was $595,688 and incentive compensation was $620,468.</w:t>
      </w:r>
    </w:p>
    <w:p>
      <w:pPr>
        <w:spacing w:after="0" w:line="86"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53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All Other Compensation in 2017</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3020" w:type="dxa"/>
            <w:vAlign w:val="bottom"/>
            <w:tcBorders>
              <w:top w:val="single" w:sz="8" w:color="auto"/>
            </w:tcBorders>
            <w:shd w:val="clear" w:color="auto" w:fill="9DB8D2"/>
          </w:tcPr>
          <w:p>
            <w:pPr>
              <w:spacing w:after="0"/>
              <w:rPr>
                <w:sz w:val="22"/>
                <w:szCs w:val="22"/>
                <w:color w:val="auto"/>
              </w:rPr>
            </w:pPr>
          </w:p>
        </w:tc>
        <w:tc>
          <w:tcPr>
            <w:tcW w:w="1800" w:type="dxa"/>
            <w:vAlign w:val="bottom"/>
            <w:tcBorders>
              <w:top w:val="single" w:sz="8" w:color="auto"/>
            </w:tcBorders>
            <w:shd w:val="clear" w:color="auto" w:fill="9DB8D2"/>
          </w:tcPr>
          <w:p>
            <w:pPr>
              <w:spacing w:after="0"/>
              <w:rPr>
                <w:sz w:val="22"/>
                <w:szCs w:val="22"/>
                <w:color w:val="auto"/>
              </w:rPr>
            </w:pPr>
          </w:p>
        </w:tc>
        <w:tc>
          <w:tcPr>
            <w:tcW w:w="1920" w:type="dxa"/>
            <w:vAlign w:val="bottom"/>
            <w:tcBorders>
              <w:top w:val="single" w:sz="8" w:color="auto"/>
            </w:tcBorders>
            <w:shd w:val="clear" w:color="auto" w:fill="9DB8D2"/>
          </w:tcPr>
          <w:p>
            <w:pPr>
              <w:spacing w:after="0"/>
              <w:rPr>
                <w:sz w:val="22"/>
                <w:szCs w:val="22"/>
                <w:color w:val="auto"/>
              </w:rPr>
            </w:pPr>
          </w:p>
        </w:tc>
        <w:tc>
          <w:tcPr>
            <w:tcW w:w="140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Payments/</w:t>
            </w:r>
          </w:p>
        </w:tc>
        <w:tc>
          <w:tcPr>
            <w:tcW w:w="148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Company</w:t>
            </w:r>
          </w:p>
        </w:tc>
        <w:tc>
          <w:tcPr>
            <w:tcW w:w="1400" w:type="dxa"/>
            <w:vAlign w:val="bottom"/>
            <w:tcBorders>
              <w:top w:val="single" w:sz="8" w:color="auto"/>
            </w:tcBorders>
            <w:shd w:val="clear" w:color="auto" w:fill="9DB8D2"/>
          </w:tcPr>
          <w:p>
            <w:pPr>
              <w:spacing w:after="0"/>
              <w:rPr>
                <w:sz w:val="22"/>
                <w:szCs w:val="22"/>
                <w:color w:val="auto"/>
              </w:rPr>
            </w:pPr>
          </w:p>
        </w:tc>
      </w:tr>
      <w:tr>
        <w:trPr>
          <w:trHeight w:val="162"/>
        </w:trPr>
        <w:tc>
          <w:tcPr>
            <w:tcW w:w="3020" w:type="dxa"/>
            <w:vAlign w:val="bottom"/>
            <w:shd w:val="clear" w:color="auto" w:fill="9DB8D2"/>
          </w:tcPr>
          <w:p>
            <w:pPr>
              <w:spacing w:after="0"/>
              <w:rPr>
                <w:sz w:val="14"/>
                <w:szCs w:val="14"/>
                <w:color w:val="auto"/>
              </w:rPr>
            </w:pPr>
          </w:p>
        </w:tc>
        <w:tc>
          <w:tcPr>
            <w:tcW w:w="18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Perquisites</w:t>
            </w:r>
          </w:p>
        </w:tc>
        <w:tc>
          <w:tcPr>
            <w:tcW w:w="1920" w:type="dxa"/>
            <w:vAlign w:val="bottom"/>
            <w:shd w:val="clear" w:color="auto" w:fill="9DB8D2"/>
          </w:tcPr>
          <w:p>
            <w:pPr>
              <w:spacing w:after="0"/>
              <w:rPr>
                <w:sz w:val="14"/>
                <w:szCs w:val="14"/>
                <w:color w:val="auto"/>
              </w:rPr>
            </w:pPr>
          </w:p>
        </w:tc>
        <w:tc>
          <w:tcPr>
            <w:tcW w:w="14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Accruals</w:t>
            </w: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Contributions</w:t>
            </w:r>
          </w:p>
        </w:tc>
        <w:tc>
          <w:tcPr>
            <w:tcW w:w="1400" w:type="dxa"/>
            <w:vAlign w:val="bottom"/>
            <w:shd w:val="clear" w:color="auto" w:fill="9DB8D2"/>
          </w:tcPr>
          <w:p>
            <w:pPr>
              <w:spacing w:after="0"/>
              <w:rPr>
                <w:sz w:val="14"/>
                <w:szCs w:val="14"/>
                <w:color w:val="auto"/>
              </w:rPr>
            </w:pPr>
          </w:p>
        </w:tc>
      </w:tr>
      <w:tr>
        <w:trPr>
          <w:trHeight w:val="162"/>
        </w:trPr>
        <w:tc>
          <w:tcPr>
            <w:tcW w:w="3020" w:type="dxa"/>
            <w:vAlign w:val="bottom"/>
            <w:shd w:val="clear" w:color="auto" w:fill="9DB8D2"/>
          </w:tcPr>
          <w:p>
            <w:pPr>
              <w:spacing w:after="0"/>
              <w:rPr>
                <w:sz w:val="14"/>
                <w:szCs w:val="14"/>
                <w:color w:val="auto"/>
              </w:rPr>
            </w:pPr>
          </w:p>
        </w:tc>
        <w:tc>
          <w:tcPr>
            <w:tcW w:w="18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&amp; Other</w:t>
            </w:r>
          </w:p>
        </w:tc>
        <w:tc>
          <w:tcPr>
            <w:tcW w:w="1920" w:type="dxa"/>
            <w:vAlign w:val="bottom"/>
            <w:shd w:val="clear" w:color="auto" w:fill="9DB8D2"/>
          </w:tcPr>
          <w:p>
            <w:pPr>
              <w:spacing w:after="0"/>
              <w:rPr>
                <w:sz w:val="14"/>
                <w:szCs w:val="14"/>
                <w:color w:val="auto"/>
              </w:rPr>
            </w:pPr>
          </w:p>
        </w:tc>
        <w:tc>
          <w:tcPr>
            <w:tcW w:w="14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on</w:t>
            </w: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to Defined</w:t>
            </w:r>
          </w:p>
        </w:tc>
        <w:tc>
          <w:tcPr>
            <w:tcW w:w="1400" w:type="dxa"/>
            <w:vAlign w:val="bottom"/>
            <w:shd w:val="clear" w:color="auto" w:fill="9DB8D2"/>
          </w:tcPr>
          <w:p>
            <w:pPr>
              <w:spacing w:after="0"/>
              <w:rPr>
                <w:sz w:val="14"/>
                <w:szCs w:val="14"/>
                <w:color w:val="auto"/>
              </w:rPr>
            </w:pPr>
          </w:p>
        </w:tc>
      </w:tr>
      <w:tr>
        <w:trPr>
          <w:trHeight w:val="162"/>
        </w:trPr>
        <w:tc>
          <w:tcPr>
            <w:tcW w:w="3020" w:type="dxa"/>
            <w:vAlign w:val="bottom"/>
            <w:shd w:val="clear" w:color="auto" w:fill="9DB8D2"/>
          </w:tcPr>
          <w:p>
            <w:pPr>
              <w:spacing w:after="0"/>
              <w:rPr>
                <w:sz w:val="14"/>
                <w:szCs w:val="14"/>
                <w:color w:val="auto"/>
              </w:rPr>
            </w:pPr>
          </w:p>
        </w:tc>
        <w:tc>
          <w:tcPr>
            <w:tcW w:w="18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Personal</w:t>
            </w:r>
          </w:p>
        </w:tc>
        <w:tc>
          <w:tcPr>
            <w:tcW w:w="1920" w:type="dxa"/>
            <w:vAlign w:val="bottom"/>
            <w:shd w:val="clear" w:color="auto" w:fill="9DB8D2"/>
          </w:tcPr>
          <w:p>
            <w:pPr>
              <w:jc w:val="center"/>
              <w:ind w:right="122"/>
              <w:spacing w:after="0"/>
              <w:rPr>
                <w:sz w:val="20"/>
                <w:szCs w:val="20"/>
                <w:color w:val="auto"/>
              </w:rPr>
            </w:pPr>
            <w:r>
              <w:rPr>
                <w:rFonts w:ascii="Arial" w:cs="Arial" w:eastAsia="Arial" w:hAnsi="Arial"/>
                <w:sz w:val="14"/>
                <w:szCs w:val="14"/>
                <w:b w:val="1"/>
                <w:bCs w:val="1"/>
                <w:color w:val="auto"/>
                <w:w w:val="99"/>
              </w:rPr>
              <w:t>Tax</w:t>
            </w:r>
          </w:p>
        </w:tc>
        <w:tc>
          <w:tcPr>
            <w:tcW w:w="1400" w:type="dxa"/>
            <w:vAlign w:val="bottom"/>
            <w:shd w:val="clear" w:color="auto" w:fill="9DB8D2"/>
          </w:tcPr>
          <w:p>
            <w:pPr>
              <w:jc w:val="right"/>
              <w:ind w:right="224"/>
              <w:spacing w:after="0"/>
              <w:rPr>
                <w:sz w:val="20"/>
                <w:szCs w:val="20"/>
                <w:color w:val="auto"/>
              </w:rPr>
            </w:pPr>
            <w:r>
              <w:rPr>
                <w:rFonts w:ascii="Arial" w:cs="Arial" w:eastAsia="Arial" w:hAnsi="Arial"/>
                <w:sz w:val="14"/>
                <w:szCs w:val="14"/>
                <w:b w:val="1"/>
                <w:bCs w:val="1"/>
                <w:color w:val="auto"/>
              </w:rPr>
              <w:t>Termination</w:t>
            </w: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Contribution</w:t>
            </w:r>
          </w:p>
        </w:tc>
        <w:tc>
          <w:tcPr>
            <w:tcW w:w="14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Total Other</w:t>
            </w:r>
          </w:p>
        </w:tc>
      </w:tr>
      <w:tr>
        <w:trPr>
          <w:trHeight w:val="162"/>
        </w:trPr>
        <w:tc>
          <w:tcPr>
            <w:tcW w:w="3020" w:type="dxa"/>
            <w:vAlign w:val="bottom"/>
            <w:shd w:val="clear" w:color="auto" w:fill="9DB8D2"/>
          </w:tcPr>
          <w:p>
            <w:pPr>
              <w:spacing w:after="0"/>
              <w:rPr>
                <w:sz w:val="14"/>
                <w:szCs w:val="14"/>
                <w:color w:val="auto"/>
              </w:rPr>
            </w:pPr>
          </w:p>
        </w:tc>
        <w:tc>
          <w:tcPr>
            <w:tcW w:w="18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Benefits</w:t>
            </w:r>
          </w:p>
        </w:tc>
        <w:tc>
          <w:tcPr>
            <w:tcW w:w="1920" w:type="dxa"/>
            <w:vAlign w:val="bottom"/>
            <w:shd w:val="clear" w:color="auto" w:fill="9DB8D2"/>
          </w:tcPr>
          <w:p>
            <w:pPr>
              <w:jc w:val="center"/>
              <w:ind w:right="122"/>
              <w:spacing w:after="0"/>
              <w:rPr>
                <w:sz w:val="20"/>
                <w:szCs w:val="20"/>
                <w:color w:val="auto"/>
              </w:rPr>
            </w:pPr>
            <w:r>
              <w:rPr>
                <w:rFonts w:ascii="Arial" w:cs="Arial" w:eastAsia="Arial" w:hAnsi="Arial"/>
                <w:sz w:val="14"/>
                <w:szCs w:val="14"/>
                <w:b w:val="1"/>
                <w:bCs w:val="1"/>
                <w:color w:val="auto"/>
              </w:rPr>
              <w:t>Reimbursements</w:t>
            </w:r>
          </w:p>
        </w:tc>
        <w:tc>
          <w:tcPr>
            <w:tcW w:w="14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Plans</w:t>
            </w: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Plans</w:t>
            </w:r>
          </w:p>
        </w:tc>
        <w:tc>
          <w:tcPr>
            <w:tcW w:w="14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w:t>
            </w:r>
          </w:p>
        </w:tc>
      </w:tr>
      <w:tr>
        <w:trPr>
          <w:trHeight w:val="191"/>
        </w:trPr>
        <w:tc>
          <w:tcPr>
            <w:tcW w:w="302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 &amp; Principal Position</w:t>
            </w:r>
          </w:p>
        </w:tc>
        <w:tc>
          <w:tcPr>
            <w:tcW w:w="18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($)(1)</w:t>
            </w:r>
          </w:p>
        </w:tc>
        <w:tc>
          <w:tcPr>
            <w:tcW w:w="1920" w:type="dxa"/>
            <w:vAlign w:val="bottom"/>
            <w:tcBorders>
              <w:bottom w:val="single" w:sz="8" w:color="auto"/>
            </w:tcBorders>
            <w:shd w:val="clear" w:color="auto" w:fill="9DB8D2"/>
          </w:tcPr>
          <w:p>
            <w:pPr>
              <w:jc w:val="center"/>
              <w:ind w:right="122"/>
              <w:spacing w:after="0"/>
              <w:rPr>
                <w:sz w:val="20"/>
                <w:szCs w:val="20"/>
                <w:color w:val="auto"/>
              </w:rPr>
            </w:pPr>
            <w:r>
              <w:rPr>
                <w:rFonts w:ascii="Arial" w:cs="Arial" w:eastAsia="Arial" w:hAnsi="Arial"/>
                <w:sz w:val="14"/>
                <w:szCs w:val="14"/>
                <w:b w:val="1"/>
                <w:bCs w:val="1"/>
                <w:color w:val="auto"/>
              </w:rPr>
              <w:t>($)(2)</w:t>
            </w:r>
          </w:p>
        </w:tc>
        <w:tc>
          <w:tcPr>
            <w:tcW w:w="14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($)(3)</w:t>
            </w:r>
          </w:p>
        </w:tc>
        <w:tc>
          <w:tcPr>
            <w:tcW w:w="14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r>
      <w:tr>
        <w:trPr>
          <w:trHeight w:val="166"/>
        </w:trPr>
        <w:tc>
          <w:tcPr>
            <w:tcW w:w="3020" w:type="dxa"/>
            <w:vAlign w:val="bottom"/>
            <w:shd w:val="clear" w:color="auto" w:fill="E6EDF3"/>
          </w:tcPr>
          <w:p>
            <w:pPr>
              <w:ind w:left="60"/>
              <w:spacing w:after="0" w:line="167" w:lineRule="exact"/>
              <w:rPr>
                <w:sz w:val="20"/>
                <w:szCs w:val="20"/>
                <w:color w:val="auto"/>
              </w:rPr>
            </w:pPr>
            <w:r>
              <w:rPr>
                <w:rFonts w:ascii="Arial" w:cs="Arial" w:eastAsia="Arial" w:hAnsi="Arial"/>
                <w:sz w:val="16"/>
                <w:szCs w:val="16"/>
                <w:color w:val="auto"/>
              </w:rPr>
              <w:t>Jonas Prising</w:t>
            </w:r>
          </w:p>
        </w:tc>
        <w:tc>
          <w:tcPr>
            <w:tcW w:w="1800" w:type="dxa"/>
            <w:vAlign w:val="bottom"/>
            <w:shd w:val="clear" w:color="auto" w:fill="E6EDF3"/>
          </w:tcPr>
          <w:p>
            <w:pPr>
              <w:ind w:left="820"/>
              <w:spacing w:after="0" w:line="167" w:lineRule="exact"/>
              <w:rPr>
                <w:sz w:val="20"/>
                <w:szCs w:val="20"/>
                <w:color w:val="auto"/>
              </w:rPr>
            </w:pPr>
            <w:r>
              <w:rPr>
                <w:rFonts w:ascii="Arial" w:cs="Arial" w:eastAsia="Arial" w:hAnsi="Arial"/>
                <w:sz w:val="16"/>
                <w:szCs w:val="16"/>
                <w:color w:val="auto"/>
              </w:rPr>
              <w:t>14,697</w:t>
            </w:r>
          </w:p>
        </w:tc>
        <w:tc>
          <w:tcPr>
            <w:tcW w:w="1920" w:type="dxa"/>
            <w:vAlign w:val="bottom"/>
            <w:shd w:val="clear" w:color="auto" w:fill="E6EDF3"/>
          </w:tcPr>
          <w:p>
            <w:pPr>
              <w:jc w:val="right"/>
              <w:ind w:right="402"/>
              <w:spacing w:after="0" w:line="167" w:lineRule="exact"/>
              <w:rPr>
                <w:sz w:val="20"/>
                <w:szCs w:val="20"/>
                <w:color w:val="auto"/>
              </w:rPr>
            </w:pPr>
            <w:r>
              <w:rPr>
                <w:rFonts w:ascii="Arial" w:cs="Arial" w:eastAsia="Arial" w:hAnsi="Arial"/>
                <w:sz w:val="16"/>
                <w:szCs w:val="16"/>
                <w:color w:val="auto"/>
              </w:rPr>
              <w:t>—</w:t>
            </w:r>
          </w:p>
        </w:tc>
        <w:tc>
          <w:tcPr>
            <w:tcW w:w="1400" w:type="dxa"/>
            <w:vAlign w:val="bottom"/>
            <w:shd w:val="clear" w:color="auto" w:fill="E6EDF3"/>
          </w:tcPr>
          <w:p>
            <w:pPr>
              <w:jc w:val="right"/>
              <w:ind w:right="224"/>
              <w:spacing w:after="0" w:line="167" w:lineRule="exact"/>
              <w:rPr>
                <w:sz w:val="20"/>
                <w:szCs w:val="20"/>
                <w:color w:val="auto"/>
              </w:rPr>
            </w:pPr>
            <w:r>
              <w:rPr>
                <w:rFonts w:ascii="Arial" w:cs="Arial" w:eastAsia="Arial" w:hAnsi="Arial"/>
                <w:sz w:val="16"/>
                <w:szCs w:val="16"/>
                <w:color w:val="auto"/>
              </w:rPr>
              <w:t>—</w:t>
            </w:r>
          </w:p>
        </w:tc>
        <w:tc>
          <w:tcPr>
            <w:tcW w:w="1480" w:type="dxa"/>
            <w:vAlign w:val="bottom"/>
            <w:shd w:val="clear" w:color="auto" w:fill="E6EDF3"/>
          </w:tcPr>
          <w:p>
            <w:pPr>
              <w:jc w:val="right"/>
              <w:ind w:right="164"/>
              <w:spacing w:after="0" w:line="167" w:lineRule="exact"/>
              <w:rPr>
                <w:sz w:val="20"/>
                <w:szCs w:val="20"/>
                <w:color w:val="auto"/>
              </w:rPr>
            </w:pPr>
            <w:r>
              <w:rPr>
                <w:rFonts w:ascii="Arial" w:cs="Arial" w:eastAsia="Arial" w:hAnsi="Arial"/>
                <w:sz w:val="16"/>
                <w:szCs w:val="16"/>
                <w:color w:val="auto"/>
              </w:rPr>
              <w:t>32,500</w:t>
            </w:r>
          </w:p>
        </w:tc>
        <w:tc>
          <w:tcPr>
            <w:tcW w:w="1400" w:type="dxa"/>
            <w:vAlign w:val="bottom"/>
            <w:shd w:val="clear" w:color="auto" w:fill="E6EDF3"/>
          </w:tcPr>
          <w:p>
            <w:pPr>
              <w:jc w:val="right"/>
              <w:ind w:right="82"/>
              <w:spacing w:after="0" w:line="167" w:lineRule="exact"/>
              <w:rPr>
                <w:sz w:val="20"/>
                <w:szCs w:val="20"/>
                <w:color w:val="auto"/>
              </w:rPr>
            </w:pPr>
            <w:r>
              <w:rPr>
                <w:rFonts w:ascii="Arial" w:cs="Arial" w:eastAsia="Arial" w:hAnsi="Arial"/>
                <w:sz w:val="16"/>
                <w:szCs w:val="16"/>
                <w:color w:val="auto"/>
              </w:rPr>
              <w:t>47,197</w:t>
            </w:r>
          </w:p>
        </w:tc>
      </w:tr>
      <w:tr>
        <w:trPr>
          <w:trHeight w:val="219"/>
        </w:trPr>
        <w:tc>
          <w:tcPr>
            <w:tcW w:w="3020" w:type="dxa"/>
            <w:vAlign w:val="bottom"/>
            <w:shd w:val="clear" w:color="auto" w:fill="E6EDF3"/>
          </w:tcPr>
          <w:p>
            <w:pPr>
              <w:ind w:left="180"/>
              <w:spacing w:after="0"/>
              <w:rPr>
                <w:sz w:val="20"/>
                <w:szCs w:val="20"/>
                <w:color w:val="auto"/>
              </w:rPr>
            </w:pPr>
            <w:r>
              <w:rPr>
                <w:rFonts w:ascii="Arial" w:cs="Arial" w:eastAsia="Arial" w:hAnsi="Arial"/>
                <w:sz w:val="16"/>
                <w:szCs w:val="16"/>
                <w:i w:val="1"/>
                <w:iCs w:val="1"/>
                <w:color w:val="auto"/>
              </w:rPr>
              <w:t>CEO</w:t>
            </w:r>
          </w:p>
        </w:tc>
        <w:tc>
          <w:tcPr>
            <w:tcW w:w="1800" w:type="dxa"/>
            <w:vAlign w:val="bottom"/>
            <w:shd w:val="clear" w:color="auto" w:fill="E6EDF3"/>
          </w:tcPr>
          <w:p>
            <w:pPr>
              <w:spacing w:after="0"/>
              <w:rPr>
                <w:sz w:val="19"/>
                <w:szCs w:val="19"/>
                <w:color w:val="auto"/>
              </w:rPr>
            </w:pPr>
          </w:p>
        </w:tc>
        <w:tc>
          <w:tcPr>
            <w:tcW w:w="1920" w:type="dxa"/>
            <w:vAlign w:val="bottom"/>
            <w:shd w:val="clear" w:color="auto" w:fill="E6EDF3"/>
          </w:tcPr>
          <w:p>
            <w:pPr>
              <w:spacing w:after="0"/>
              <w:rPr>
                <w:sz w:val="19"/>
                <w:szCs w:val="19"/>
                <w:color w:val="auto"/>
              </w:rPr>
            </w:pPr>
          </w:p>
        </w:tc>
        <w:tc>
          <w:tcPr>
            <w:tcW w:w="1400" w:type="dxa"/>
            <w:vAlign w:val="bottom"/>
            <w:shd w:val="clear" w:color="auto" w:fill="E6EDF3"/>
          </w:tcPr>
          <w:p>
            <w:pPr>
              <w:spacing w:after="0"/>
              <w:rPr>
                <w:sz w:val="19"/>
                <w:szCs w:val="19"/>
                <w:color w:val="auto"/>
              </w:rPr>
            </w:pPr>
          </w:p>
        </w:tc>
        <w:tc>
          <w:tcPr>
            <w:tcW w:w="1480" w:type="dxa"/>
            <w:vAlign w:val="bottom"/>
            <w:shd w:val="clear" w:color="auto" w:fill="E6EDF3"/>
          </w:tcPr>
          <w:p>
            <w:pPr>
              <w:spacing w:after="0"/>
              <w:rPr>
                <w:sz w:val="19"/>
                <w:szCs w:val="19"/>
                <w:color w:val="auto"/>
              </w:rPr>
            </w:pPr>
          </w:p>
        </w:tc>
        <w:tc>
          <w:tcPr>
            <w:tcW w:w="1400" w:type="dxa"/>
            <w:vAlign w:val="bottom"/>
            <w:shd w:val="clear" w:color="auto" w:fill="E6EDF3"/>
          </w:tcPr>
          <w:p>
            <w:pPr>
              <w:spacing w:after="0"/>
              <w:rPr>
                <w:sz w:val="19"/>
                <w:szCs w:val="19"/>
                <w:color w:val="auto"/>
              </w:rPr>
            </w:pPr>
          </w:p>
        </w:tc>
      </w:tr>
      <w:tr>
        <w:trPr>
          <w:trHeight w:val="173"/>
        </w:trPr>
        <w:tc>
          <w:tcPr>
            <w:tcW w:w="3020" w:type="dxa"/>
            <w:vAlign w:val="bottom"/>
          </w:tcPr>
          <w:p>
            <w:pPr>
              <w:ind w:left="60"/>
              <w:spacing w:after="0" w:line="173" w:lineRule="exact"/>
              <w:rPr>
                <w:sz w:val="20"/>
                <w:szCs w:val="20"/>
                <w:color w:val="auto"/>
              </w:rPr>
            </w:pPr>
            <w:r>
              <w:rPr>
                <w:rFonts w:ascii="Arial" w:cs="Arial" w:eastAsia="Arial" w:hAnsi="Arial"/>
                <w:sz w:val="16"/>
                <w:szCs w:val="16"/>
                <w:color w:val="auto"/>
              </w:rPr>
              <w:t>John T. McGinnis</w:t>
            </w:r>
          </w:p>
        </w:tc>
        <w:tc>
          <w:tcPr>
            <w:tcW w:w="1800" w:type="dxa"/>
            <w:vAlign w:val="bottom"/>
          </w:tcPr>
          <w:p>
            <w:pPr>
              <w:ind w:left="820"/>
              <w:spacing w:after="0" w:line="173" w:lineRule="exact"/>
              <w:rPr>
                <w:sz w:val="20"/>
                <w:szCs w:val="20"/>
                <w:color w:val="auto"/>
              </w:rPr>
            </w:pPr>
            <w:r>
              <w:rPr>
                <w:rFonts w:ascii="Arial" w:cs="Arial" w:eastAsia="Arial" w:hAnsi="Arial"/>
                <w:sz w:val="16"/>
                <w:szCs w:val="16"/>
                <w:color w:val="auto"/>
              </w:rPr>
              <w:t>27,692</w:t>
            </w:r>
          </w:p>
        </w:tc>
        <w:tc>
          <w:tcPr>
            <w:tcW w:w="1920" w:type="dxa"/>
            <w:vAlign w:val="bottom"/>
          </w:tcPr>
          <w:p>
            <w:pPr>
              <w:jc w:val="right"/>
              <w:ind w:right="402"/>
              <w:spacing w:after="0" w:line="17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224"/>
              <w:spacing w:after="0" w:line="173"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164"/>
              <w:spacing w:after="0" w:line="173" w:lineRule="exact"/>
              <w:rPr>
                <w:sz w:val="20"/>
                <w:szCs w:val="20"/>
                <w:color w:val="auto"/>
              </w:rPr>
            </w:pPr>
            <w:r>
              <w:rPr>
                <w:rFonts w:ascii="Arial" w:cs="Arial" w:eastAsia="Arial" w:hAnsi="Arial"/>
                <w:sz w:val="16"/>
                <w:szCs w:val="16"/>
                <w:color w:val="auto"/>
              </w:rPr>
              <w:t>16,106</w:t>
            </w:r>
          </w:p>
        </w:tc>
        <w:tc>
          <w:tcPr>
            <w:tcW w:w="1400" w:type="dxa"/>
            <w:vAlign w:val="bottom"/>
          </w:tcPr>
          <w:p>
            <w:pPr>
              <w:jc w:val="right"/>
              <w:ind w:right="82"/>
              <w:spacing w:after="0" w:line="173" w:lineRule="exact"/>
              <w:rPr>
                <w:sz w:val="20"/>
                <w:szCs w:val="20"/>
                <w:color w:val="auto"/>
              </w:rPr>
            </w:pPr>
            <w:r>
              <w:rPr>
                <w:rFonts w:ascii="Arial" w:cs="Arial" w:eastAsia="Arial" w:hAnsi="Arial"/>
                <w:sz w:val="16"/>
                <w:szCs w:val="16"/>
                <w:color w:val="auto"/>
              </w:rPr>
              <w:t>43,798</w:t>
            </w:r>
          </w:p>
        </w:tc>
      </w:tr>
      <w:tr>
        <w:trPr>
          <w:trHeight w:val="218"/>
        </w:trPr>
        <w:tc>
          <w:tcPr>
            <w:tcW w:w="3020" w:type="dxa"/>
            <w:vAlign w:val="bottom"/>
          </w:tcPr>
          <w:p>
            <w:pPr>
              <w:ind w:left="180"/>
              <w:spacing w:after="0"/>
              <w:rPr>
                <w:sz w:val="20"/>
                <w:szCs w:val="20"/>
                <w:color w:val="auto"/>
              </w:rPr>
            </w:pPr>
            <w:r>
              <w:rPr>
                <w:rFonts w:ascii="Arial" w:cs="Arial" w:eastAsia="Arial" w:hAnsi="Arial"/>
                <w:sz w:val="16"/>
                <w:szCs w:val="16"/>
                <w:i w:val="1"/>
                <w:iCs w:val="1"/>
                <w:color w:val="auto"/>
              </w:rPr>
              <w:t>CFO</w:t>
            </w:r>
          </w:p>
        </w:tc>
        <w:tc>
          <w:tcPr>
            <w:tcW w:w="1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4"/>
        </w:trPr>
        <w:tc>
          <w:tcPr>
            <w:tcW w:w="3020" w:type="dxa"/>
            <w:vAlign w:val="bottom"/>
            <w:shd w:val="clear" w:color="auto" w:fill="E6EDF3"/>
          </w:tcPr>
          <w:p>
            <w:pPr>
              <w:ind w:left="60"/>
              <w:spacing w:after="0" w:line="174" w:lineRule="exact"/>
              <w:rPr>
                <w:sz w:val="20"/>
                <w:szCs w:val="20"/>
                <w:color w:val="auto"/>
              </w:rPr>
            </w:pPr>
            <w:r>
              <w:rPr>
                <w:rFonts w:ascii="Arial" w:cs="Arial" w:eastAsia="Arial" w:hAnsi="Arial"/>
                <w:sz w:val="16"/>
                <w:szCs w:val="16"/>
                <w:color w:val="auto"/>
              </w:rPr>
              <w:t>Darryl Green</w:t>
            </w:r>
          </w:p>
        </w:tc>
        <w:tc>
          <w:tcPr>
            <w:tcW w:w="1800" w:type="dxa"/>
            <w:vAlign w:val="bottom"/>
            <w:shd w:val="clear" w:color="auto" w:fill="E6EDF3"/>
          </w:tcPr>
          <w:p>
            <w:pPr>
              <w:ind w:left="820"/>
              <w:spacing w:after="0" w:line="174" w:lineRule="exact"/>
              <w:rPr>
                <w:sz w:val="20"/>
                <w:szCs w:val="20"/>
                <w:color w:val="auto"/>
              </w:rPr>
            </w:pPr>
            <w:r>
              <w:rPr>
                <w:rFonts w:ascii="Arial" w:cs="Arial" w:eastAsia="Arial" w:hAnsi="Arial"/>
                <w:sz w:val="16"/>
                <w:szCs w:val="16"/>
                <w:color w:val="auto"/>
              </w:rPr>
              <w:t>53,385(4)</w:t>
            </w:r>
          </w:p>
        </w:tc>
        <w:tc>
          <w:tcPr>
            <w:tcW w:w="1920" w:type="dxa"/>
            <w:vAlign w:val="bottom"/>
            <w:shd w:val="clear" w:color="auto" w:fill="E6EDF3"/>
          </w:tcPr>
          <w:p>
            <w:pPr>
              <w:jc w:val="right"/>
              <w:ind w:right="402"/>
              <w:spacing w:after="0" w:line="174" w:lineRule="exact"/>
              <w:rPr>
                <w:sz w:val="20"/>
                <w:szCs w:val="20"/>
                <w:color w:val="auto"/>
              </w:rPr>
            </w:pPr>
            <w:r>
              <w:rPr>
                <w:rFonts w:ascii="Arial" w:cs="Arial" w:eastAsia="Arial" w:hAnsi="Arial"/>
                <w:sz w:val="16"/>
                <w:szCs w:val="16"/>
                <w:color w:val="auto"/>
              </w:rPr>
              <w:t>—</w:t>
            </w:r>
          </w:p>
        </w:tc>
        <w:tc>
          <w:tcPr>
            <w:tcW w:w="1400" w:type="dxa"/>
            <w:vAlign w:val="bottom"/>
            <w:shd w:val="clear" w:color="auto" w:fill="E6EDF3"/>
          </w:tcPr>
          <w:p>
            <w:pPr>
              <w:jc w:val="right"/>
              <w:ind w:right="224"/>
              <w:spacing w:after="0" w:line="174" w:lineRule="exact"/>
              <w:rPr>
                <w:sz w:val="20"/>
                <w:szCs w:val="20"/>
                <w:color w:val="auto"/>
              </w:rPr>
            </w:pPr>
            <w:r>
              <w:rPr>
                <w:rFonts w:ascii="Arial" w:cs="Arial" w:eastAsia="Arial" w:hAnsi="Arial"/>
                <w:sz w:val="16"/>
                <w:szCs w:val="16"/>
                <w:color w:val="auto"/>
              </w:rPr>
              <w:t>—</w:t>
            </w:r>
          </w:p>
        </w:tc>
        <w:tc>
          <w:tcPr>
            <w:tcW w:w="1480" w:type="dxa"/>
            <w:vAlign w:val="bottom"/>
            <w:shd w:val="clear" w:color="auto" w:fill="E6EDF3"/>
          </w:tcPr>
          <w:p>
            <w:pPr>
              <w:jc w:val="right"/>
              <w:ind w:right="164"/>
              <w:spacing w:after="0" w:line="174" w:lineRule="exact"/>
              <w:rPr>
                <w:sz w:val="20"/>
                <w:szCs w:val="20"/>
                <w:color w:val="auto"/>
              </w:rPr>
            </w:pPr>
            <w:r>
              <w:rPr>
                <w:rFonts w:ascii="Arial" w:cs="Arial" w:eastAsia="Arial" w:hAnsi="Arial"/>
                <w:sz w:val="16"/>
                <w:szCs w:val="16"/>
                <w:color w:val="auto"/>
              </w:rPr>
              <w:t>—</w:t>
            </w:r>
          </w:p>
        </w:tc>
        <w:tc>
          <w:tcPr>
            <w:tcW w:w="1400" w:type="dxa"/>
            <w:vAlign w:val="bottom"/>
            <w:shd w:val="clear" w:color="auto" w:fill="E6EDF3"/>
          </w:tcPr>
          <w:p>
            <w:pPr>
              <w:jc w:val="right"/>
              <w:ind w:right="82"/>
              <w:spacing w:after="0" w:line="174" w:lineRule="exact"/>
              <w:rPr>
                <w:sz w:val="20"/>
                <w:szCs w:val="20"/>
                <w:color w:val="auto"/>
              </w:rPr>
            </w:pPr>
            <w:r>
              <w:rPr>
                <w:rFonts w:ascii="Arial" w:cs="Arial" w:eastAsia="Arial" w:hAnsi="Arial"/>
                <w:sz w:val="16"/>
                <w:szCs w:val="16"/>
                <w:color w:val="auto"/>
              </w:rPr>
              <w:t>53,385</w:t>
            </w:r>
          </w:p>
        </w:tc>
      </w:tr>
      <w:tr>
        <w:trPr>
          <w:trHeight w:val="219"/>
        </w:trPr>
        <w:tc>
          <w:tcPr>
            <w:tcW w:w="3020" w:type="dxa"/>
            <w:vAlign w:val="bottom"/>
            <w:shd w:val="clear" w:color="auto" w:fill="E6EDF3"/>
          </w:tcPr>
          <w:p>
            <w:pPr>
              <w:ind w:left="180"/>
              <w:spacing w:after="0"/>
              <w:rPr>
                <w:sz w:val="20"/>
                <w:szCs w:val="20"/>
                <w:color w:val="auto"/>
              </w:rPr>
            </w:pPr>
            <w:r>
              <w:rPr>
                <w:rFonts w:ascii="Arial" w:cs="Arial" w:eastAsia="Arial" w:hAnsi="Arial"/>
                <w:sz w:val="16"/>
                <w:szCs w:val="16"/>
                <w:i w:val="1"/>
                <w:iCs w:val="1"/>
                <w:color w:val="auto"/>
              </w:rPr>
              <w:t>President &amp; COO</w:t>
            </w:r>
          </w:p>
        </w:tc>
        <w:tc>
          <w:tcPr>
            <w:tcW w:w="1800" w:type="dxa"/>
            <w:vAlign w:val="bottom"/>
            <w:shd w:val="clear" w:color="auto" w:fill="E6EDF3"/>
          </w:tcPr>
          <w:p>
            <w:pPr>
              <w:spacing w:after="0"/>
              <w:rPr>
                <w:sz w:val="19"/>
                <w:szCs w:val="19"/>
                <w:color w:val="auto"/>
              </w:rPr>
            </w:pPr>
          </w:p>
        </w:tc>
        <w:tc>
          <w:tcPr>
            <w:tcW w:w="1920" w:type="dxa"/>
            <w:vAlign w:val="bottom"/>
            <w:shd w:val="clear" w:color="auto" w:fill="E6EDF3"/>
          </w:tcPr>
          <w:p>
            <w:pPr>
              <w:spacing w:after="0"/>
              <w:rPr>
                <w:sz w:val="19"/>
                <w:szCs w:val="19"/>
                <w:color w:val="auto"/>
              </w:rPr>
            </w:pPr>
          </w:p>
        </w:tc>
        <w:tc>
          <w:tcPr>
            <w:tcW w:w="1400" w:type="dxa"/>
            <w:vAlign w:val="bottom"/>
            <w:shd w:val="clear" w:color="auto" w:fill="E6EDF3"/>
          </w:tcPr>
          <w:p>
            <w:pPr>
              <w:spacing w:after="0"/>
              <w:rPr>
                <w:sz w:val="19"/>
                <w:szCs w:val="19"/>
                <w:color w:val="auto"/>
              </w:rPr>
            </w:pPr>
          </w:p>
        </w:tc>
        <w:tc>
          <w:tcPr>
            <w:tcW w:w="1480" w:type="dxa"/>
            <w:vAlign w:val="bottom"/>
            <w:shd w:val="clear" w:color="auto" w:fill="E6EDF3"/>
          </w:tcPr>
          <w:p>
            <w:pPr>
              <w:spacing w:after="0"/>
              <w:rPr>
                <w:sz w:val="19"/>
                <w:szCs w:val="19"/>
                <w:color w:val="auto"/>
              </w:rPr>
            </w:pPr>
          </w:p>
        </w:tc>
        <w:tc>
          <w:tcPr>
            <w:tcW w:w="1400" w:type="dxa"/>
            <w:vAlign w:val="bottom"/>
            <w:shd w:val="clear" w:color="auto" w:fill="E6EDF3"/>
          </w:tcPr>
          <w:p>
            <w:pPr>
              <w:spacing w:after="0"/>
              <w:rPr>
                <w:sz w:val="19"/>
                <w:szCs w:val="19"/>
                <w:color w:val="auto"/>
              </w:rPr>
            </w:pPr>
          </w:p>
        </w:tc>
      </w:tr>
      <w:tr>
        <w:trPr>
          <w:trHeight w:val="173"/>
        </w:trPr>
        <w:tc>
          <w:tcPr>
            <w:tcW w:w="3020" w:type="dxa"/>
            <w:vAlign w:val="bottom"/>
          </w:tcPr>
          <w:p>
            <w:pPr>
              <w:ind w:left="60"/>
              <w:spacing w:after="0" w:line="173" w:lineRule="exact"/>
              <w:rPr>
                <w:sz w:val="20"/>
                <w:szCs w:val="20"/>
                <w:color w:val="auto"/>
              </w:rPr>
            </w:pPr>
            <w:r>
              <w:rPr>
                <w:rFonts w:ascii="Arial" w:cs="Arial" w:eastAsia="Arial" w:hAnsi="Arial"/>
                <w:sz w:val="16"/>
                <w:szCs w:val="16"/>
                <w:color w:val="auto"/>
              </w:rPr>
              <w:t>Ram Chandrashekar</w:t>
            </w:r>
          </w:p>
        </w:tc>
        <w:tc>
          <w:tcPr>
            <w:tcW w:w="1800" w:type="dxa"/>
            <w:vAlign w:val="bottom"/>
          </w:tcPr>
          <w:p>
            <w:pPr>
              <w:ind w:left="820"/>
              <w:spacing w:after="0" w:line="173" w:lineRule="exact"/>
              <w:rPr>
                <w:sz w:val="20"/>
                <w:szCs w:val="20"/>
                <w:color w:val="auto"/>
              </w:rPr>
            </w:pPr>
            <w:r>
              <w:rPr>
                <w:rFonts w:ascii="Arial" w:cs="Arial" w:eastAsia="Arial" w:hAnsi="Arial"/>
                <w:sz w:val="16"/>
                <w:szCs w:val="16"/>
                <w:color w:val="auto"/>
              </w:rPr>
              <w:t>80,318(5)</w:t>
            </w:r>
          </w:p>
        </w:tc>
        <w:tc>
          <w:tcPr>
            <w:tcW w:w="1920" w:type="dxa"/>
            <w:vAlign w:val="bottom"/>
          </w:tcPr>
          <w:p>
            <w:pPr>
              <w:jc w:val="right"/>
              <w:ind w:right="202"/>
              <w:spacing w:after="0" w:line="173" w:lineRule="exact"/>
              <w:rPr>
                <w:sz w:val="20"/>
                <w:szCs w:val="20"/>
                <w:color w:val="auto"/>
              </w:rPr>
            </w:pPr>
            <w:r>
              <w:rPr>
                <w:rFonts w:ascii="Arial" w:cs="Arial" w:eastAsia="Arial" w:hAnsi="Arial"/>
                <w:sz w:val="16"/>
                <w:szCs w:val="16"/>
                <w:color w:val="auto"/>
              </w:rPr>
              <w:t>81,970(6)</w:t>
            </w:r>
          </w:p>
        </w:tc>
        <w:tc>
          <w:tcPr>
            <w:tcW w:w="1400" w:type="dxa"/>
            <w:vAlign w:val="bottom"/>
          </w:tcPr>
          <w:p>
            <w:pPr>
              <w:jc w:val="right"/>
              <w:ind w:right="224"/>
              <w:spacing w:after="0" w:line="173"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164"/>
              <w:spacing w:after="0" w:line="173" w:lineRule="exact"/>
              <w:rPr>
                <w:sz w:val="20"/>
                <w:szCs w:val="20"/>
                <w:color w:val="auto"/>
              </w:rPr>
            </w:pPr>
            <w:r>
              <w:rPr>
                <w:rFonts w:ascii="Arial" w:cs="Arial" w:eastAsia="Arial" w:hAnsi="Arial"/>
                <w:sz w:val="16"/>
                <w:szCs w:val="16"/>
                <w:color w:val="auto"/>
              </w:rPr>
              <w:t>12,981</w:t>
            </w:r>
          </w:p>
        </w:tc>
        <w:tc>
          <w:tcPr>
            <w:tcW w:w="1400" w:type="dxa"/>
            <w:vAlign w:val="bottom"/>
          </w:tcPr>
          <w:p>
            <w:pPr>
              <w:jc w:val="right"/>
              <w:ind w:right="82"/>
              <w:spacing w:after="0" w:line="173" w:lineRule="exact"/>
              <w:rPr>
                <w:sz w:val="20"/>
                <w:szCs w:val="20"/>
                <w:color w:val="auto"/>
              </w:rPr>
            </w:pPr>
            <w:r>
              <w:rPr>
                <w:rFonts w:ascii="Arial" w:cs="Arial" w:eastAsia="Arial" w:hAnsi="Arial"/>
                <w:sz w:val="16"/>
                <w:szCs w:val="16"/>
                <w:color w:val="auto"/>
              </w:rPr>
              <w:t>175,269</w:t>
            </w:r>
          </w:p>
        </w:tc>
      </w:tr>
      <w:tr>
        <w:trPr>
          <w:trHeight w:val="189"/>
        </w:trPr>
        <w:tc>
          <w:tcPr>
            <w:tcW w:w="3020" w:type="dxa"/>
            <w:vAlign w:val="bottom"/>
          </w:tcPr>
          <w:p>
            <w:pPr>
              <w:ind w:left="180"/>
              <w:spacing w:after="0"/>
              <w:rPr>
                <w:sz w:val="20"/>
                <w:szCs w:val="20"/>
                <w:color w:val="auto"/>
              </w:rPr>
            </w:pPr>
            <w:r>
              <w:rPr>
                <w:rFonts w:ascii="Arial" w:cs="Arial" w:eastAsia="Arial" w:hAnsi="Arial"/>
                <w:sz w:val="16"/>
                <w:szCs w:val="16"/>
                <w:i w:val="1"/>
                <w:iCs w:val="1"/>
                <w:color w:val="auto"/>
              </w:rPr>
              <w:t>EVP, Operational Excellence &amp; IT and</w:t>
            </w:r>
          </w:p>
        </w:tc>
        <w:tc>
          <w:tcPr>
            <w:tcW w:w="18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8"/>
        </w:trPr>
        <w:tc>
          <w:tcPr>
            <w:tcW w:w="3020" w:type="dxa"/>
            <w:vAlign w:val="bottom"/>
          </w:tcPr>
          <w:p>
            <w:pPr>
              <w:ind w:left="180"/>
              <w:spacing w:after="0"/>
              <w:rPr>
                <w:sz w:val="20"/>
                <w:szCs w:val="20"/>
                <w:color w:val="auto"/>
              </w:rPr>
            </w:pPr>
            <w:r>
              <w:rPr>
                <w:rFonts w:ascii="Arial" w:cs="Arial" w:eastAsia="Arial" w:hAnsi="Arial"/>
                <w:sz w:val="16"/>
                <w:szCs w:val="16"/>
                <w:i w:val="1"/>
                <w:iCs w:val="1"/>
                <w:color w:val="auto"/>
              </w:rPr>
              <w:t>President, Asia Pacific Middle East</w:t>
            </w:r>
          </w:p>
        </w:tc>
        <w:tc>
          <w:tcPr>
            <w:tcW w:w="1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4"/>
        </w:trPr>
        <w:tc>
          <w:tcPr>
            <w:tcW w:w="3020" w:type="dxa"/>
            <w:vAlign w:val="bottom"/>
            <w:shd w:val="clear" w:color="auto" w:fill="E6EDF3"/>
          </w:tcPr>
          <w:p>
            <w:pPr>
              <w:ind w:left="60"/>
              <w:spacing w:after="0" w:line="174" w:lineRule="exact"/>
              <w:rPr>
                <w:sz w:val="20"/>
                <w:szCs w:val="20"/>
                <w:color w:val="auto"/>
              </w:rPr>
            </w:pPr>
            <w:r>
              <w:rPr>
                <w:rFonts w:ascii="Arial" w:cs="Arial" w:eastAsia="Arial" w:hAnsi="Arial"/>
                <w:sz w:val="16"/>
                <w:szCs w:val="16"/>
                <w:color w:val="auto"/>
              </w:rPr>
              <w:t>Mara E. Swan</w:t>
            </w:r>
          </w:p>
        </w:tc>
        <w:tc>
          <w:tcPr>
            <w:tcW w:w="1800" w:type="dxa"/>
            <w:vAlign w:val="bottom"/>
            <w:shd w:val="clear" w:color="auto" w:fill="E6EDF3"/>
          </w:tcPr>
          <w:p>
            <w:pPr>
              <w:ind w:left="820"/>
              <w:spacing w:after="0" w:line="174" w:lineRule="exact"/>
              <w:rPr>
                <w:sz w:val="20"/>
                <w:szCs w:val="20"/>
                <w:color w:val="auto"/>
              </w:rPr>
            </w:pPr>
            <w:r>
              <w:rPr>
                <w:rFonts w:ascii="Arial" w:cs="Arial" w:eastAsia="Arial" w:hAnsi="Arial"/>
                <w:sz w:val="16"/>
                <w:szCs w:val="16"/>
                <w:color w:val="auto"/>
              </w:rPr>
              <w:t>29,007</w:t>
            </w:r>
          </w:p>
        </w:tc>
        <w:tc>
          <w:tcPr>
            <w:tcW w:w="1920" w:type="dxa"/>
            <w:vAlign w:val="bottom"/>
            <w:shd w:val="clear" w:color="auto" w:fill="E6EDF3"/>
          </w:tcPr>
          <w:p>
            <w:pPr>
              <w:jc w:val="right"/>
              <w:ind w:right="402"/>
              <w:spacing w:after="0" w:line="174" w:lineRule="exact"/>
              <w:rPr>
                <w:sz w:val="20"/>
                <w:szCs w:val="20"/>
                <w:color w:val="auto"/>
              </w:rPr>
            </w:pPr>
            <w:r>
              <w:rPr>
                <w:rFonts w:ascii="Arial" w:cs="Arial" w:eastAsia="Arial" w:hAnsi="Arial"/>
                <w:sz w:val="16"/>
                <w:szCs w:val="16"/>
                <w:color w:val="auto"/>
              </w:rPr>
              <w:t>—</w:t>
            </w:r>
          </w:p>
        </w:tc>
        <w:tc>
          <w:tcPr>
            <w:tcW w:w="1400" w:type="dxa"/>
            <w:vAlign w:val="bottom"/>
            <w:shd w:val="clear" w:color="auto" w:fill="E6EDF3"/>
          </w:tcPr>
          <w:p>
            <w:pPr>
              <w:jc w:val="right"/>
              <w:ind w:right="224"/>
              <w:spacing w:after="0" w:line="174" w:lineRule="exact"/>
              <w:rPr>
                <w:sz w:val="20"/>
                <w:szCs w:val="20"/>
                <w:color w:val="auto"/>
              </w:rPr>
            </w:pPr>
            <w:r>
              <w:rPr>
                <w:rFonts w:ascii="Arial" w:cs="Arial" w:eastAsia="Arial" w:hAnsi="Arial"/>
                <w:sz w:val="16"/>
                <w:szCs w:val="16"/>
                <w:color w:val="auto"/>
              </w:rPr>
              <w:t>—</w:t>
            </w:r>
          </w:p>
        </w:tc>
        <w:tc>
          <w:tcPr>
            <w:tcW w:w="1480" w:type="dxa"/>
            <w:vAlign w:val="bottom"/>
            <w:shd w:val="clear" w:color="auto" w:fill="E6EDF3"/>
          </w:tcPr>
          <w:p>
            <w:pPr>
              <w:jc w:val="right"/>
              <w:ind w:right="164"/>
              <w:spacing w:after="0" w:line="174" w:lineRule="exact"/>
              <w:rPr>
                <w:sz w:val="20"/>
                <w:szCs w:val="20"/>
                <w:color w:val="auto"/>
              </w:rPr>
            </w:pPr>
            <w:r>
              <w:rPr>
                <w:rFonts w:ascii="Arial" w:cs="Arial" w:eastAsia="Arial" w:hAnsi="Arial"/>
                <w:sz w:val="16"/>
                <w:szCs w:val="16"/>
                <w:color w:val="auto"/>
              </w:rPr>
              <w:t>32,500</w:t>
            </w:r>
          </w:p>
        </w:tc>
        <w:tc>
          <w:tcPr>
            <w:tcW w:w="1400" w:type="dxa"/>
            <w:vAlign w:val="bottom"/>
            <w:shd w:val="clear" w:color="auto" w:fill="E6EDF3"/>
          </w:tcPr>
          <w:p>
            <w:pPr>
              <w:jc w:val="right"/>
              <w:ind w:right="82"/>
              <w:spacing w:after="0" w:line="174" w:lineRule="exact"/>
              <w:rPr>
                <w:sz w:val="20"/>
                <w:szCs w:val="20"/>
                <w:color w:val="auto"/>
              </w:rPr>
            </w:pPr>
            <w:r>
              <w:rPr>
                <w:rFonts w:ascii="Arial" w:cs="Arial" w:eastAsia="Arial" w:hAnsi="Arial"/>
                <w:sz w:val="16"/>
                <w:szCs w:val="16"/>
                <w:color w:val="auto"/>
              </w:rPr>
              <w:t>61,507</w:t>
            </w:r>
          </w:p>
        </w:tc>
      </w:tr>
      <w:tr>
        <w:trPr>
          <w:trHeight w:val="218"/>
        </w:trPr>
        <w:tc>
          <w:tcPr>
            <w:tcW w:w="3020" w:type="dxa"/>
            <w:vAlign w:val="bottom"/>
            <w:tcBorders>
              <w:bottom w:val="single" w:sz="8" w:color="auto"/>
            </w:tcBorders>
            <w:shd w:val="clear" w:color="auto" w:fill="E6EDF3"/>
          </w:tcPr>
          <w:p>
            <w:pPr>
              <w:ind w:left="180"/>
              <w:spacing w:after="0"/>
              <w:rPr>
                <w:sz w:val="20"/>
                <w:szCs w:val="20"/>
                <w:color w:val="auto"/>
              </w:rPr>
            </w:pPr>
            <w:r>
              <w:rPr>
                <w:rFonts w:ascii="Arial" w:cs="Arial" w:eastAsia="Arial" w:hAnsi="Arial"/>
                <w:sz w:val="16"/>
                <w:szCs w:val="16"/>
                <w:i w:val="1"/>
                <w:iCs w:val="1"/>
                <w:color w:val="auto"/>
              </w:rPr>
              <w:t>EVP, Global Strategy and Talent</w:t>
            </w:r>
          </w:p>
        </w:tc>
        <w:tc>
          <w:tcPr>
            <w:tcW w:w="1800" w:type="dxa"/>
            <w:vAlign w:val="bottom"/>
            <w:tcBorders>
              <w:bottom w:val="single" w:sz="8" w:color="auto"/>
            </w:tcBorders>
            <w:shd w:val="clear" w:color="auto" w:fill="E6EDF3"/>
          </w:tcPr>
          <w:p>
            <w:pPr>
              <w:spacing w:after="0"/>
              <w:rPr>
                <w:sz w:val="18"/>
                <w:szCs w:val="18"/>
                <w:color w:val="auto"/>
              </w:rPr>
            </w:pPr>
          </w:p>
        </w:tc>
        <w:tc>
          <w:tcPr>
            <w:tcW w:w="1920" w:type="dxa"/>
            <w:vAlign w:val="bottom"/>
            <w:tcBorders>
              <w:bottom w:val="single" w:sz="8" w:color="auto"/>
            </w:tcBorders>
            <w:shd w:val="clear" w:color="auto" w:fill="E6EDF3"/>
          </w:tcPr>
          <w:p>
            <w:pPr>
              <w:spacing w:after="0"/>
              <w:rPr>
                <w:sz w:val="18"/>
                <w:szCs w:val="18"/>
                <w:color w:val="auto"/>
              </w:rPr>
            </w:pPr>
          </w:p>
        </w:tc>
        <w:tc>
          <w:tcPr>
            <w:tcW w:w="1400" w:type="dxa"/>
            <w:vAlign w:val="bottom"/>
            <w:tcBorders>
              <w:bottom w:val="single" w:sz="8" w:color="auto"/>
            </w:tcBorders>
            <w:shd w:val="clear" w:color="auto" w:fill="E6EDF3"/>
          </w:tcPr>
          <w:p>
            <w:pPr>
              <w:spacing w:after="0"/>
              <w:rPr>
                <w:sz w:val="18"/>
                <w:szCs w:val="18"/>
                <w:color w:val="auto"/>
              </w:rPr>
            </w:pPr>
          </w:p>
        </w:tc>
        <w:tc>
          <w:tcPr>
            <w:tcW w:w="1480" w:type="dxa"/>
            <w:vAlign w:val="bottom"/>
            <w:tcBorders>
              <w:bottom w:val="single" w:sz="8" w:color="auto"/>
            </w:tcBorders>
            <w:shd w:val="clear" w:color="auto" w:fill="E6EDF3"/>
          </w:tcPr>
          <w:p>
            <w:pPr>
              <w:spacing w:after="0"/>
              <w:rPr>
                <w:sz w:val="18"/>
                <w:szCs w:val="18"/>
                <w:color w:val="auto"/>
              </w:rPr>
            </w:pPr>
          </w:p>
        </w:tc>
        <w:tc>
          <w:tcPr>
            <w:tcW w:w="1400" w:type="dxa"/>
            <w:vAlign w:val="bottom"/>
            <w:tcBorders>
              <w:bottom w:val="single" w:sz="8" w:color="auto"/>
            </w:tcBorders>
            <w:shd w:val="clear" w:color="auto" w:fill="E6EDF3"/>
          </w:tcPr>
          <w:p>
            <w:pPr>
              <w:spacing w:after="0"/>
              <w:rPr>
                <w:sz w:val="18"/>
                <w:szCs w:val="18"/>
                <w:color w:val="auto"/>
              </w:rPr>
            </w:pPr>
          </w:p>
        </w:tc>
      </w:tr>
    </w:tbl>
    <w:p>
      <w:pPr>
        <w:spacing w:after="0" w:line="54" w:lineRule="exact"/>
        <w:rPr>
          <w:sz w:val="20"/>
          <w:szCs w:val="20"/>
          <w:color w:val="auto"/>
        </w:rPr>
      </w:pPr>
    </w:p>
    <w:p>
      <w:pPr>
        <w:ind w:left="520" w:right="300" w:hanging="316"/>
        <w:spacing w:after="0" w:line="266"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Except as otherwise indicated, these amounts include the value attributable to each executive’s participation in ManpowerGroup’s company car program, auto insurance, life insurance premiums paid and/or the value of financial services paid for by ManpowerGroup. Any of these items with a value greater than $25,000 are separately disclosed below.</w:t>
      </w:r>
    </w:p>
    <w:p>
      <w:pPr>
        <w:spacing w:after="0" w:line="18" w:lineRule="exact"/>
        <w:rPr>
          <w:rFonts w:ascii="Arial" w:cs="Arial" w:eastAsia="Arial" w:hAnsi="Arial"/>
          <w:sz w:val="14"/>
          <w:szCs w:val="14"/>
          <w:color w:val="auto"/>
        </w:rPr>
      </w:pPr>
    </w:p>
    <w:p>
      <w:pPr>
        <w:ind w:left="520" w:right="140" w:hanging="316"/>
        <w:spacing w:after="0" w:line="291"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Due to the complex nature of calculating these tax reimbursements, in certain cases the amounts are paid to the executive officers one or more years after the income to which they relate was earned by the executive officer.</w:t>
      </w:r>
    </w:p>
    <w:p>
      <w:pPr>
        <w:spacing w:after="0" w:line="1" w:lineRule="exact"/>
        <w:rPr>
          <w:rFonts w:ascii="Arial" w:cs="Arial" w:eastAsia="Arial" w:hAnsi="Arial"/>
          <w:sz w:val="14"/>
          <w:szCs w:val="14"/>
          <w:color w:val="auto"/>
        </w:rPr>
      </w:pPr>
    </w:p>
    <w:p>
      <w:pPr>
        <w:ind w:left="520" w:right="20" w:hanging="316"/>
        <w:spacing w:after="0" w:line="266"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These contributions were made by ManpowerGroup on behalf of the executive officers under the terms of the Nonqualified Savings Plan, other than Mr. Chandrashekar. For Mr. Chandrashekar, the amount represents our contributions to the Central Provident Fund of Singapore (CPF). Further information regarding the Nonqualified Savings Plan can be found in the Nonqualified Deferred Compensation Table and accompanying narrative.</w:t>
      </w:r>
    </w:p>
    <w:p>
      <w:pPr>
        <w:spacing w:after="0" w:line="18" w:lineRule="exact"/>
        <w:rPr>
          <w:rFonts w:ascii="Arial" w:cs="Arial" w:eastAsia="Arial" w:hAnsi="Arial"/>
          <w:sz w:val="14"/>
          <w:szCs w:val="14"/>
          <w:color w:val="auto"/>
        </w:rPr>
      </w:pPr>
    </w:p>
    <w:p>
      <w:pPr>
        <w:ind w:left="520" w:right="400" w:hanging="316"/>
        <w:spacing w:after="0" w:line="291"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$25,038 of this amount reflects the lease and maintenance payments associated with Mr. Green’s automobile. The amount also includes financial services paid by ManpowerGroup for both 2017 and 2016 of $10,800 and $11,400, respectively as both were paid by the Company in 2017.</w:t>
      </w:r>
    </w:p>
    <w:p>
      <w:pPr>
        <w:spacing w:after="0" w:line="1" w:lineRule="exact"/>
        <w:rPr>
          <w:rFonts w:ascii="Arial" w:cs="Arial" w:eastAsia="Arial" w:hAnsi="Arial"/>
          <w:sz w:val="14"/>
          <w:szCs w:val="14"/>
          <w:color w:val="auto"/>
        </w:rPr>
      </w:pPr>
    </w:p>
    <w:p>
      <w:pPr>
        <w:ind w:left="520" w:right="20" w:hanging="316"/>
        <w:spacing w:after="0" w:line="258"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 addition to the amounts described above in footnote (1), this amount reflects $18,845 for tax preparation services, $42,173 for the lease and maintenance payments associated with Mr. Chandrashekar’s car and $16,252 for round-trip airfare from Singapore to the U.S. and from India to Singapore for members of Mr. Chandrashekar’s family. These items have been translated at an exchange rate for SGD of 0.7486 (in U.S. Dollars) which was the exchange rate in effect on December 31, 2017. These benefits are paid to Mr. Chandrashekar in connection with his assignment to Singapore.</w:t>
      </w:r>
    </w:p>
    <w:p>
      <w:pPr>
        <w:spacing w:after="0" w:line="23" w:lineRule="exact"/>
        <w:rPr>
          <w:rFonts w:ascii="Arial" w:cs="Arial" w:eastAsia="Arial" w:hAnsi="Arial"/>
          <w:sz w:val="14"/>
          <w:szCs w:val="14"/>
          <w:color w:val="auto"/>
        </w:rPr>
      </w:pPr>
    </w:p>
    <w:p>
      <w:pPr>
        <w:ind w:left="520" w:right="100" w:hanging="316"/>
        <w:spacing w:after="0" w:line="291"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amount reflects tax payments paid on Mr. Chandrashekar’s behalf for compensation he received in 2017 in connection with time spent in the United States as part of his roles and responsibilities. The amount of these taxes are subject to future adjustment after calculation of the final taxes due by Mr. Chandrashekar.</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54</w:t>
      </w:r>
    </w:p>
    <w:p>
      <w:pPr>
        <w:sectPr>
          <w:pgSz w:w="11900" w:h="16838" w:orient="portrait"/>
          <w:cols w:equalWidth="0" w:num="1">
            <w:col w:w="11240"/>
          </w:cols>
          <w:pgMar w:left="240" w:top="455" w:right="41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Grants of Plan-Based Awards in 2017</w:t>
      </w:r>
    </w:p>
    <w:p>
      <w:pPr>
        <w:spacing w:after="0" w:line="267" w:lineRule="exact"/>
        <w:rPr>
          <w:sz w:val="20"/>
          <w:szCs w:val="20"/>
          <w:color w:val="auto"/>
        </w:rPr>
      </w:pPr>
    </w:p>
    <w:tbl>
      <w:tblPr>
        <w:tblLayout w:type="fixed"/>
        <w:tblInd w:w="220" w:type="dxa"/>
        <w:tblCellMar>
          <w:top w:w="0" w:type="dxa"/>
          <w:left w:w="0" w:type="dxa"/>
          <w:bottom w:w="0" w:type="dxa"/>
          <w:right w:w="0" w:type="dxa"/>
        </w:tblCellMar>
      </w:tblPr>
      <w:tr>
        <w:trPr>
          <w:trHeight w:val="219"/>
        </w:trPr>
        <w:tc>
          <w:tcPr>
            <w:tcW w:w="2900" w:type="dxa"/>
            <w:vAlign w:val="bottom"/>
            <w:tcBorders>
              <w:top w:val="single" w:sz="8" w:color="auto"/>
            </w:tcBorders>
            <w:shd w:val="clear" w:color="auto" w:fill="9DB8D2"/>
          </w:tcPr>
          <w:p>
            <w:pPr>
              <w:spacing w:after="0"/>
              <w:rPr>
                <w:sz w:val="19"/>
                <w:szCs w:val="19"/>
                <w:color w:val="auto"/>
              </w:rPr>
            </w:pPr>
          </w:p>
        </w:tc>
        <w:tc>
          <w:tcPr>
            <w:tcW w:w="120" w:type="dxa"/>
            <w:vAlign w:val="bottom"/>
            <w:tcBorders>
              <w:top w:val="single" w:sz="8" w:color="auto"/>
            </w:tcBorders>
            <w:shd w:val="clear" w:color="auto" w:fill="9DB8D2"/>
          </w:tcPr>
          <w:p>
            <w:pPr>
              <w:spacing w:after="0"/>
              <w:rPr>
                <w:sz w:val="19"/>
                <w:szCs w:val="19"/>
                <w:color w:val="auto"/>
              </w:rPr>
            </w:pPr>
          </w:p>
        </w:tc>
        <w:tc>
          <w:tcPr>
            <w:tcW w:w="580" w:type="dxa"/>
            <w:vAlign w:val="bottom"/>
            <w:tcBorders>
              <w:top w:val="single" w:sz="8" w:color="auto"/>
            </w:tcBorders>
            <w:shd w:val="clear" w:color="auto" w:fill="9DB8D2"/>
          </w:tcPr>
          <w:p>
            <w:pPr>
              <w:spacing w:after="0"/>
              <w:rPr>
                <w:sz w:val="19"/>
                <w:szCs w:val="19"/>
                <w:color w:val="auto"/>
              </w:rPr>
            </w:pPr>
          </w:p>
        </w:tc>
        <w:tc>
          <w:tcPr>
            <w:tcW w:w="120" w:type="dxa"/>
            <w:vAlign w:val="bottom"/>
            <w:tcBorders>
              <w:top w:val="single" w:sz="8" w:color="auto"/>
            </w:tcBorders>
            <w:shd w:val="clear" w:color="auto" w:fill="9DB8D2"/>
          </w:tcPr>
          <w:p>
            <w:pPr>
              <w:spacing w:after="0"/>
              <w:rPr>
                <w:sz w:val="19"/>
                <w:szCs w:val="19"/>
                <w:color w:val="auto"/>
              </w:rPr>
            </w:pPr>
          </w:p>
        </w:tc>
        <w:tc>
          <w:tcPr>
            <w:tcW w:w="640" w:type="dxa"/>
            <w:vAlign w:val="bottom"/>
            <w:tcBorders>
              <w:top w:val="single" w:sz="8" w:color="auto"/>
            </w:tcBorders>
            <w:shd w:val="clear" w:color="auto" w:fill="9DB8D2"/>
          </w:tcPr>
          <w:p>
            <w:pPr>
              <w:spacing w:after="0"/>
              <w:rPr>
                <w:sz w:val="19"/>
                <w:szCs w:val="19"/>
                <w:color w:val="auto"/>
              </w:rPr>
            </w:pPr>
          </w:p>
        </w:tc>
        <w:tc>
          <w:tcPr>
            <w:tcW w:w="940" w:type="dxa"/>
            <w:vAlign w:val="bottom"/>
            <w:tcBorders>
              <w:top w:val="single" w:sz="8" w:color="auto"/>
            </w:tcBorders>
            <w:shd w:val="clear" w:color="auto" w:fill="9DB8D2"/>
          </w:tcPr>
          <w:p>
            <w:pPr>
              <w:spacing w:after="0"/>
              <w:rPr>
                <w:sz w:val="19"/>
                <w:szCs w:val="19"/>
                <w:color w:val="auto"/>
              </w:rPr>
            </w:pPr>
          </w:p>
        </w:tc>
        <w:tc>
          <w:tcPr>
            <w:tcW w:w="660" w:type="dxa"/>
            <w:vAlign w:val="bottom"/>
            <w:tcBorders>
              <w:top w:val="single" w:sz="8" w:color="auto"/>
            </w:tcBorders>
            <w:shd w:val="clear" w:color="auto" w:fill="9DB8D2"/>
          </w:tcPr>
          <w:p>
            <w:pPr>
              <w:spacing w:after="0"/>
              <w:rPr>
                <w:sz w:val="19"/>
                <w:szCs w:val="19"/>
                <w:color w:val="auto"/>
              </w:rPr>
            </w:pPr>
          </w:p>
        </w:tc>
        <w:tc>
          <w:tcPr>
            <w:tcW w:w="120" w:type="dxa"/>
            <w:vAlign w:val="bottom"/>
            <w:tcBorders>
              <w:top w:val="single" w:sz="8" w:color="auto"/>
            </w:tcBorders>
            <w:shd w:val="clear" w:color="auto" w:fill="9DB8D2"/>
          </w:tcPr>
          <w:p>
            <w:pPr>
              <w:spacing w:after="0"/>
              <w:rPr>
                <w:sz w:val="19"/>
                <w:szCs w:val="19"/>
                <w:color w:val="auto"/>
              </w:rPr>
            </w:pPr>
          </w:p>
        </w:tc>
        <w:tc>
          <w:tcPr>
            <w:tcW w:w="700" w:type="dxa"/>
            <w:vAlign w:val="bottom"/>
            <w:tcBorders>
              <w:top w:val="single" w:sz="8" w:color="auto"/>
            </w:tcBorders>
            <w:shd w:val="clear" w:color="auto" w:fill="9DB8D2"/>
          </w:tcPr>
          <w:p>
            <w:pPr>
              <w:spacing w:after="0"/>
              <w:rPr>
                <w:sz w:val="19"/>
                <w:szCs w:val="19"/>
                <w:color w:val="auto"/>
              </w:rPr>
            </w:pPr>
          </w:p>
        </w:tc>
        <w:tc>
          <w:tcPr>
            <w:tcW w:w="580" w:type="dxa"/>
            <w:vAlign w:val="bottom"/>
            <w:tcBorders>
              <w:top w:val="single" w:sz="8" w:color="auto"/>
            </w:tcBorders>
            <w:shd w:val="clear" w:color="auto" w:fill="9DB8D2"/>
          </w:tcPr>
          <w:p>
            <w:pPr>
              <w:spacing w:after="0"/>
              <w:rPr>
                <w:sz w:val="19"/>
                <w:szCs w:val="19"/>
                <w:color w:val="auto"/>
              </w:rPr>
            </w:pPr>
          </w:p>
        </w:tc>
        <w:tc>
          <w:tcPr>
            <w:tcW w:w="660" w:type="dxa"/>
            <w:vAlign w:val="bottom"/>
            <w:tcBorders>
              <w:top w:val="single" w:sz="8" w:color="auto"/>
            </w:tcBorders>
            <w:shd w:val="clear" w:color="auto" w:fill="9DB8D2"/>
          </w:tcPr>
          <w:p>
            <w:pPr>
              <w:spacing w:after="0"/>
              <w:rPr>
                <w:sz w:val="19"/>
                <w:szCs w:val="19"/>
                <w:color w:val="auto"/>
              </w:rPr>
            </w:pPr>
          </w:p>
        </w:tc>
        <w:tc>
          <w:tcPr>
            <w:tcW w:w="120" w:type="dxa"/>
            <w:vAlign w:val="bottom"/>
            <w:tcBorders>
              <w:top w:val="single" w:sz="8" w:color="auto"/>
            </w:tcBorders>
            <w:shd w:val="clear" w:color="auto" w:fill="9DB8D2"/>
          </w:tcPr>
          <w:p>
            <w:pPr>
              <w:spacing w:after="0"/>
              <w:rPr>
                <w:sz w:val="19"/>
                <w:szCs w:val="19"/>
                <w:color w:val="auto"/>
              </w:rPr>
            </w:pPr>
          </w:p>
        </w:tc>
        <w:tc>
          <w:tcPr>
            <w:tcW w:w="64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6"/>
              </w:rPr>
              <w:t>All</w:t>
            </w:r>
          </w:p>
        </w:tc>
        <w:tc>
          <w:tcPr>
            <w:tcW w:w="780" w:type="dxa"/>
            <w:vAlign w:val="bottom"/>
            <w:tcBorders>
              <w:top w:val="single" w:sz="8" w:color="auto"/>
            </w:tcBorders>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660" w:type="dxa"/>
            <w:vAlign w:val="bottom"/>
            <w:tcBorders>
              <w:top w:val="single" w:sz="8" w:color="auto"/>
            </w:tcBorders>
            <w:shd w:val="clear" w:color="auto" w:fill="9DB8D2"/>
          </w:tcPr>
          <w:p>
            <w:pPr>
              <w:spacing w:after="0"/>
              <w:rPr>
                <w:sz w:val="19"/>
                <w:szCs w:val="19"/>
                <w:color w:val="auto"/>
              </w:rPr>
            </w:pPr>
          </w:p>
        </w:tc>
        <w:tc>
          <w:tcPr>
            <w:tcW w:w="800" w:type="dxa"/>
            <w:vAlign w:val="bottom"/>
            <w:tcBorders>
              <w:top w:val="single" w:sz="8" w:color="auto"/>
            </w:tcBorders>
            <w:shd w:val="clear" w:color="auto" w:fill="9DB8D2"/>
          </w:tcPr>
          <w:p>
            <w:pPr>
              <w:jc w:val="center"/>
              <w:ind w:right="11"/>
              <w:spacing w:after="0"/>
              <w:rPr>
                <w:sz w:val="20"/>
                <w:szCs w:val="20"/>
                <w:color w:val="auto"/>
              </w:rPr>
            </w:pPr>
            <w:r>
              <w:rPr>
                <w:rFonts w:ascii="Arial" w:cs="Arial" w:eastAsia="Arial" w:hAnsi="Arial"/>
                <w:sz w:val="13"/>
                <w:szCs w:val="13"/>
                <w:b w:val="1"/>
                <w:bCs w:val="1"/>
                <w:color w:val="auto"/>
                <w:w w:val="92"/>
              </w:rPr>
              <w:t>Grant</w:t>
            </w:r>
          </w:p>
        </w:tc>
        <w:tc>
          <w:tcPr>
            <w:tcW w:w="0" w:type="dxa"/>
            <w:vAlign w:val="bottom"/>
          </w:tcPr>
          <w:p>
            <w:pPr>
              <w:spacing w:after="0"/>
              <w:rPr>
                <w:sz w:val="1"/>
                <w:szCs w:val="1"/>
                <w:color w:val="auto"/>
              </w:rPr>
            </w:pPr>
          </w:p>
        </w:tc>
      </w:tr>
      <w:tr>
        <w:trPr>
          <w:trHeight w:val="135"/>
        </w:trPr>
        <w:tc>
          <w:tcPr>
            <w:tcW w:w="29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58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640" w:type="dxa"/>
            <w:vAlign w:val="bottom"/>
            <w:shd w:val="clear" w:color="auto" w:fill="9DB8D2"/>
          </w:tcPr>
          <w:p>
            <w:pPr>
              <w:spacing w:after="0"/>
              <w:rPr>
                <w:sz w:val="11"/>
                <w:szCs w:val="11"/>
                <w:color w:val="auto"/>
              </w:rPr>
            </w:pPr>
          </w:p>
        </w:tc>
        <w:tc>
          <w:tcPr>
            <w:tcW w:w="94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58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64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780" w:type="dxa"/>
            <w:vAlign w:val="bottom"/>
            <w:vMerge w:val="continue"/>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800" w:type="dxa"/>
            <w:vAlign w:val="bottom"/>
            <w:shd w:val="clear" w:color="auto" w:fill="9DB8D2"/>
          </w:tcPr>
          <w:p>
            <w:pPr>
              <w:jc w:val="center"/>
              <w:ind w:right="11"/>
              <w:spacing w:after="0" w:line="135" w:lineRule="exact"/>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135"/>
        </w:trPr>
        <w:tc>
          <w:tcPr>
            <w:tcW w:w="29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58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640" w:type="dxa"/>
            <w:vAlign w:val="bottom"/>
            <w:shd w:val="clear" w:color="auto" w:fill="9DB8D2"/>
          </w:tcPr>
          <w:p>
            <w:pPr>
              <w:spacing w:after="0"/>
              <w:rPr>
                <w:sz w:val="11"/>
                <w:szCs w:val="11"/>
                <w:color w:val="auto"/>
              </w:rPr>
            </w:pPr>
          </w:p>
        </w:tc>
        <w:tc>
          <w:tcPr>
            <w:tcW w:w="94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58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64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78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66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3"/>
              </w:rPr>
              <w:t>Exercise</w:t>
            </w:r>
          </w:p>
        </w:tc>
        <w:tc>
          <w:tcPr>
            <w:tcW w:w="800" w:type="dxa"/>
            <w:vAlign w:val="bottom"/>
            <w:shd w:val="clear" w:color="auto" w:fill="9DB8D2"/>
          </w:tcPr>
          <w:p>
            <w:pPr>
              <w:jc w:val="center"/>
              <w:ind w:right="11"/>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29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58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2240" w:type="dxa"/>
            <w:vAlign w:val="bottom"/>
            <w:gridSpan w:val="3"/>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6"/>
              </w:rPr>
              <w:t>Estimated Future Payouts</w:t>
            </w:r>
          </w:p>
        </w:tc>
        <w:tc>
          <w:tcPr>
            <w:tcW w:w="120" w:type="dxa"/>
            <w:vAlign w:val="bottom"/>
            <w:shd w:val="clear" w:color="auto" w:fill="9DB8D2"/>
          </w:tcPr>
          <w:p>
            <w:pPr>
              <w:spacing w:after="0"/>
              <w:rPr>
                <w:sz w:val="11"/>
                <w:szCs w:val="11"/>
                <w:color w:val="auto"/>
              </w:rPr>
            </w:pPr>
          </w:p>
        </w:tc>
        <w:tc>
          <w:tcPr>
            <w:tcW w:w="1940" w:type="dxa"/>
            <w:vAlign w:val="bottom"/>
            <w:gridSpan w:val="3"/>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6"/>
              </w:rPr>
              <w:t>Estimated Future Payouts</w:t>
            </w:r>
          </w:p>
        </w:tc>
        <w:tc>
          <w:tcPr>
            <w:tcW w:w="120" w:type="dxa"/>
            <w:vAlign w:val="bottom"/>
            <w:shd w:val="clear" w:color="auto" w:fill="9DB8D2"/>
          </w:tcPr>
          <w:p>
            <w:pPr>
              <w:spacing w:after="0"/>
              <w:rPr>
                <w:sz w:val="11"/>
                <w:szCs w:val="11"/>
                <w:color w:val="auto"/>
              </w:rPr>
            </w:pPr>
          </w:p>
        </w:tc>
        <w:tc>
          <w:tcPr>
            <w:tcW w:w="64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78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660" w:type="dxa"/>
            <w:vAlign w:val="bottom"/>
            <w:vMerge w:val="continue"/>
            <w:shd w:val="clear" w:color="auto" w:fill="9DB8D2"/>
          </w:tcPr>
          <w:p>
            <w:pPr>
              <w:spacing w:after="0"/>
              <w:rPr>
                <w:sz w:val="11"/>
                <w:szCs w:val="11"/>
                <w:color w:val="auto"/>
              </w:rPr>
            </w:pPr>
          </w:p>
        </w:tc>
        <w:tc>
          <w:tcPr>
            <w:tcW w:w="800" w:type="dxa"/>
            <w:vAlign w:val="bottom"/>
            <w:shd w:val="clear" w:color="auto" w:fill="9DB8D2"/>
          </w:tcPr>
          <w:p>
            <w:pPr>
              <w:jc w:val="center"/>
              <w:ind w:right="11"/>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68"/>
        </w:trPr>
        <w:tc>
          <w:tcPr>
            <w:tcW w:w="290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58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2240" w:type="dxa"/>
            <w:vAlign w:val="bottom"/>
            <w:gridSpan w:val="3"/>
            <w:vMerge w:val="continue"/>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1940" w:type="dxa"/>
            <w:vAlign w:val="bottom"/>
            <w:gridSpan w:val="3"/>
            <w:vMerge w:val="continue"/>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640" w:type="dxa"/>
            <w:vAlign w:val="bottom"/>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3"/>
              </w:rPr>
              <w:t>Number</w:t>
            </w:r>
          </w:p>
        </w:tc>
        <w:tc>
          <w:tcPr>
            <w:tcW w:w="780" w:type="dxa"/>
            <w:vAlign w:val="bottom"/>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660" w:type="dxa"/>
            <w:vAlign w:val="bottom"/>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or Base</w:t>
            </w:r>
          </w:p>
        </w:tc>
        <w:tc>
          <w:tcPr>
            <w:tcW w:w="800" w:type="dxa"/>
            <w:vAlign w:val="bottom"/>
            <w:vMerge w:val="restart"/>
            <w:shd w:val="clear" w:color="auto" w:fill="9DB8D2"/>
          </w:tcPr>
          <w:p>
            <w:pPr>
              <w:jc w:val="center"/>
              <w:ind w:right="11"/>
              <w:spacing w:after="0" w:line="135"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68"/>
        </w:trPr>
        <w:tc>
          <w:tcPr>
            <w:tcW w:w="290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58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2240" w:type="dxa"/>
            <w:vAlign w:val="bottom"/>
            <w:gridSpan w:val="3"/>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Under Non-Equity Incentive</w:t>
            </w:r>
          </w:p>
        </w:tc>
        <w:tc>
          <w:tcPr>
            <w:tcW w:w="120" w:type="dxa"/>
            <w:vAlign w:val="bottom"/>
            <w:shd w:val="clear" w:color="auto" w:fill="9DB8D2"/>
          </w:tcPr>
          <w:p>
            <w:pPr>
              <w:spacing w:after="0"/>
              <w:rPr>
                <w:sz w:val="5"/>
                <w:szCs w:val="5"/>
                <w:color w:val="auto"/>
              </w:rPr>
            </w:pPr>
          </w:p>
        </w:tc>
        <w:tc>
          <w:tcPr>
            <w:tcW w:w="1940" w:type="dxa"/>
            <w:vAlign w:val="bottom"/>
            <w:gridSpan w:val="3"/>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Under Equity Incentive</w:t>
            </w:r>
          </w:p>
        </w:tc>
        <w:tc>
          <w:tcPr>
            <w:tcW w:w="120" w:type="dxa"/>
            <w:vAlign w:val="bottom"/>
            <w:shd w:val="clear" w:color="auto" w:fill="9DB8D2"/>
          </w:tcPr>
          <w:p>
            <w:pPr>
              <w:spacing w:after="0"/>
              <w:rPr>
                <w:sz w:val="5"/>
                <w:szCs w:val="5"/>
                <w:color w:val="auto"/>
              </w:rPr>
            </w:pPr>
          </w:p>
        </w:tc>
        <w:tc>
          <w:tcPr>
            <w:tcW w:w="640" w:type="dxa"/>
            <w:vAlign w:val="bottom"/>
            <w:vMerge w:val="continue"/>
            <w:shd w:val="clear" w:color="auto" w:fill="9DB8D2"/>
          </w:tcPr>
          <w:p>
            <w:pPr>
              <w:spacing w:after="0"/>
              <w:rPr>
                <w:sz w:val="5"/>
                <w:szCs w:val="5"/>
                <w:color w:val="auto"/>
              </w:rPr>
            </w:pPr>
          </w:p>
        </w:tc>
        <w:tc>
          <w:tcPr>
            <w:tcW w:w="780" w:type="dxa"/>
            <w:vAlign w:val="bottom"/>
            <w:vMerge w:val="continue"/>
            <w:shd w:val="clear" w:color="auto" w:fill="9DB8D2"/>
          </w:tcPr>
          <w:p>
            <w:pPr>
              <w:spacing w:after="0"/>
              <w:rPr>
                <w:sz w:val="5"/>
                <w:szCs w:val="5"/>
                <w:color w:val="auto"/>
              </w:rPr>
            </w:pPr>
          </w:p>
        </w:tc>
        <w:tc>
          <w:tcPr>
            <w:tcW w:w="660" w:type="dxa"/>
            <w:vAlign w:val="bottom"/>
            <w:vMerge w:val="continue"/>
            <w:shd w:val="clear" w:color="auto" w:fill="9DB8D2"/>
          </w:tcPr>
          <w:p>
            <w:pPr>
              <w:spacing w:after="0"/>
              <w:rPr>
                <w:sz w:val="5"/>
                <w:szCs w:val="5"/>
                <w:color w:val="auto"/>
              </w:rPr>
            </w:pPr>
          </w:p>
        </w:tc>
        <w:tc>
          <w:tcPr>
            <w:tcW w:w="800" w:type="dxa"/>
            <w:vAlign w:val="bottom"/>
            <w:vMerge w:val="continue"/>
            <w:shd w:val="clear" w:color="auto" w:fill="9DB8D2"/>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90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58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2240" w:type="dxa"/>
            <w:vAlign w:val="bottom"/>
            <w:gridSpan w:val="3"/>
            <w:vMerge w:val="continue"/>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1940" w:type="dxa"/>
            <w:vAlign w:val="bottom"/>
            <w:gridSpan w:val="3"/>
            <w:vMerge w:val="continue"/>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640" w:type="dxa"/>
            <w:vAlign w:val="bottom"/>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of Shares</w:t>
            </w:r>
          </w:p>
        </w:tc>
        <w:tc>
          <w:tcPr>
            <w:tcW w:w="780" w:type="dxa"/>
            <w:vAlign w:val="bottom"/>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660" w:type="dxa"/>
            <w:vAlign w:val="bottom"/>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Price of</w:t>
            </w:r>
          </w:p>
        </w:tc>
        <w:tc>
          <w:tcPr>
            <w:tcW w:w="800" w:type="dxa"/>
            <w:vAlign w:val="bottom"/>
            <w:vMerge w:val="restart"/>
            <w:shd w:val="clear" w:color="auto" w:fill="9DB8D2"/>
          </w:tcPr>
          <w:p>
            <w:pPr>
              <w:jc w:val="center"/>
              <w:ind w:right="11"/>
              <w:spacing w:after="0" w:line="135" w:lineRule="exact"/>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68"/>
        </w:trPr>
        <w:tc>
          <w:tcPr>
            <w:tcW w:w="290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58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640" w:type="dxa"/>
            <w:vAlign w:val="bottom"/>
            <w:shd w:val="clear" w:color="auto" w:fill="9DB8D2"/>
          </w:tcPr>
          <w:p>
            <w:pPr>
              <w:spacing w:after="0"/>
              <w:rPr>
                <w:sz w:val="5"/>
                <w:szCs w:val="5"/>
                <w:color w:val="auto"/>
              </w:rPr>
            </w:pPr>
          </w:p>
        </w:tc>
        <w:tc>
          <w:tcPr>
            <w:tcW w:w="94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5"/>
              </w:rPr>
              <w:t>Plan Awards(1)</w:t>
            </w:r>
          </w:p>
        </w:tc>
        <w:tc>
          <w:tcPr>
            <w:tcW w:w="660" w:type="dxa"/>
            <w:vAlign w:val="bottom"/>
            <w:shd w:val="clear" w:color="auto" w:fill="9DB8D2"/>
          </w:tcPr>
          <w:p>
            <w:pPr>
              <w:spacing w:after="0"/>
              <w:rPr>
                <w:sz w:val="5"/>
                <w:szCs w:val="5"/>
                <w:color w:val="auto"/>
              </w:rPr>
            </w:pPr>
          </w:p>
        </w:tc>
        <w:tc>
          <w:tcPr>
            <w:tcW w:w="120" w:type="dxa"/>
            <w:vAlign w:val="bottom"/>
            <w:shd w:val="clear" w:color="auto" w:fill="9DB8D2"/>
          </w:tcPr>
          <w:p>
            <w:pPr>
              <w:spacing w:after="0"/>
              <w:rPr>
                <w:sz w:val="5"/>
                <w:szCs w:val="5"/>
                <w:color w:val="auto"/>
              </w:rPr>
            </w:pPr>
          </w:p>
        </w:tc>
        <w:tc>
          <w:tcPr>
            <w:tcW w:w="1940" w:type="dxa"/>
            <w:vAlign w:val="bottom"/>
            <w:gridSpan w:val="3"/>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5"/>
              </w:rPr>
              <w:t>Plan Awards(2)</w:t>
            </w:r>
          </w:p>
        </w:tc>
        <w:tc>
          <w:tcPr>
            <w:tcW w:w="120" w:type="dxa"/>
            <w:vAlign w:val="bottom"/>
            <w:shd w:val="clear" w:color="auto" w:fill="9DB8D2"/>
          </w:tcPr>
          <w:p>
            <w:pPr>
              <w:spacing w:after="0"/>
              <w:rPr>
                <w:sz w:val="5"/>
                <w:szCs w:val="5"/>
                <w:color w:val="auto"/>
              </w:rPr>
            </w:pPr>
          </w:p>
        </w:tc>
        <w:tc>
          <w:tcPr>
            <w:tcW w:w="640" w:type="dxa"/>
            <w:vAlign w:val="bottom"/>
            <w:vMerge w:val="continue"/>
            <w:shd w:val="clear" w:color="auto" w:fill="9DB8D2"/>
          </w:tcPr>
          <w:p>
            <w:pPr>
              <w:spacing w:after="0"/>
              <w:rPr>
                <w:sz w:val="5"/>
                <w:szCs w:val="5"/>
                <w:color w:val="auto"/>
              </w:rPr>
            </w:pPr>
          </w:p>
        </w:tc>
        <w:tc>
          <w:tcPr>
            <w:tcW w:w="780" w:type="dxa"/>
            <w:vAlign w:val="bottom"/>
            <w:vMerge w:val="continue"/>
            <w:shd w:val="clear" w:color="auto" w:fill="9DB8D2"/>
          </w:tcPr>
          <w:p>
            <w:pPr>
              <w:spacing w:after="0"/>
              <w:rPr>
                <w:sz w:val="5"/>
                <w:szCs w:val="5"/>
                <w:color w:val="auto"/>
              </w:rPr>
            </w:pPr>
          </w:p>
        </w:tc>
        <w:tc>
          <w:tcPr>
            <w:tcW w:w="660" w:type="dxa"/>
            <w:vAlign w:val="bottom"/>
            <w:vMerge w:val="continue"/>
            <w:shd w:val="clear" w:color="auto" w:fill="9DB8D2"/>
          </w:tcPr>
          <w:p>
            <w:pPr>
              <w:spacing w:after="0"/>
              <w:rPr>
                <w:sz w:val="5"/>
                <w:szCs w:val="5"/>
                <w:color w:val="auto"/>
              </w:rPr>
            </w:pPr>
          </w:p>
        </w:tc>
        <w:tc>
          <w:tcPr>
            <w:tcW w:w="800" w:type="dxa"/>
            <w:vAlign w:val="bottom"/>
            <w:vMerge w:val="continue"/>
            <w:shd w:val="clear" w:color="auto" w:fill="9DB8D2"/>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900" w:type="dxa"/>
            <w:vAlign w:val="bottom"/>
            <w:tcBorders>
              <w:bottom w:val="single" w:sz="8" w:color="9DB8D2"/>
            </w:tcBorders>
            <w:shd w:val="clear" w:color="auto" w:fill="9DB8D2"/>
          </w:tcPr>
          <w:p>
            <w:pPr>
              <w:spacing w:after="0"/>
              <w:rPr>
                <w:sz w:val="7"/>
                <w:szCs w:val="7"/>
                <w:color w:val="auto"/>
              </w:rPr>
            </w:pPr>
          </w:p>
        </w:tc>
        <w:tc>
          <w:tcPr>
            <w:tcW w:w="120" w:type="dxa"/>
            <w:vAlign w:val="bottom"/>
            <w:tcBorders>
              <w:bottom w:val="single" w:sz="8" w:color="9DB8D2"/>
            </w:tcBorders>
            <w:shd w:val="clear" w:color="auto" w:fill="9DB8D2"/>
          </w:tcPr>
          <w:p>
            <w:pPr>
              <w:spacing w:after="0"/>
              <w:rPr>
                <w:sz w:val="7"/>
                <w:szCs w:val="7"/>
                <w:color w:val="auto"/>
              </w:rPr>
            </w:pPr>
          </w:p>
        </w:tc>
        <w:tc>
          <w:tcPr>
            <w:tcW w:w="580" w:type="dxa"/>
            <w:vAlign w:val="bottom"/>
            <w:tcBorders>
              <w:bottom w:val="single" w:sz="8" w:color="9DB8D2"/>
            </w:tcBorders>
            <w:shd w:val="clear" w:color="auto" w:fill="9DB8D2"/>
          </w:tcPr>
          <w:p>
            <w:pPr>
              <w:spacing w:after="0"/>
              <w:rPr>
                <w:sz w:val="7"/>
                <w:szCs w:val="7"/>
                <w:color w:val="auto"/>
              </w:rPr>
            </w:pPr>
          </w:p>
        </w:tc>
        <w:tc>
          <w:tcPr>
            <w:tcW w:w="120" w:type="dxa"/>
            <w:vAlign w:val="bottom"/>
            <w:tcBorders>
              <w:bottom w:val="single" w:sz="8" w:color="9DB8D2"/>
            </w:tcBorders>
            <w:shd w:val="clear" w:color="auto" w:fill="9DB8D2"/>
          </w:tcPr>
          <w:p>
            <w:pPr>
              <w:spacing w:after="0"/>
              <w:rPr>
                <w:sz w:val="7"/>
                <w:szCs w:val="7"/>
                <w:color w:val="auto"/>
              </w:rPr>
            </w:pPr>
          </w:p>
        </w:tc>
        <w:tc>
          <w:tcPr>
            <w:tcW w:w="640" w:type="dxa"/>
            <w:vAlign w:val="bottom"/>
            <w:tcBorders>
              <w:bottom w:val="single" w:sz="8" w:color="auto"/>
            </w:tcBorders>
            <w:shd w:val="clear" w:color="auto" w:fill="9DB8D2"/>
          </w:tcPr>
          <w:p>
            <w:pPr>
              <w:spacing w:after="0"/>
              <w:rPr>
                <w:sz w:val="7"/>
                <w:szCs w:val="7"/>
                <w:color w:val="auto"/>
              </w:rPr>
            </w:pPr>
          </w:p>
        </w:tc>
        <w:tc>
          <w:tcPr>
            <w:tcW w:w="940" w:type="dxa"/>
            <w:vAlign w:val="bottom"/>
            <w:tcBorders>
              <w:bottom w:val="single" w:sz="8" w:color="auto"/>
            </w:tcBorders>
            <w:vMerge w:val="continue"/>
            <w:shd w:val="clear" w:color="auto" w:fill="9DB8D2"/>
          </w:tcPr>
          <w:p>
            <w:pPr>
              <w:spacing w:after="0"/>
              <w:rPr>
                <w:sz w:val="7"/>
                <w:szCs w:val="7"/>
                <w:color w:val="auto"/>
              </w:rPr>
            </w:pPr>
          </w:p>
        </w:tc>
        <w:tc>
          <w:tcPr>
            <w:tcW w:w="660" w:type="dxa"/>
            <w:vAlign w:val="bottom"/>
            <w:tcBorders>
              <w:bottom w:val="single" w:sz="8" w:color="auto"/>
            </w:tcBorders>
            <w:shd w:val="clear" w:color="auto" w:fill="9DB8D2"/>
          </w:tcPr>
          <w:p>
            <w:pPr>
              <w:spacing w:after="0"/>
              <w:rPr>
                <w:sz w:val="7"/>
                <w:szCs w:val="7"/>
                <w:color w:val="auto"/>
              </w:rPr>
            </w:pPr>
          </w:p>
        </w:tc>
        <w:tc>
          <w:tcPr>
            <w:tcW w:w="120" w:type="dxa"/>
            <w:vAlign w:val="bottom"/>
            <w:tcBorders>
              <w:bottom w:val="single" w:sz="8" w:color="9DB8D2"/>
            </w:tcBorders>
            <w:shd w:val="clear" w:color="auto" w:fill="9DB8D2"/>
          </w:tcPr>
          <w:p>
            <w:pPr>
              <w:spacing w:after="0"/>
              <w:rPr>
                <w:sz w:val="7"/>
                <w:szCs w:val="7"/>
                <w:color w:val="auto"/>
              </w:rPr>
            </w:pPr>
          </w:p>
        </w:tc>
        <w:tc>
          <w:tcPr>
            <w:tcW w:w="1940" w:type="dxa"/>
            <w:vAlign w:val="bottom"/>
            <w:tcBorders>
              <w:bottom w:val="single" w:sz="8" w:color="auto"/>
            </w:tcBorders>
            <w:gridSpan w:val="3"/>
            <w:vMerge w:val="continue"/>
            <w:shd w:val="clear" w:color="auto" w:fill="9DB8D2"/>
          </w:tcPr>
          <w:p>
            <w:pPr>
              <w:spacing w:after="0"/>
              <w:rPr>
                <w:sz w:val="7"/>
                <w:szCs w:val="7"/>
                <w:color w:val="auto"/>
              </w:rPr>
            </w:pPr>
          </w:p>
        </w:tc>
        <w:tc>
          <w:tcPr>
            <w:tcW w:w="120" w:type="dxa"/>
            <w:vAlign w:val="bottom"/>
            <w:tcBorders>
              <w:bottom w:val="single" w:sz="8" w:color="9DB8D2"/>
            </w:tcBorders>
            <w:shd w:val="clear" w:color="auto" w:fill="9DB8D2"/>
          </w:tcPr>
          <w:p>
            <w:pPr>
              <w:spacing w:after="0"/>
              <w:rPr>
                <w:sz w:val="7"/>
                <w:szCs w:val="7"/>
                <w:color w:val="auto"/>
              </w:rPr>
            </w:pPr>
          </w:p>
        </w:tc>
        <w:tc>
          <w:tcPr>
            <w:tcW w:w="640" w:type="dxa"/>
            <w:vAlign w:val="bottom"/>
            <w:tcBorders>
              <w:bottom w:val="single" w:sz="8" w:color="9DB8D2"/>
            </w:tcBorders>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of Stock</w:t>
            </w:r>
          </w:p>
        </w:tc>
        <w:tc>
          <w:tcPr>
            <w:tcW w:w="780" w:type="dxa"/>
            <w:vAlign w:val="bottom"/>
            <w:tcBorders>
              <w:bottom w:val="single" w:sz="8" w:color="9DB8D2"/>
            </w:tcBorders>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660" w:type="dxa"/>
            <w:vAlign w:val="bottom"/>
            <w:tcBorders>
              <w:bottom w:val="single" w:sz="8" w:color="9DB8D2"/>
            </w:tcBorders>
            <w:vMerge w:val="restart"/>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rPr>
              <w:t>Option</w:t>
            </w:r>
          </w:p>
        </w:tc>
        <w:tc>
          <w:tcPr>
            <w:tcW w:w="800" w:type="dxa"/>
            <w:vAlign w:val="bottom"/>
            <w:tcBorders>
              <w:bottom w:val="single" w:sz="8" w:color="9DB8D2"/>
            </w:tcBorders>
            <w:vMerge w:val="restart"/>
            <w:shd w:val="clear" w:color="auto" w:fill="9DB8D2"/>
          </w:tcPr>
          <w:p>
            <w:pPr>
              <w:jc w:val="center"/>
              <w:ind w:right="11"/>
              <w:spacing w:after="0" w:line="135"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24"/>
        </w:trPr>
        <w:tc>
          <w:tcPr>
            <w:tcW w:w="2900" w:type="dxa"/>
            <w:vAlign w:val="bottom"/>
            <w:vMerge w:val="restart"/>
            <w:shd w:val="clear" w:color="auto" w:fill="9DB8D2"/>
          </w:tcPr>
          <w:p>
            <w:pPr>
              <w:ind w:left="60"/>
              <w:spacing w:after="0"/>
              <w:rPr>
                <w:sz w:val="20"/>
                <w:szCs w:val="20"/>
                <w:color w:val="auto"/>
              </w:rPr>
            </w:pPr>
            <w:r>
              <w:rPr>
                <w:rFonts w:ascii="Arial" w:cs="Arial" w:eastAsia="Arial" w:hAnsi="Arial"/>
                <w:sz w:val="13"/>
                <w:szCs w:val="13"/>
                <w:b w:val="1"/>
                <w:bCs w:val="1"/>
                <w:color w:val="auto"/>
              </w:rPr>
              <w:t>Name &amp;</w:t>
            </w:r>
          </w:p>
        </w:tc>
        <w:tc>
          <w:tcPr>
            <w:tcW w:w="120" w:type="dxa"/>
            <w:vAlign w:val="bottom"/>
            <w:shd w:val="clear" w:color="auto" w:fill="9DB8D2"/>
          </w:tcPr>
          <w:p>
            <w:pPr>
              <w:spacing w:after="0"/>
              <w:rPr>
                <w:sz w:val="2"/>
                <w:szCs w:val="2"/>
                <w:color w:val="auto"/>
              </w:rPr>
            </w:pPr>
          </w:p>
        </w:tc>
        <w:tc>
          <w:tcPr>
            <w:tcW w:w="58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7"/>
              </w:rPr>
              <w:t>Grant</w:t>
            </w:r>
          </w:p>
        </w:tc>
        <w:tc>
          <w:tcPr>
            <w:tcW w:w="760" w:type="dxa"/>
            <w:vAlign w:val="bottom"/>
            <w:gridSpan w:val="2"/>
            <w:vMerge w:val="restart"/>
            <w:shd w:val="clear" w:color="auto" w:fill="9DB8D2"/>
          </w:tcPr>
          <w:p>
            <w:pPr>
              <w:jc w:val="right"/>
              <w:spacing w:after="0"/>
              <w:rPr>
                <w:sz w:val="20"/>
                <w:szCs w:val="20"/>
                <w:color w:val="auto"/>
              </w:rPr>
            </w:pPr>
            <w:r>
              <w:rPr>
                <w:rFonts w:ascii="Arial" w:cs="Arial" w:eastAsia="Arial" w:hAnsi="Arial"/>
                <w:sz w:val="13"/>
                <w:szCs w:val="13"/>
                <w:b w:val="1"/>
                <w:bCs w:val="1"/>
                <w:color w:val="auto"/>
              </w:rPr>
              <w:t>Threshold</w:t>
            </w:r>
          </w:p>
        </w:tc>
        <w:tc>
          <w:tcPr>
            <w:tcW w:w="94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0"/>
              </w:rPr>
              <w:t>Target</w:t>
            </w:r>
          </w:p>
        </w:tc>
        <w:tc>
          <w:tcPr>
            <w:tcW w:w="660" w:type="dxa"/>
            <w:vAlign w:val="bottom"/>
            <w:vMerge w:val="restart"/>
            <w:shd w:val="clear" w:color="auto" w:fill="9DB8D2"/>
          </w:tcPr>
          <w:p>
            <w:pPr>
              <w:jc w:val="right"/>
              <w:spacing w:after="0"/>
              <w:rPr>
                <w:sz w:val="20"/>
                <w:szCs w:val="20"/>
                <w:color w:val="auto"/>
              </w:rPr>
            </w:pPr>
            <w:r>
              <w:rPr>
                <w:rFonts w:ascii="Arial" w:cs="Arial" w:eastAsia="Arial" w:hAnsi="Arial"/>
                <w:sz w:val="13"/>
                <w:szCs w:val="13"/>
                <w:b w:val="1"/>
                <w:bCs w:val="1"/>
                <w:color w:val="auto"/>
                <w:w w:val="96"/>
              </w:rPr>
              <w:t>Maximum</w:t>
            </w:r>
          </w:p>
        </w:tc>
        <w:tc>
          <w:tcPr>
            <w:tcW w:w="820" w:type="dxa"/>
            <w:vAlign w:val="bottom"/>
            <w:gridSpan w:val="2"/>
            <w:vMerge w:val="restart"/>
            <w:shd w:val="clear" w:color="auto" w:fill="9DB8D2"/>
          </w:tcPr>
          <w:p>
            <w:pPr>
              <w:jc w:val="right"/>
              <w:ind w:right="30"/>
              <w:spacing w:after="0"/>
              <w:rPr>
                <w:sz w:val="20"/>
                <w:szCs w:val="20"/>
                <w:color w:val="auto"/>
              </w:rPr>
            </w:pPr>
            <w:r>
              <w:rPr>
                <w:rFonts w:ascii="Arial" w:cs="Arial" w:eastAsia="Arial" w:hAnsi="Arial"/>
                <w:sz w:val="13"/>
                <w:szCs w:val="13"/>
                <w:b w:val="1"/>
                <w:bCs w:val="1"/>
                <w:color w:val="auto"/>
              </w:rPr>
              <w:t>Threshold</w:t>
            </w:r>
          </w:p>
        </w:tc>
        <w:tc>
          <w:tcPr>
            <w:tcW w:w="58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0"/>
              </w:rPr>
              <w:t>Target</w:t>
            </w:r>
          </w:p>
        </w:tc>
        <w:tc>
          <w:tcPr>
            <w:tcW w:w="660" w:type="dxa"/>
            <w:vAlign w:val="bottom"/>
            <w:vMerge w:val="restart"/>
            <w:shd w:val="clear" w:color="auto" w:fill="9DB8D2"/>
          </w:tcPr>
          <w:p>
            <w:pPr>
              <w:jc w:val="right"/>
              <w:spacing w:after="0"/>
              <w:rPr>
                <w:sz w:val="20"/>
                <w:szCs w:val="20"/>
                <w:color w:val="auto"/>
              </w:rPr>
            </w:pPr>
            <w:r>
              <w:rPr>
                <w:rFonts w:ascii="Arial" w:cs="Arial" w:eastAsia="Arial" w:hAnsi="Arial"/>
                <w:sz w:val="13"/>
                <w:szCs w:val="13"/>
                <w:b w:val="1"/>
                <w:bCs w:val="1"/>
                <w:color w:val="auto"/>
              </w:rPr>
              <w:t>Maximum</w:t>
            </w:r>
          </w:p>
        </w:tc>
        <w:tc>
          <w:tcPr>
            <w:tcW w:w="120" w:type="dxa"/>
            <w:vAlign w:val="bottom"/>
            <w:shd w:val="clear" w:color="auto" w:fill="9DB8D2"/>
          </w:tcPr>
          <w:p>
            <w:pPr>
              <w:spacing w:after="0"/>
              <w:rPr>
                <w:sz w:val="2"/>
                <w:szCs w:val="2"/>
                <w:color w:val="auto"/>
              </w:rPr>
            </w:pPr>
          </w:p>
        </w:tc>
        <w:tc>
          <w:tcPr>
            <w:tcW w:w="640" w:type="dxa"/>
            <w:vAlign w:val="bottom"/>
            <w:vMerge w:val="continue"/>
            <w:shd w:val="clear" w:color="auto" w:fill="9DB8D2"/>
          </w:tcPr>
          <w:p>
            <w:pPr>
              <w:spacing w:after="0"/>
              <w:rPr>
                <w:sz w:val="2"/>
                <w:szCs w:val="2"/>
                <w:color w:val="auto"/>
              </w:rPr>
            </w:pPr>
          </w:p>
        </w:tc>
        <w:tc>
          <w:tcPr>
            <w:tcW w:w="780" w:type="dxa"/>
            <w:vAlign w:val="bottom"/>
            <w:vMerge w:val="continue"/>
            <w:shd w:val="clear" w:color="auto" w:fill="9DB8D2"/>
          </w:tcPr>
          <w:p>
            <w:pPr>
              <w:spacing w:after="0"/>
              <w:rPr>
                <w:sz w:val="2"/>
                <w:szCs w:val="2"/>
                <w:color w:val="auto"/>
              </w:rPr>
            </w:pPr>
          </w:p>
        </w:tc>
        <w:tc>
          <w:tcPr>
            <w:tcW w:w="660" w:type="dxa"/>
            <w:vAlign w:val="bottom"/>
            <w:vMerge w:val="continue"/>
            <w:shd w:val="clear" w:color="auto" w:fill="9DB8D2"/>
          </w:tcPr>
          <w:p>
            <w:pPr>
              <w:spacing w:after="0"/>
              <w:rPr>
                <w:sz w:val="2"/>
                <w:szCs w:val="2"/>
                <w:color w:val="auto"/>
              </w:rPr>
            </w:pPr>
          </w:p>
        </w:tc>
        <w:tc>
          <w:tcPr>
            <w:tcW w:w="800" w:type="dxa"/>
            <w:vAlign w:val="bottom"/>
            <w:vMerge w:val="continue"/>
            <w:shd w:val="clear" w:color="auto" w:fill="9DB8D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00" w:type="dxa"/>
            <w:vAlign w:val="bottom"/>
            <w:vMerge w:val="continue"/>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580" w:type="dxa"/>
            <w:vAlign w:val="bottom"/>
            <w:vMerge w:val="continue"/>
            <w:shd w:val="clear" w:color="auto" w:fill="9DB8D2"/>
          </w:tcPr>
          <w:p>
            <w:pPr>
              <w:spacing w:after="0"/>
              <w:rPr>
                <w:sz w:val="11"/>
                <w:szCs w:val="11"/>
                <w:color w:val="auto"/>
              </w:rPr>
            </w:pPr>
          </w:p>
        </w:tc>
        <w:tc>
          <w:tcPr>
            <w:tcW w:w="760" w:type="dxa"/>
            <w:vAlign w:val="bottom"/>
            <w:gridSpan w:val="2"/>
            <w:vMerge w:val="continue"/>
            <w:shd w:val="clear" w:color="auto" w:fill="9DB8D2"/>
          </w:tcPr>
          <w:p>
            <w:pPr>
              <w:spacing w:after="0"/>
              <w:rPr>
                <w:sz w:val="11"/>
                <w:szCs w:val="11"/>
                <w:color w:val="auto"/>
              </w:rPr>
            </w:pPr>
          </w:p>
        </w:tc>
        <w:tc>
          <w:tcPr>
            <w:tcW w:w="940" w:type="dxa"/>
            <w:vAlign w:val="bottom"/>
            <w:vMerge w:val="continue"/>
            <w:shd w:val="clear" w:color="auto" w:fill="9DB8D2"/>
          </w:tcPr>
          <w:p>
            <w:pPr>
              <w:spacing w:after="0"/>
              <w:rPr>
                <w:sz w:val="11"/>
                <w:szCs w:val="11"/>
                <w:color w:val="auto"/>
              </w:rPr>
            </w:pPr>
          </w:p>
        </w:tc>
        <w:tc>
          <w:tcPr>
            <w:tcW w:w="660" w:type="dxa"/>
            <w:vAlign w:val="bottom"/>
            <w:vMerge w:val="continue"/>
            <w:shd w:val="clear" w:color="auto" w:fill="9DB8D2"/>
          </w:tcPr>
          <w:p>
            <w:pPr>
              <w:spacing w:after="0"/>
              <w:rPr>
                <w:sz w:val="11"/>
                <w:szCs w:val="11"/>
                <w:color w:val="auto"/>
              </w:rPr>
            </w:pPr>
          </w:p>
        </w:tc>
        <w:tc>
          <w:tcPr>
            <w:tcW w:w="820" w:type="dxa"/>
            <w:vAlign w:val="bottom"/>
            <w:gridSpan w:val="2"/>
            <w:vMerge w:val="continue"/>
            <w:shd w:val="clear" w:color="auto" w:fill="9DB8D2"/>
          </w:tcPr>
          <w:p>
            <w:pPr>
              <w:spacing w:after="0"/>
              <w:rPr>
                <w:sz w:val="11"/>
                <w:szCs w:val="11"/>
                <w:color w:val="auto"/>
              </w:rPr>
            </w:pPr>
          </w:p>
        </w:tc>
        <w:tc>
          <w:tcPr>
            <w:tcW w:w="580" w:type="dxa"/>
            <w:vAlign w:val="bottom"/>
            <w:vMerge w:val="continue"/>
            <w:shd w:val="clear" w:color="auto" w:fill="9DB8D2"/>
          </w:tcPr>
          <w:p>
            <w:pPr>
              <w:spacing w:after="0"/>
              <w:rPr>
                <w:sz w:val="11"/>
                <w:szCs w:val="11"/>
                <w:color w:val="auto"/>
              </w:rPr>
            </w:pPr>
          </w:p>
        </w:tc>
        <w:tc>
          <w:tcPr>
            <w:tcW w:w="660" w:type="dxa"/>
            <w:vAlign w:val="bottom"/>
            <w:vMerge w:val="continue"/>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64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3"/>
              </w:rPr>
              <w:t>or Units</w:t>
            </w:r>
          </w:p>
        </w:tc>
        <w:tc>
          <w:tcPr>
            <w:tcW w:w="78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66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800" w:type="dxa"/>
            <w:vAlign w:val="bottom"/>
            <w:shd w:val="clear" w:color="auto" w:fill="9DB8D2"/>
          </w:tcPr>
          <w:p>
            <w:pPr>
              <w:jc w:val="center"/>
              <w:ind w:right="11"/>
              <w:spacing w:after="0" w:line="135"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73"/>
        </w:trPr>
        <w:tc>
          <w:tcPr>
            <w:tcW w:w="290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3"/>
                <w:szCs w:val="13"/>
                <w:b w:val="1"/>
                <w:bCs w:val="1"/>
                <w:color w:val="auto"/>
              </w:rPr>
              <w:t>Principal Position</w:t>
            </w:r>
          </w:p>
        </w:tc>
        <w:tc>
          <w:tcPr>
            <w:tcW w:w="120" w:type="dxa"/>
            <w:vAlign w:val="bottom"/>
            <w:tcBorders>
              <w:bottom w:val="single" w:sz="8" w:color="auto"/>
            </w:tcBorders>
            <w:shd w:val="clear" w:color="auto" w:fill="9DB8D2"/>
          </w:tcPr>
          <w:p>
            <w:pPr>
              <w:spacing w:after="0"/>
              <w:rPr>
                <w:sz w:val="15"/>
                <w:szCs w:val="15"/>
                <w:color w:val="auto"/>
              </w:rPr>
            </w:pPr>
          </w:p>
        </w:tc>
        <w:tc>
          <w:tcPr>
            <w:tcW w:w="5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9"/>
              </w:rPr>
              <w:t>Date</w:t>
            </w:r>
          </w:p>
        </w:tc>
        <w:tc>
          <w:tcPr>
            <w:tcW w:w="760" w:type="dxa"/>
            <w:vAlign w:val="bottom"/>
            <w:tcBorders>
              <w:bottom w:val="single" w:sz="8" w:color="auto"/>
            </w:tcBorders>
            <w:gridSpan w:val="2"/>
            <w:shd w:val="clear" w:color="auto" w:fill="9DB8D2"/>
          </w:tcPr>
          <w:p>
            <w:pPr>
              <w:jc w:val="right"/>
              <w:ind w:right="189"/>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9DB8D2"/>
          </w:tcPr>
          <w:p>
            <w:pPr>
              <w:jc w:val="right"/>
              <w:ind w:right="209"/>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gridSpan w:val="2"/>
            <w:shd w:val="clear" w:color="auto" w:fill="9DB8D2"/>
          </w:tcPr>
          <w:p>
            <w:pPr>
              <w:jc w:val="right"/>
              <w:ind w:right="25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9DB8D2"/>
          </w:tcPr>
          <w:p>
            <w:pPr>
              <w:jc w:val="right"/>
              <w:ind w:right="149"/>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shd w:val="clear" w:color="auto" w:fill="9DB8D2"/>
          </w:tcPr>
          <w:p>
            <w:pPr>
              <w:spacing w:after="0"/>
              <w:rPr>
                <w:sz w:val="15"/>
                <w:szCs w:val="15"/>
                <w:color w:val="auto"/>
              </w:rPr>
            </w:pPr>
          </w:p>
        </w:tc>
        <w:tc>
          <w:tcPr>
            <w:tcW w:w="64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4"/>
              </w:rPr>
              <w:t>(#)(3)</w:t>
            </w:r>
          </w:p>
        </w:tc>
        <w:tc>
          <w:tcPr>
            <w:tcW w:w="7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4"/>
              </w:rPr>
              <w:t>(#)(4)</w:t>
            </w:r>
          </w:p>
        </w:tc>
        <w:tc>
          <w:tcPr>
            <w:tcW w:w="6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4"/>
              </w:rPr>
              <w:t>($/Sh)</w:t>
            </w:r>
          </w:p>
        </w:tc>
        <w:tc>
          <w:tcPr>
            <w:tcW w:w="800" w:type="dxa"/>
            <w:vAlign w:val="bottom"/>
            <w:tcBorders>
              <w:bottom w:val="single" w:sz="8" w:color="auto"/>
            </w:tcBorders>
            <w:shd w:val="clear" w:color="auto" w:fill="9DB8D2"/>
          </w:tcPr>
          <w:p>
            <w:pPr>
              <w:jc w:val="center"/>
              <w:ind w:right="11"/>
              <w:spacing w:after="0"/>
              <w:rPr>
                <w:sz w:val="20"/>
                <w:szCs w:val="20"/>
                <w:color w:val="auto"/>
              </w:rPr>
            </w:pPr>
            <w:r>
              <w:rPr>
                <w:rFonts w:ascii="Arial" w:cs="Arial" w:eastAsia="Arial" w:hAnsi="Arial"/>
                <w:sz w:val="13"/>
                <w:szCs w:val="13"/>
                <w:b w:val="1"/>
                <w:bCs w:val="1"/>
                <w:color w:val="auto"/>
              </w:rPr>
              <w:t>($)(5)</w:t>
            </w:r>
          </w:p>
        </w:tc>
        <w:tc>
          <w:tcPr>
            <w:tcW w:w="0" w:type="dxa"/>
            <w:vAlign w:val="bottom"/>
          </w:tcPr>
          <w:p>
            <w:pPr>
              <w:spacing w:after="0"/>
              <w:rPr>
                <w:sz w:val="1"/>
                <w:szCs w:val="1"/>
                <w:color w:val="auto"/>
              </w:rPr>
            </w:pPr>
          </w:p>
        </w:tc>
      </w:tr>
      <w:tr>
        <w:trPr>
          <w:trHeight w:val="156"/>
        </w:trPr>
        <w:tc>
          <w:tcPr>
            <w:tcW w:w="2900" w:type="dxa"/>
            <w:vAlign w:val="bottom"/>
            <w:shd w:val="clear" w:color="auto" w:fill="E6EDF3"/>
          </w:tcPr>
          <w:p>
            <w:pPr>
              <w:ind w:left="60"/>
              <w:spacing w:after="0" w:line="155" w:lineRule="exact"/>
              <w:rPr>
                <w:sz w:val="20"/>
                <w:szCs w:val="20"/>
                <w:color w:val="auto"/>
              </w:rPr>
            </w:pPr>
            <w:r>
              <w:rPr>
                <w:rFonts w:ascii="Arial" w:cs="Arial" w:eastAsia="Arial" w:hAnsi="Arial"/>
                <w:sz w:val="14"/>
                <w:szCs w:val="14"/>
                <w:color w:val="auto"/>
              </w:rPr>
              <w:t>Jonas Prising</w:t>
            </w:r>
          </w:p>
        </w:tc>
        <w:tc>
          <w:tcPr>
            <w:tcW w:w="700" w:type="dxa"/>
            <w:vAlign w:val="bottom"/>
            <w:gridSpan w:val="2"/>
            <w:shd w:val="clear" w:color="auto" w:fill="E6EDF3"/>
          </w:tcPr>
          <w:p>
            <w:pPr>
              <w:jc w:val="center"/>
              <w:ind w:left="48"/>
              <w:spacing w:after="0" w:line="155" w:lineRule="exact"/>
              <w:rPr>
                <w:sz w:val="20"/>
                <w:szCs w:val="20"/>
                <w:color w:val="auto"/>
              </w:rPr>
            </w:pPr>
            <w:r>
              <w:rPr>
                <w:rFonts w:ascii="Arial" w:cs="Arial" w:eastAsia="Arial" w:hAnsi="Arial"/>
                <w:sz w:val="14"/>
                <w:szCs w:val="14"/>
                <w:color w:val="auto"/>
              </w:rPr>
              <w:t>2/9/2017</w:t>
            </w:r>
          </w:p>
        </w:tc>
        <w:tc>
          <w:tcPr>
            <w:tcW w:w="760" w:type="dxa"/>
            <w:vAlign w:val="bottom"/>
            <w:gridSpan w:val="2"/>
            <w:shd w:val="clear" w:color="auto" w:fill="E6EDF3"/>
          </w:tcPr>
          <w:p>
            <w:pPr>
              <w:jc w:val="right"/>
              <w:spacing w:after="0" w:line="155" w:lineRule="exact"/>
              <w:rPr>
                <w:sz w:val="20"/>
                <w:szCs w:val="20"/>
                <w:color w:val="auto"/>
              </w:rPr>
            </w:pPr>
            <w:r>
              <w:rPr>
                <w:rFonts w:ascii="Arial" w:cs="Arial" w:eastAsia="Arial" w:hAnsi="Arial"/>
                <w:sz w:val="14"/>
                <w:szCs w:val="14"/>
                <w:color w:val="auto"/>
              </w:rPr>
              <w:t>468,750</w:t>
            </w:r>
          </w:p>
        </w:tc>
        <w:tc>
          <w:tcPr>
            <w:tcW w:w="940" w:type="dxa"/>
            <w:vAlign w:val="bottom"/>
            <w:shd w:val="clear" w:color="auto" w:fill="E6EDF3"/>
          </w:tcPr>
          <w:p>
            <w:pPr>
              <w:jc w:val="right"/>
              <w:ind w:right="89"/>
              <w:spacing w:after="0" w:line="155" w:lineRule="exact"/>
              <w:rPr>
                <w:sz w:val="20"/>
                <w:szCs w:val="20"/>
                <w:color w:val="auto"/>
              </w:rPr>
            </w:pPr>
            <w:r>
              <w:rPr>
                <w:rFonts w:ascii="Arial" w:cs="Arial" w:eastAsia="Arial" w:hAnsi="Arial"/>
                <w:sz w:val="14"/>
                <w:szCs w:val="14"/>
                <w:color w:val="auto"/>
              </w:rPr>
              <w:t>1,875,000</w:t>
            </w:r>
          </w:p>
        </w:tc>
        <w:tc>
          <w:tcPr>
            <w:tcW w:w="66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3,750,000</w:t>
            </w:r>
          </w:p>
        </w:tc>
        <w:tc>
          <w:tcPr>
            <w:tcW w:w="120" w:type="dxa"/>
            <w:vAlign w:val="bottom"/>
            <w:shd w:val="clear" w:color="auto" w:fill="E6EDF3"/>
          </w:tcPr>
          <w:p>
            <w:pPr>
              <w:spacing w:after="0"/>
              <w:rPr>
                <w:sz w:val="13"/>
                <w:szCs w:val="13"/>
                <w:color w:val="auto"/>
              </w:rPr>
            </w:pPr>
          </w:p>
        </w:tc>
        <w:tc>
          <w:tcPr>
            <w:tcW w:w="700" w:type="dxa"/>
            <w:vAlign w:val="bottom"/>
            <w:shd w:val="clear" w:color="auto" w:fill="E6EDF3"/>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E6EDF3"/>
          </w:tcPr>
          <w:p>
            <w:pPr>
              <w:spacing w:after="0"/>
              <w:rPr>
                <w:sz w:val="13"/>
                <w:szCs w:val="13"/>
                <w:color w:val="auto"/>
              </w:rPr>
            </w:pPr>
          </w:p>
        </w:tc>
        <w:tc>
          <w:tcPr>
            <w:tcW w:w="64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00" w:type="dxa"/>
            <w:vAlign w:val="bottom"/>
            <w:shd w:val="clear" w:color="auto" w:fill="E6EDF3"/>
          </w:tcPr>
          <w:p>
            <w:pPr>
              <w:ind w:left="140"/>
              <w:spacing w:after="0"/>
              <w:rPr>
                <w:sz w:val="20"/>
                <w:szCs w:val="20"/>
                <w:color w:val="auto"/>
              </w:rPr>
            </w:pPr>
            <w:r>
              <w:rPr>
                <w:rFonts w:ascii="Arial" w:cs="Arial" w:eastAsia="Arial" w:hAnsi="Arial"/>
                <w:sz w:val="14"/>
                <w:szCs w:val="14"/>
                <w:i w:val="1"/>
                <w:iCs w:val="1"/>
                <w:color w:val="auto"/>
              </w:rPr>
              <w:t>CEO</w:t>
            </w:r>
          </w:p>
        </w:tc>
        <w:tc>
          <w:tcPr>
            <w:tcW w:w="120" w:type="dxa"/>
            <w:vAlign w:val="bottom"/>
            <w:shd w:val="clear" w:color="auto" w:fill="E6EDF3"/>
          </w:tcPr>
          <w:p>
            <w:pPr>
              <w:spacing w:after="0"/>
              <w:rPr>
                <w:sz w:val="14"/>
                <w:szCs w:val="14"/>
                <w:color w:val="auto"/>
              </w:rPr>
            </w:pPr>
          </w:p>
        </w:tc>
        <w:tc>
          <w:tcPr>
            <w:tcW w:w="580" w:type="dxa"/>
            <w:vAlign w:val="bottom"/>
            <w:shd w:val="clear" w:color="auto" w:fill="E6EDF3"/>
          </w:tcPr>
          <w:p>
            <w:pPr>
              <w:jc w:val="center"/>
              <w:spacing w:after="0"/>
              <w:rPr>
                <w:sz w:val="20"/>
                <w:szCs w:val="20"/>
                <w:color w:val="auto"/>
              </w:rPr>
            </w:pPr>
            <w:r>
              <w:rPr>
                <w:rFonts w:ascii="Arial" w:cs="Arial" w:eastAsia="Arial" w:hAnsi="Arial"/>
                <w:sz w:val="14"/>
                <w:szCs w:val="14"/>
                <w:color w:val="auto"/>
              </w:rPr>
              <w:t>2/9/2017</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6EDF3"/>
          </w:tcPr>
          <w:p>
            <w:pPr>
              <w:jc w:val="right"/>
              <w:ind w:right="10"/>
              <w:spacing w:after="0"/>
              <w:rPr>
                <w:sz w:val="20"/>
                <w:szCs w:val="20"/>
                <w:color w:val="auto"/>
              </w:rPr>
            </w:pPr>
            <w:r>
              <w:rPr>
                <w:rFonts w:ascii="Arial" w:cs="Arial" w:eastAsia="Arial" w:hAnsi="Arial"/>
                <w:sz w:val="14"/>
                <w:szCs w:val="14"/>
                <w:color w:val="auto"/>
              </w:rPr>
              <w:t>26,151</w:t>
            </w:r>
          </w:p>
        </w:tc>
        <w:tc>
          <w:tcPr>
            <w:tcW w:w="5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52,301</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104,602</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1"/>
              <w:spacing w:after="0"/>
              <w:rPr>
                <w:sz w:val="20"/>
                <w:szCs w:val="20"/>
                <w:color w:val="auto"/>
              </w:rPr>
            </w:pPr>
            <w:r>
              <w:rPr>
                <w:rFonts w:ascii="Arial" w:cs="Arial" w:eastAsia="Arial" w:hAnsi="Arial"/>
                <w:sz w:val="14"/>
                <w:szCs w:val="14"/>
                <w:color w:val="auto"/>
              </w:rPr>
              <w:t>5,070,059</w:t>
            </w:r>
          </w:p>
        </w:tc>
        <w:tc>
          <w:tcPr>
            <w:tcW w:w="0" w:type="dxa"/>
            <w:vAlign w:val="bottom"/>
          </w:tcPr>
          <w:p>
            <w:pPr>
              <w:spacing w:after="0"/>
              <w:rPr>
                <w:sz w:val="1"/>
                <w:szCs w:val="1"/>
                <w:color w:val="auto"/>
              </w:rPr>
            </w:pPr>
          </w:p>
        </w:tc>
      </w:tr>
      <w:tr>
        <w:trPr>
          <w:trHeight w:val="162"/>
        </w:trPr>
        <w:tc>
          <w:tcPr>
            <w:tcW w:w="2900" w:type="dxa"/>
            <w:vAlign w:val="bottom"/>
            <w:shd w:val="clear" w:color="auto" w:fill="E6EDF3"/>
          </w:tcPr>
          <w:p>
            <w:pPr>
              <w:spacing w:after="0"/>
              <w:rPr>
                <w:sz w:val="14"/>
                <w:szCs w:val="14"/>
                <w:color w:val="auto"/>
              </w:rPr>
            </w:pPr>
          </w:p>
        </w:tc>
        <w:tc>
          <w:tcPr>
            <w:tcW w:w="120" w:type="dxa"/>
            <w:vAlign w:val="bottom"/>
            <w:shd w:val="clear" w:color="auto" w:fill="E6EDF3"/>
          </w:tcPr>
          <w:p>
            <w:pPr>
              <w:spacing w:after="0"/>
              <w:rPr>
                <w:sz w:val="14"/>
                <w:szCs w:val="14"/>
                <w:color w:val="auto"/>
              </w:rPr>
            </w:pPr>
          </w:p>
        </w:tc>
        <w:tc>
          <w:tcPr>
            <w:tcW w:w="580" w:type="dxa"/>
            <w:vAlign w:val="bottom"/>
            <w:shd w:val="clear" w:color="auto" w:fill="E6EDF3"/>
          </w:tcPr>
          <w:p>
            <w:pPr>
              <w:jc w:val="center"/>
              <w:spacing w:after="0"/>
              <w:rPr>
                <w:sz w:val="20"/>
                <w:szCs w:val="20"/>
                <w:color w:val="auto"/>
              </w:rPr>
            </w:pPr>
            <w:r>
              <w:rPr>
                <w:rFonts w:ascii="Arial" w:cs="Arial" w:eastAsia="Arial" w:hAnsi="Arial"/>
                <w:sz w:val="14"/>
                <w:szCs w:val="14"/>
                <w:color w:val="auto"/>
              </w:rPr>
              <w:t>2/9/2017</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6EDF3"/>
          </w:tcPr>
          <w:p>
            <w:pPr>
              <w:spacing w:after="0"/>
              <w:rPr>
                <w:sz w:val="14"/>
                <w:szCs w:val="14"/>
                <w:color w:val="auto"/>
              </w:rPr>
            </w:pPr>
          </w:p>
        </w:tc>
        <w:tc>
          <w:tcPr>
            <w:tcW w:w="700" w:type="dxa"/>
            <w:vAlign w:val="bottom"/>
            <w:shd w:val="clear" w:color="auto" w:fill="E6EDF3"/>
          </w:tcPr>
          <w:p>
            <w:pPr>
              <w:jc w:val="right"/>
              <w:ind w:right="10"/>
              <w:spacing w:after="0"/>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6EDF3"/>
          </w:tcPr>
          <w:p>
            <w:pPr>
              <w:jc w:val="right"/>
              <w:spacing w:after="0"/>
              <w:rPr>
                <w:sz w:val="20"/>
                <w:szCs w:val="20"/>
                <w:color w:val="auto"/>
              </w:rPr>
            </w:pPr>
            <w:r>
              <w:rPr>
                <w:rFonts w:ascii="Arial" w:cs="Arial" w:eastAsia="Arial" w:hAnsi="Arial"/>
                <w:sz w:val="14"/>
                <w:szCs w:val="14"/>
                <w:color w:val="auto"/>
              </w:rPr>
              <w:t>17,434</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1"/>
              <w:spacing w:after="0"/>
              <w:rPr>
                <w:sz w:val="20"/>
                <w:szCs w:val="20"/>
                <w:color w:val="auto"/>
              </w:rPr>
            </w:pPr>
            <w:r>
              <w:rPr>
                <w:rFonts w:ascii="Arial" w:cs="Arial" w:eastAsia="Arial" w:hAnsi="Arial"/>
                <w:sz w:val="14"/>
                <w:szCs w:val="14"/>
                <w:color w:val="auto"/>
              </w:rPr>
              <w:t>1,690,052</w:t>
            </w:r>
          </w:p>
        </w:tc>
        <w:tc>
          <w:tcPr>
            <w:tcW w:w="0" w:type="dxa"/>
            <w:vAlign w:val="bottom"/>
          </w:tcPr>
          <w:p>
            <w:pPr>
              <w:spacing w:after="0"/>
              <w:rPr>
                <w:sz w:val="1"/>
                <w:szCs w:val="1"/>
                <w:color w:val="auto"/>
              </w:rPr>
            </w:pPr>
          </w:p>
        </w:tc>
      </w:tr>
      <w:tr>
        <w:trPr>
          <w:trHeight w:val="162"/>
        </w:trPr>
        <w:tc>
          <w:tcPr>
            <w:tcW w:w="2900" w:type="dxa"/>
            <w:vAlign w:val="bottom"/>
            <w:tcBorders>
              <w:bottom w:val="single" w:sz="8" w:color="auto"/>
            </w:tcBorders>
            <w:shd w:val="clear" w:color="auto" w:fill="E6EDF3"/>
          </w:tcPr>
          <w:p>
            <w:pPr>
              <w:spacing w:after="0"/>
              <w:rPr>
                <w:sz w:val="14"/>
                <w:szCs w:val="14"/>
                <w:color w:val="auto"/>
              </w:rPr>
            </w:pPr>
          </w:p>
        </w:tc>
        <w:tc>
          <w:tcPr>
            <w:tcW w:w="120" w:type="dxa"/>
            <w:vAlign w:val="bottom"/>
            <w:tcBorders>
              <w:bottom w:val="single" w:sz="8" w:color="auto"/>
            </w:tcBorders>
            <w:shd w:val="clear" w:color="auto" w:fill="E6EDF3"/>
          </w:tcPr>
          <w:p>
            <w:pPr>
              <w:spacing w:after="0"/>
              <w:rPr>
                <w:sz w:val="14"/>
                <w:szCs w:val="14"/>
                <w:color w:val="auto"/>
              </w:rPr>
            </w:pPr>
          </w:p>
        </w:tc>
        <w:tc>
          <w:tcPr>
            <w:tcW w:w="58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4"/>
                <w:szCs w:val="14"/>
                <w:color w:val="auto"/>
              </w:rPr>
              <w:t>2/9/2017</w:t>
            </w:r>
          </w:p>
        </w:tc>
        <w:tc>
          <w:tcPr>
            <w:tcW w:w="120" w:type="dxa"/>
            <w:vAlign w:val="bottom"/>
            <w:tcBorders>
              <w:bottom w:val="single" w:sz="8" w:color="auto"/>
            </w:tcBorders>
            <w:shd w:val="clear" w:color="auto" w:fill="E6EDF3"/>
          </w:tcPr>
          <w:p>
            <w:pPr>
              <w:spacing w:after="0"/>
              <w:rPr>
                <w:sz w:val="14"/>
                <w:szCs w:val="14"/>
                <w:color w:val="auto"/>
              </w:rPr>
            </w:pPr>
          </w:p>
        </w:tc>
        <w:tc>
          <w:tcPr>
            <w:tcW w:w="6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6EDF3"/>
          </w:tcPr>
          <w:p>
            <w:pPr>
              <w:spacing w:after="0"/>
              <w:rPr>
                <w:sz w:val="14"/>
                <w:szCs w:val="14"/>
                <w:color w:val="auto"/>
              </w:rPr>
            </w:pPr>
          </w:p>
        </w:tc>
        <w:tc>
          <w:tcPr>
            <w:tcW w:w="700" w:type="dxa"/>
            <w:vAlign w:val="bottom"/>
            <w:tcBorders>
              <w:bottom w:val="single" w:sz="8" w:color="auto"/>
            </w:tcBorders>
            <w:shd w:val="clear" w:color="auto" w:fill="E6EDF3"/>
          </w:tcPr>
          <w:p>
            <w:pPr>
              <w:jc w:val="right"/>
              <w:ind w:right="1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6EDF3"/>
          </w:tcPr>
          <w:p>
            <w:pPr>
              <w:spacing w:after="0"/>
              <w:rPr>
                <w:sz w:val="14"/>
                <w:szCs w:val="14"/>
                <w:color w:val="auto"/>
              </w:rPr>
            </w:pPr>
          </w:p>
        </w:tc>
        <w:tc>
          <w:tcPr>
            <w:tcW w:w="6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66,068</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96.94</w:t>
            </w:r>
          </w:p>
        </w:tc>
        <w:tc>
          <w:tcPr>
            <w:tcW w:w="800" w:type="dxa"/>
            <w:vAlign w:val="bottom"/>
            <w:tcBorders>
              <w:bottom w:val="single" w:sz="8" w:color="auto"/>
            </w:tcBorders>
            <w:shd w:val="clear" w:color="auto" w:fill="E6EDF3"/>
          </w:tcPr>
          <w:p>
            <w:pPr>
              <w:jc w:val="right"/>
              <w:ind w:right="31"/>
              <w:spacing w:after="0"/>
              <w:rPr>
                <w:sz w:val="20"/>
                <w:szCs w:val="20"/>
                <w:color w:val="auto"/>
              </w:rPr>
            </w:pPr>
            <w:r>
              <w:rPr>
                <w:rFonts w:ascii="Arial" w:cs="Arial" w:eastAsia="Arial" w:hAnsi="Arial"/>
                <w:sz w:val="14"/>
                <w:szCs w:val="14"/>
                <w:color w:val="auto"/>
              </w:rPr>
              <w:t>1,690,019</w:t>
            </w:r>
          </w:p>
        </w:tc>
        <w:tc>
          <w:tcPr>
            <w:tcW w:w="0" w:type="dxa"/>
            <w:vAlign w:val="bottom"/>
          </w:tcPr>
          <w:p>
            <w:pPr>
              <w:spacing w:after="0"/>
              <w:rPr>
                <w:sz w:val="1"/>
                <w:szCs w:val="1"/>
                <w:color w:val="auto"/>
              </w:rPr>
            </w:pPr>
          </w:p>
        </w:tc>
      </w:tr>
      <w:tr>
        <w:trPr>
          <w:trHeight w:val="142"/>
        </w:trPr>
        <w:tc>
          <w:tcPr>
            <w:tcW w:w="2900" w:type="dxa"/>
            <w:vAlign w:val="bottom"/>
          </w:tcPr>
          <w:p>
            <w:pPr>
              <w:ind w:left="60"/>
              <w:spacing w:after="0" w:line="143" w:lineRule="exact"/>
              <w:rPr>
                <w:sz w:val="20"/>
                <w:szCs w:val="20"/>
                <w:color w:val="auto"/>
              </w:rPr>
            </w:pPr>
            <w:r>
              <w:rPr>
                <w:rFonts w:ascii="Arial" w:cs="Arial" w:eastAsia="Arial" w:hAnsi="Arial"/>
                <w:sz w:val="14"/>
                <w:szCs w:val="14"/>
                <w:color w:val="auto"/>
              </w:rPr>
              <w:t>John T. McGinnis</w:t>
            </w:r>
          </w:p>
        </w:tc>
        <w:tc>
          <w:tcPr>
            <w:tcW w:w="700" w:type="dxa"/>
            <w:vAlign w:val="bottom"/>
            <w:gridSpan w:val="2"/>
          </w:tcPr>
          <w:p>
            <w:pPr>
              <w:jc w:val="center"/>
              <w:ind w:left="48"/>
              <w:spacing w:after="0" w:line="143" w:lineRule="exact"/>
              <w:rPr>
                <w:sz w:val="20"/>
                <w:szCs w:val="20"/>
                <w:color w:val="auto"/>
              </w:rPr>
            </w:pPr>
            <w:r>
              <w:rPr>
                <w:rFonts w:ascii="Arial" w:cs="Arial" w:eastAsia="Arial" w:hAnsi="Arial"/>
                <w:sz w:val="14"/>
                <w:szCs w:val="14"/>
                <w:color w:val="auto"/>
              </w:rPr>
              <w:t>2/9/2017</w:t>
            </w:r>
          </w:p>
        </w:tc>
        <w:tc>
          <w:tcPr>
            <w:tcW w:w="7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162,500</w:t>
            </w:r>
          </w:p>
        </w:tc>
        <w:tc>
          <w:tcPr>
            <w:tcW w:w="940" w:type="dxa"/>
            <w:vAlign w:val="bottom"/>
          </w:tcPr>
          <w:p>
            <w:pPr>
              <w:jc w:val="right"/>
              <w:ind w:right="89"/>
              <w:spacing w:after="0" w:line="143" w:lineRule="exact"/>
              <w:rPr>
                <w:sz w:val="20"/>
                <w:szCs w:val="20"/>
                <w:color w:val="auto"/>
              </w:rPr>
            </w:pPr>
            <w:r>
              <w:rPr>
                <w:rFonts w:ascii="Arial" w:cs="Arial" w:eastAsia="Arial" w:hAnsi="Arial"/>
                <w:sz w:val="14"/>
                <w:szCs w:val="14"/>
                <w:color w:val="auto"/>
              </w:rPr>
              <w:t>650,000</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1,300,000</w:t>
            </w:r>
          </w:p>
        </w:tc>
        <w:tc>
          <w:tcPr>
            <w:tcW w:w="120" w:type="dxa"/>
            <w:vAlign w:val="bottom"/>
          </w:tcPr>
          <w:p>
            <w:pPr>
              <w:spacing w:after="0"/>
              <w:rPr>
                <w:sz w:val="12"/>
                <w:szCs w:val="12"/>
                <w:color w:val="auto"/>
              </w:rPr>
            </w:pPr>
          </w:p>
        </w:tc>
        <w:tc>
          <w:tcPr>
            <w:tcW w:w="700" w:type="dxa"/>
            <w:vAlign w:val="bottom"/>
          </w:tcPr>
          <w:p>
            <w:pPr>
              <w:jc w:val="right"/>
              <w:ind w:right="10"/>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00" w:type="dxa"/>
            <w:vAlign w:val="bottom"/>
          </w:tcPr>
          <w:p>
            <w:pPr>
              <w:ind w:left="140"/>
              <w:spacing w:after="0"/>
              <w:rPr>
                <w:sz w:val="20"/>
                <w:szCs w:val="20"/>
                <w:color w:val="auto"/>
              </w:rPr>
            </w:pPr>
            <w:r>
              <w:rPr>
                <w:rFonts w:ascii="Arial" w:cs="Arial" w:eastAsia="Arial" w:hAnsi="Arial"/>
                <w:sz w:val="14"/>
                <w:szCs w:val="14"/>
                <w:i w:val="1"/>
                <w:iCs w:val="1"/>
                <w:color w:val="auto"/>
              </w:rPr>
              <w:t>CFO</w:t>
            </w:r>
          </w:p>
        </w:tc>
        <w:tc>
          <w:tcPr>
            <w:tcW w:w="700" w:type="dxa"/>
            <w:vAlign w:val="bottom"/>
            <w:gridSpan w:val="2"/>
          </w:tcPr>
          <w:p>
            <w:pPr>
              <w:jc w:val="center"/>
              <w:ind w:left="48"/>
              <w:spacing w:after="0"/>
              <w:rPr>
                <w:sz w:val="20"/>
                <w:szCs w:val="20"/>
                <w:color w:val="auto"/>
              </w:rPr>
            </w:pPr>
            <w:r>
              <w:rPr>
                <w:rFonts w:ascii="Arial" w:cs="Arial" w:eastAsia="Arial" w:hAnsi="Arial"/>
                <w:sz w:val="14"/>
                <w:szCs w:val="14"/>
                <w:color w:val="auto"/>
              </w:rPr>
              <w:t>2/9/2017</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
              <w:spacing w:after="0"/>
              <w:rPr>
                <w:sz w:val="20"/>
                <w:szCs w:val="20"/>
                <w:color w:val="auto"/>
              </w:rPr>
            </w:pPr>
            <w:r>
              <w:rPr>
                <w:rFonts w:ascii="Arial" w:cs="Arial" w:eastAsia="Arial" w:hAnsi="Arial"/>
                <w:sz w:val="14"/>
                <w:szCs w:val="14"/>
                <w:color w:val="auto"/>
              </w:rPr>
              <w:t>7,118</w:t>
            </w:r>
          </w:p>
        </w:tc>
        <w:tc>
          <w:tcPr>
            <w:tcW w:w="580" w:type="dxa"/>
            <w:vAlign w:val="bottom"/>
          </w:tcPr>
          <w:p>
            <w:pPr>
              <w:jc w:val="right"/>
              <w:spacing w:after="0"/>
              <w:rPr>
                <w:sz w:val="20"/>
                <w:szCs w:val="20"/>
                <w:color w:val="auto"/>
              </w:rPr>
            </w:pPr>
            <w:r>
              <w:rPr>
                <w:rFonts w:ascii="Arial" w:cs="Arial" w:eastAsia="Arial" w:hAnsi="Arial"/>
                <w:sz w:val="14"/>
                <w:szCs w:val="14"/>
                <w:color w:val="auto"/>
              </w:rPr>
              <w:t>14,236</w:t>
            </w:r>
          </w:p>
        </w:tc>
        <w:tc>
          <w:tcPr>
            <w:tcW w:w="660" w:type="dxa"/>
            <w:vAlign w:val="bottom"/>
          </w:tcPr>
          <w:p>
            <w:pPr>
              <w:jc w:val="right"/>
              <w:spacing w:after="0"/>
              <w:rPr>
                <w:sz w:val="20"/>
                <w:szCs w:val="20"/>
                <w:color w:val="auto"/>
              </w:rPr>
            </w:pPr>
            <w:r>
              <w:rPr>
                <w:rFonts w:ascii="Arial" w:cs="Arial" w:eastAsia="Arial" w:hAnsi="Arial"/>
                <w:sz w:val="14"/>
                <w:szCs w:val="14"/>
                <w:color w:val="auto"/>
              </w:rPr>
              <w:t>28,472</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1,380,038</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700" w:type="dxa"/>
            <w:vAlign w:val="bottom"/>
            <w:gridSpan w:val="2"/>
          </w:tcPr>
          <w:p>
            <w:pPr>
              <w:jc w:val="center"/>
              <w:ind w:left="48"/>
              <w:spacing w:after="0"/>
              <w:rPr>
                <w:sz w:val="20"/>
                <w:szCs w:val="20"/>
                <w:color w:val="auto"/>
              </w:rPr>
            </w:pPr>
            <w:r>
              <w:rPr>
                <w:rFonts w:ascii="Arial" w:cs="Arial" w:eastAsia="Arial" w:hAnsi="Arial"/>
                <w:sz w:val="14"/>
                <w:szCs w:val="14"/>
                <w:color w:val="auto"/>
              </w:rPr>
              <w:t>2/9/2017</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4,746</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460,077</w:t>
            </w:r>
          </w:p>
        </w:tc>
        <w:tc>
          <w:tcPr>
            <w:tcW w:w="0" w:type="dxa"/>
            <w:vAlign w:val="bottom"/>
          </w:tcPr>
          <w:p>
            <w:pPr>
              <w:spacing w:after="0"/>
              <w:rPr>
                <w:sz w:val="1"/>
                <w:szCs w:val="1"/>
                <w:color w:val="auto"/>
              </w:rPr>
            </w:pPr>
          </w:p>
        </w:tc>
      </w:tr>
      <w:tr>
        <w:trPr>
          <w:trHeight w:val="175"/>
        </w:trPr>
        <w:tc>
          <w:tcPr>
            <w:tcW w:w="29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rPr>
              <w:t>2/9/2017</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17,983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96.94</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460,005</w:t>
            </w:r>
          </w:p>
        </w:tc>
        <w:tc>
          <w:tcPr>
            <w:tcW w:w="0" w:type="dxa"/>
            <w:vAlign w:val="bottom"/>
          </w:tcPr>
          <w:p>
            <w:pPr>
              <w:spacing w:after="0"/>
              <w:rPr>
                <w:sz w:val="1"/>
                <w:szCs w:val="1"/>
                <w:color w:val="auto"/>
              </w:rPr>
            </w:pPr>
          </w:p>
        </w:tc>
      </w:tr>
      <w:tr>
        <w:trPr>
          <w:trHeight w:val="156"/>
        </w:trPr>
        <w:tc>
          <w:tcPr>
            <w:tcW w:w="2900" w:type="dxa"/>
            <w:vAlign w:val="bottom"/>
            <w:shd w:val="clear" w:color="auto" w:fill="E6EDF3"/>
          </w:tcPr>
          <w:p>
            <w:pPr>
              <w:ind w:left="60"/>
              <w:spacing w:after="0" w:line="155" w:lineRule="exact"/>
              <w:rPr>
                <w:sz w:val="20"/>
                <w:szCs w:val="20"/>
                <w:color w:val="auto"/>
              </w:rPr>
            </w:pPr>
            <w:r>
              <w:rPr>
                <w:rFonts w:ascii="Arial" w:cs="Arial" w:eastAsia="Arial" w:hAnsi="Arial"/>
                <w:sz w:val="14"/>
                <w:szCs w:val="14"/>
                <w:color w:val="auto"/>
              </w:rPr>
              <w:t>Darryl Green</w:t>
            </w:r>
          </w:p>
        </w:tc>
        <w:tc>
          <w:tcPr>
            <w:tcW w:w="700" w:type="dxa"/>
            <w:vAlign w:val="bottom"/>
            <w:gridSpan w:val="2"/>
            <w:shd w:val="clear" w:color="auto" w:fill="E6EDF3"/>
          </w:tcPr>
          <w:p>
            <w:pPr>
              <w:jc w:val="center"/>
              <w:ind w:left="48"/>
              <w:spacing w:after="0" w:line="155" w:lineRule="exact"/>
              <w:rPr>
                <w:sz w:val="20"/>
                <w:szCs w:val="20"/>
                <w:color w:val="auto"/>
              </w:rPr>
            </w:pPr>
            <w:r>
              <w:rPr>
                <w:rFonts w:ascii="Arial" w:cs="Arial" w:eastAsia="Arial" w:hAnsi="Arial"/>
                <w:sz w:val="14"/>
                <w:szCs w:val="14"/>
                <w:color w:val="auto"/>
              </w:rPr>
              <w:t>2/9/2017</w:t>
            </w:r>
          </w:p>
        </w:tc>
        <w:tc>
          <w:tcPr>
            <w:tcW w:w="760" w:type="dxa"/>
            <w:vAlign w:val="bottom"/>
            <w:gridSpan w:val="2"/>
            <w:shd w:val="clear" w:color="auto" w:fill="E6EDF3"/>
          </w:tcPr>
          <w:p>
            <w:pPr>
              <w:jc w:val="right"/>
              <w:spacing w:after="0" w:line="155" w:lineRule="exact"/>
              <w:rPr>
                <w:sz w:val="20"/>
                <w:szCs w:val="20"/>
                <w:color w:val="auto"/>
              </w:rPr>
            </w:pPr>
            <w:r>
              <w:rPr>
                <w:rFonts w:ascii="Arial" w:cs="Arial" w:eastAsia="Arial" w:hAnsi="Arial"/>
                <w:sz w:val="14"/>
                <w:szCs w:val="14"/>
                <w:color w:val="auto"/>
              </w:rPr>
              <w:t>212,500</w:t>
            </w:r>
          </w:p>
        </w:tc>
        <w:tc>
          <w:tcPr>
            <w:tcW w:w="940" w:type="dxa"/>
            <w:vAlign w:val="bottom"/>
            <w:shd w:val="clear" w:color="auto" w:fill="E6EDF3"/>
          </w:tcPr>
          <w:p>
            <w:pPr>
              <w:jc w:val="right"/>
              <w:ind w:right="89"/>
              <w:spacing w:after="0" w:line="155" w:lineRule="exact"/>
              <w:rPr>
                <w:sz w:val="20"/>
                <w:szCs w:val="20"/>
                <w:color w:val="auto"/>
              </w:rPr>
            </w:pPr>
            <w:r>
              <w:rPr>
                <w:rFonts w:ascii="Arial" w:cs="Arial" w:eastAsia="Arial" w:hAnsi="Arial"/>
                <w:sz w:val="14"/>
                <w:szCs w:val="14"/>
                <w:color w:val="auto"/>
              </w:rPr>
              <w:t>850,000</w:t>
            </w:r>
          </w:p>
        </w:tc>
        <w:tc>
          <w:tcPr>
            <w:tcW w:w="66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1,700,000</w:t>
            </w:r>
          </w:p>
        </w:tc>
        <w:tc>
          <w:tcPr>
            <w:tcW w:w="120" w:type="dxa"/>
            <w:vAlign w:val="bottom"/>
            <w:shd w:val="clear" w:color="auto" w:fill="E6EDF3"/>
          </w:tcPr>
          <w:p>
            <w:pPr>
              <w:spacing w:after="0"/>
              <w:rPr>
                <w:sz w:val="13"/>
                <w:szCs w:val="13"/>
                <w:color w:val="auto"/>
              </w:rPr>
            </w:pPr>
          </w:p>
        </w:tc>
        <w:tc>
          <w:tcPr>
            <w:tcW w:w="700" w:type="dxa"/>
            <w:vAlign w:val="bottom"/>
            <w:shd w:val="clear" w:color="auto" w:fill="E6EDF3"/>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E6EDF3"/>
          </w:tcPr>
          <w:p>
            <w:pPr>
              <w:spacing w:after="0"/>
              <w:rPr>
                <w:sz w:val="13"/>
                <w:szCs w:val="13"/>
                <w:color w:val="auto"/>
              </w:rPr>
            </w:pPr>
          </w:p>
        </w:tc>
        <w:tc>
          <w:tcPr>
            <w:tcW w:w="64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00" w:type="dxa"/>
            <w:vAlign w:val="bottom"/>
            <w:shd w:val="clear" w:color="auto" w:fill="E6EDF3"/>
          </w:tcPr>
          <w:p>
            <w:pPr>
              <w:ind w:left="140"/>
              <w:spacing w:after="0"/>
              <w:rPr>
                <w:sz w:val="20"/>
                <w:szCs w:val="20"/>
                <w:color w:val="auto"/>
              </w:rPr>
            </w:pPr>
            <w:r>
              <w:rPr>
                <w:rFonts w:ascii="Arial" w:cs="Arial" w:eastAsia="Arial" w:hAnsi="Arial"/>
                <w:sz w:val="14"/>
                <w:szCs w:val="14"/>
                <w:i w:val="1"/>
                <w:iCs w:val="1"/>
                <w:color w:val="auto"/>
              </w:rPr>
              <w:t>President &amp; COO</w:t>
            </w:r>
          </w:p>
        </w:tc>
        <w:tc>
          <w:tcPr>
            <w:tcW w:w="120" w:type="dxa"/>
            <w:vAlign w:val="bottom"/>
            <w:shd w:val="clear" w:color="auto" w:fill="E6EDF3"/>
          </w:tcPr>
          <w:p>
            <w:pPr>
              <w:spacing w:after="0"/>
              <w:rPr>
                <w:sz w:val="14"/>
                <w:szCs w:val="14"/>
                <w:color w:val="auto"/>
              </w:rPr>
            </w:pPr>
          </w:p>
        </w:tc>
        <w:tc>
          <w:tcPr>
            <w:tcW w:w="580" w:type="dxa"/>
            <w:vAlign w:val="bottom"/>
            <w:shd w:val="clear" w:color="auto" w:fill="E6EDF3"/>
          </w:tcPr>
          <w:p>
            <w:pPr>
              <w:jc w:val="center"/>
              <w:spacing w:after="0"/>
              <w:rPr>
                <w:sz w:val="20"/>
                <w:szCs w:val="20"/>
                <w:color w:val="auto"/>
              </w:rPr>
            </w:pPr>
            <w:r>
              <w:rPr>
                <w:rFonts w:ascii="Arial" w:cs="Arial" w:eastAsia="Arial" w:hAnsi="Arial"/>
                <w:sz w:val="14"/>
                <w:szCs w:val="14"/>
                <w:color w:val="auto"/>
              </w:rPr>
              <w:t>2/9/2017</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6EDF3"/>
          </w:tcPr>
          <w:p>
            <w:pPr>
              <w:jc w:val="right"/>
              <w:ind w:right="10"/>
              <w:spacing w:after="0"/>
              <w:rPr>
                <w:sz w:val="20"/>
                <w:szCs w:val="20"/>
                <w:color w:val="auto"/>
              </w:rPr>
            </w:pPr>
            <w:r>
              <w:rPr>
                <w:rFonts w:ascii="Arial" w:cs="Arial" w:eastAsia="Arial" w:hAnsi="Arial"/>
                <w:sz w:val="14"/>
                <w:szCs w:val="14"/>
                <w:color w:val="auto"/>
              </w:rPr>
              <w:t>11,760</w:t>
            </w:r>
          </w:p>
        </w:tc>
        <w:tc>
          <w:tcPr>
            <w:tcW w:w="5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23,520</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47,040</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1"/>
              <w:spacing w:after="0"/>
              <w:rPr>
                <w:sz w:val="20"/>
                <w:szCs w:val="20"/>
                <w:color w:val="auto"/>
              </w:rPr>
            </w:pPr>
            <w:r>
              <w:rPr>
                <w:rFonts w:ascii="Arial" w:cs="Arial" w:eastAsia="Arial" w:hAnsi="Arial"/>
                <w:sz w:val="14"/>
                <w:szCs w:val="14"/>
                <w:color w:val="auto"/>
              </w:rPr>
              <w:t>2,280,029</w:t>
            </w:r>
          </w:p>
        </w:tc>
        <w:tc>
          <w:tcPr>
            <w:tcW w:w="0" w:type="dxa"/>
            <w:vAlign w:val="bottom"/>
          </w:tcPr>
          <w:p>
            <w:pPr>
              <w:spacing w:after="0"/>
              <w:rPr>
                <w:sz w:val="1"/>
                <w:szCs w:val="1"/>
                <w:color w:val="auto"/>
              </w:rPr>
            </w:pPr>
          </w:p>
        </w:tc>
      </w:tr>
      <w:tr>
        <w:trPr>
          <w:trHeight w:val="162"/>
        </w:trPr>
        <w:tc>
          <w:tcPr>
            <w:tcW w:w="2900" w:type="dxa"/>
            <w:vAlign w:val="bottom"/>
            <w:shd w:val="clear" w:color="auto" w:fill="E6EDF3"/>
          </w:tcPr>
          <w:p>
            <w:pPr>
              <w:spacing w:after="0"/>
              <w:rPr>
                <w:sz w:val="14"/>
                <w:szCs w:val="14"/>
                <w:color w:val="auto"/>
              </w:rPr>
            </w:pPr>
          </w:p>
        </w:tc>
        <w:tc>
          <w:tcPr>
            <w:tcW w:w="120" w:type="dxa"/>
            <w:vAlign w:val="bottom"/>
            <w:shd w:val="clear" w:color="auto" w:fill="E6EDF3"/>
          </w:tcPr>
          <w:p>
            <w:pPr>
              <w:spacing w:after="0"/>
              <w:rPr>
                <w:sz w:val="14"/>
                <w:szCs w:val="14"/>
                <w:color w:val="auto"/>
              </w:rPr>
            </w:pPr>
          </w:p>
        </w:tc>
        <w:tc>
          <w:tcPr>
            <w:tcW w:w="580" w:type="dxa"/>
            <w:vAlign w:val="bottom"/>
            <w:shd w:val="clear" w:color="auto" w:fill="E6EDF3"/>
          </w:tcPr>
          <w:p>
            <w:pPr>
              <w:jc w:val="center"/>
              <w:spacing w:after="0"/>
              <w:rPr>
                <w:sz w:val="20"/>
                <w:szCs w:val="20"/>
                <w:color w:val="auto"/>
              </w:rPr>
            </w:pPr>
            <w:r>
              <w:rPr>
                <w:rFonts w:ascii="Arial" w:cs="Arial" w:eastAsia="Arial" w:hAnsi="Arial"/>
                <w:sz w:val="14"/>
                <w:szCs w:val="14"/>
                <w:color w:val="auto"/>
              </w:rPr>
              <w:t>2/9/2017</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6EDF3"/>
          </w:tcPr>
          <w:p>
            <w:pPr>
              <w:spacing w:after="0"/>
              <w:rPr>
                <w:sz w:val="14"/>
                <w:szCs w:val="14"/>
                <w:color w:val="auto"/>
              </w:rPr>
            </w:pPr>
          </w:p>
        </w:tc>
        <w:tc>
          <w:tcPr>
            <w:tcW w:w="700" w:type="dxa"/>
            <w:vAlign w:val="bottom"/>
            <w:shd w:val="clear" w:color="auto" w:fill="E6EDF3"/>
          </w:tcPr>
          <w:p>
            <w:pPr>
              <w:jc w:val="right"/>
              <w:ind w:right="10"/>
              <w:spacing w:after="0"/>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6EDF3"/>
          </w:tcPr>
          <w:p>
            <w:pPr>
              <w:jc w:val="right"/>
              <w:spacing w:after="0"/>
              <w:rPr>
                <w:sz w:val="20"/>
                <w:szCs w:val="20"/>
                <w:color w:val="auto"/>
              </w:rPr>
            </w:pPr>
            <w:r>
              <w:rPr>
                <w:rFonts w:ascii="Arial" w:cs="Arial" w:eastAsia="Arial" w:hAnsi="Arial"/>
                <w:sz w:val="14"/>
                <w:szCs w:val="14"/>
                <w:color w:val="auto"/>
              </w:rPr>
              <w:t>7,840</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1"/>
              <w:spacing w:after="0"/>
              <w:rPr>
                <w:sz w:val="20"/>
                <w:szCs w:val="20"/>
                <w:color w:val="auto"/>
              </w:rPr>
            </w:pPr>
            <w:r>
              <w:rPr>
                <w:rFonts w:ascii="Arial" w:cs="Arial" w:eastAsia="Arial" w:hAnsi="Arial"/>
                <w:sz w:val="14"/>
                <w:szCs w:val="14"/>
                <w:color w:val="auto"/>
              </w:rPr>
              <w:t>760,010</w:t>
            </w:r>
          </w:p>
        </w:tc>
        <w:tc>
          <w:tcPr>
            <w:tcW w:w="0" w:type="dxa"/>
            <w:vAlign w:val="bottom"/>
          </w:tcPr>
          <w:p>
            <w:pPr>
              <w:spacing w:after="0"/>
              <w:rPr>
                <w:sz w:val="1"/>
                <w:szCs w:val="1"/>
                <w:color w:val="auto"/>
              </w:rPr>
            </w:pPr>
          </w:p>
        </w:tc>
      </w:tr>
      <w:tr>
        <w:trPr>
          <w:trHeight w:val="162"/>
        </w:trPr>
        <w:tc>
          <w:tcPr>
            <w:tcW w:w="2900" w:type="dxa"/>
            <w:vAlign w:val="bottom"/>
            <w:tcBorders>
              <w:bottom w:val="single" w:sz="8" w:color="auto"/>
            </w:tcBorders>
            <w:shd w:val="clear" w:color="auto" w:fill="E6EDF3"/>
          </w:tcPr>
          <w:p>
            <w:pPr>
              <w:spacing w:after="0"/>
              <w:rPr>
                <w:sz w:val="14"/>
                <w:szCs w:val="14"/>
                <w:color w:val="auto"/>
              </w:rPr>
            </w:pPr>
          </w:p>
        </w:tc>
        <w:tc>
          <w:tcPr>
            <w:tcW w:w="120" w:type="dxa"/>
            <w:vAlign w:val="bottom"/>
            <w:tcBorders>
              <w:bottom w:val="single" w:sz="8" w:color="auto"/>
            </w:tcBorders>
            <w:shd w:val="clear" w:color="auto" w:fill="E6EDF3"/>
          </w:tcPr>
          <w:p>
            <w:pPr>
              <w:spacing w:after="0"/>
              <w:rPr>
                <w:sz w:val="14"/>
                <w:szCs w:val="14"/>
                <w:color w:val="auto"/>
              </w:rPr>
            </w:pPr>
          </w:p>
        </w:tc>
        <w:tc>
          <w:tcPr>
            <w:tcW w:w="58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4"/>
                <w:szCs w:val="14"/>
                <w:color w:val="auto"/>
              </w:rPr>
              <w:t>2/9/2017</w:t>
            </w:r>
          </w:p>
        </w:tc>
        <w:tc>
          <w:tcPr>
            <w:tcW w:w="120" w:type="dxa"/>
            <w:vAlign w:val="bottom"/>
            <w:tcBorders>
              <w:bottom w:val="single" w:sz="8" w:color="auto"/>
            </w:tcBorders>
            <w:shd w:val="clear" w:color="auto" w:fill="E6EDF3"/>
          </w:tcPr>
          <w:p>
            <w:pPr>
              <w:spacing w:after="0"/>
              <w:rPr>
                <w:sz w:val="14"/>
                <w:szCs w:val="14"/>
                <w:color w:val="auto"/>
              </w:rPr>
            </w:pPr>
          </w:p>
        </w:tc>
        <w:tc>
          <w:tcPr>
            <w:tcW w:w="6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6EDF3"/>
          </w:tcPr>
          <w:p>
            <w:pPr>
              <w:spacing w:after="0"/>
              <w:rPr>
                <w:sz w:val="14"/>
                <w:szCs w:val="14"/>
                <w:color w:val="auto"/>
              </w:rPr>
            </w:pPr>
          </w:p>
        </w:tc>
        <w:tc>
          <w:tcPr>
            <w:tcW w:w="700" w:type="dxa"/>
            <w:vAlign w:val="bottom"/>
            <w:tcBorders>
              <w:bottom w:val="single" w:sz="8" w:color="auto"/>
            </w:tcBorders>
            <w:shd w:val="clear" w:color="auto" w:fill="E6EDF3"/>
          </w:tcPr>
          <w:p>
            <w:pPr>
              <w:jc w:val="right"/>
              <w:ind w:right="1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6EDF3"/>
          </w:tcPr>
          <w:p>
            <w:pPr>
              <w:spacing w:after="0"/>
              <w:rPr>
                <w:sz w:val="14"/>
                <w:szCs w:val="14"/>
                <w:color w:val="auto"/>
              </w:rPr>
            </w:pPr>
          </w:p>
        </w:tc>
        <w:tc>
          <w:tcPr>
            <w:tcW w:w="6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29,711</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96.94</w:t>
            </w:r>
          </w:p>
        </w:tc>
        <w:tc>
          <w:tcPr>
            <w:tcW w:w="800" w:type="dxa"/>
            <w:vAlign w:val="bottom"/>
            <w:tcBorders>
              <w:bottom w:val="single" w:sz="8" w:color="auto"/>
            </w:tcBorders>
            <w:shd w:val="clear" w:color="auto" w:fill="E6EDF3"/>
          </w:tcPr>
          <w:p>
            <w:pPr>
              <w:jc w:val="right"/>
              <w:ind w:right="31"/>
              <w:spacing w:after="0"/>
              <w:rPr>
                <w:sz w:val="20"/>
                <w:szCs w:val="20"/>
                <w:color w:val="auto"/>
              </w:rPr>
            </w:pPr>
            <w:r>
              <w:rPr>
                <w:rFonts w:ascii="Arial" w:cs="Arial" w:eastAsia="Arial" w:hAnsi="Arial"/>
                <w:sz w:val="14"/>
                <w:szCs w:val="14"/>
                <w:color w:val="auto"/>
              </w:rPr>
              <w:t>760,007</w:t>
            </w:r>
          </w:p>
        </w:tc>
        <w:tc>
          <w:tcPr>
            <w:tcW w:w="0" w:type="dxa"/>
            <w:vAlign w:val="bottom"/>
          </w:tcPr>
          <w:p>
            <w:pPr>
              <w:spacing w:after="0"/>
              <w:rPr>
                <w:sz w:val="1"/>
                <w:szCs w:val="1"/>
                <w:color w:val="auto"/>
              </w:rPr>
            </w:pPr>
          </w:p>
        </w:tc>
      </w:tr>
      <w:tr>
        <w:trPr>
          <w:trHeight w:val="142"/>
        </w:trPr>
        <w:tc>
          <w:tcPr>
            <w:tcW w:w="2900" w:type="dxa"/>
            <w:vAlign w:val="bottom"/>
          </w:tcPr>
          <w:p>
            <w:pPr>
              <w:ind w:left="60"/>
              <w:spacing w:after="0" w:line="143" w:lineRule="exact"/>
              <w:rPr>
                <w:sz w:val="20"/>
                <w:szCs w:val="20"/>
                <w:color w:val="auto"/>
              </w:rPr>
            </w:pPr>
            <w:r>
              <w:rPr>
                <w:rFonts w:ascii="Arial" w:cs="Arial" w:eastAsia="Arial" w:hAnsi="Arial"/>
                <w:sz w:val="14"/>
                <w:szCs w:val="14"/>
                <w:color w:val="auto"/>
              </w:rPr>
              <w:t>Ram Chandrashekar</w:t>
            </w:r>
          </w:p>
        </w:tc>
        <w:tc>
          <w:tcPr>
            <w:tcW w:w="700" w:type="dxa"/>
            <w:vAlign w:val="bottom"/>
            <w:gridSpan w:val="2"/>
          </w:tcPr>
          <w:p>
            <w:pPr>
              <w:jc w:val="center"/>
              <w:ind w:left="48"/>
              <w:spacing w:after="0" w:line="143" w:lineRule="exact"/>
              <w:rPr>
                <w:sz w:val="20"/>
                <w:szCs w:val="20"/>
                <w:color w:val="auto"/>
              </w:rPr>
            </w:pPr>
            <w:r>
              <w:rPr>
                <w:rFonts w:ascii="Arial" w:cs="Arial" w:eastAsia="Arial" w:hAnsi="Arial"/>
                <w:sz w:val="14"/>
                <w:szCs w:val="14"/>
                <w:color w:val="auto"/>
              </w:rPr>
              <w:t>2/9/2017</w:t>
            </w:r>
          </w:p>
        </w:tc>
        <w:tc>
          <w:tcPr>
            <w:tcW w:w="7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156,962</w:t>
            </w:r>
          </w:p>
        </w:tc>
        <w:tc>
          <w:tcPr>
            <w:tcW w:w="940" w:type="dxa"/>
            <w:vAlign w:val="bottom"/>
          </w:tcPr>
          <w:p>
            <w:pPr>
              <w:jc w:val="right"/>
              <w:ind w:right="89"/>
              <w:spacing w:after="0" w:line="143" w:lineRule="exact"/>
              <w:rPr>
                <w:sz w:val="20"/>
                <w:szCs w:val="20"/>
                <w:color w:val="auto"/>
              </w:rPr>
            </w:pPr>
            <w:r>
              <w:rPr>
                <w:rFonts w:ascii="Arial" w:cs="Arial" w:eastAsia="Arial" w:hAnsi="Arial"/>
                <w:sz w:val="14"/>
                <w:szCs w:val="14"/>
                <w:color w:val="auto"/>
              </w:rPr>
              <w:t>470,887</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941,774</w:t>
            </w:r>
          </w:p>
        </w:tc>
        <w:tc>
          <w:tcPr>
            <w:tcW w:w="120" w:type="dxa"/>
            <w:vAlign w:val="bottom"/>
          </w:tcPr>
          <w:p>
            <w:pPr>
              <w:spacing w:after="0"/>
              <w:rPr>
                <w:sz w:val="12"/>
                <w:szCs w:val="12"/>
                <w:color w:val="auto"/>
              </w:rPr>
            </w:pPr>
          </w:p>
        </w:tc>
        <w:tc>
          <w:tcPr>
            <w:tcW w:w="700" w:type="dxa"/>
            <w:vAlign w:val="bottom"/>
          </w:tcPr>
          <w:p>
            <w:pPr>
              <w:jc w:val="right"/>
              <w:ind w:right="10"/>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00" w:type="dxa"/>
            <w:vAlign w:val="bottom"/>
          </w:tcPr>
          <w:p>
            <w:pPr>
              <w:ind w:left="140"/>
              <w:spacing w:after="0"/>
              <w:rPr>
                <w:sz w:val="20"/>
                <w:szCs w:val="20"/>
                <w:color w:val="auto"/>
              </w:rPr>
            </w:pPr>
            <w:r>
              <w:rPr>
                <w:rFonts w:ascii="Arial" w:cs="Arial" w:eastAsia="Arial" w:hAnsi="Arial"/>
                <w:sz w:val="14"/>
                <w:szCs w:val="14"/>
                <w:i w:val="1"/>
                <w:iCs w:val="1"/>
                <w:color w:val="auto"/>
              </w:rPr>
              <w:t>EVP, Operational Excellence &amp; IT and</w:t>
            </w:r>
          </w:p>
        </w:tc>
        <w:tc>
          <w:tcPr>
            <w:tcW w:w="700" w:type="dxa"/>
            <w:vAlign w:val="bottom"/>
            <w:gridSpan w:val="2"/>
          </w:tcPr>
          <w:p>
            <w:pPr>
              <w:jc w:val="center"/>
              <w:ind w:left="48"/>
              <w:spacing w:after="0"/>
              <w:rPr>
                <w:sz w:val="20"/>
                <w:szCs w:val="20"/>
                <w:color w:val="auto"/>
              </w:rPr>
            </w:pPr>
            <w:r>
              <w:rPr>
                <w:rFonts w:ascii="Arial" w:cs="Arial" w:eastAsia="Arial" w:hAnsi="Arial"/>
                <w:sz w:val="14"/>
                <w:szCs w:val="14"/>
                <w:color w:val="auto"/>
              </w:rPr>
              <w:t>2/9/2017</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
              <w:spacing w:after="0"/>
              <w:rPr>
                <w:sz w:val="20"/>
                <w:szCs w:val="20"/>
                <w:color w:val="auto"/>
              </w:rPr>
            </w:pPr>
            <w:r>
              <w:rPr>
                <w:rFonts w:ascii="Arial" w:cs="Arial" w:eastAsia="Arial" w:hAnsi="Arial"/>
                <w:sz w:val="14"/>
                <w:szCs w:val="14"/>
                <w:color w:val="auto"/>
              </w:rPr>
              <w:t>5,880</w:t>
            </w:r>
          </w:p>
        </w:tc>
        <w:tc>
          <w:tcPr>
            <w:tcW w:w="580" w:type="dxa"/>
            <w:vAlign w:val="bottom"/>
          </w:tcPr>
          <w:p>
            <w:pPr>
              <w:jc w:val="right"/>
              <w:spacing w:after="0"/>
              <w:rPr>
                <w:sz w:val="20"/>
                <w:szCs w:val="20"/>
                <w:color w:val="auto"/>
              </w:rPr>
            </w:pPr>
            <w:r>
              <w:rPr>
                <w:rFonts w:ascii="Arial" w:cs="Arial" w:eastAsia="Arial" w:hAnsi="Arial"/>
                <w:sz w:val="14"/>
                <w:szCs w:val="14"/>
                <w:color w:val="auto"/>
              </w:rPr>
              <w:t>11,760</w:t>
            </w:r>
          </w:p>
        </w:tc>
        <w:tc>
          <w:tcPr>
            <w:tcW w:w="660" w:type="dxa"/>
            <w:vAlign w:val="bottom"/>
          </w:tcPr>
          <w:p>
            <w:pPr>
              <w:jc w:val="right"/>
              <w:spacing w:after="0"/>
              <w:rPr>
                <w:sz w:val="20"/>
                <w:szCs w:val="20"/>
                <w:color w:val="auto"/>
              </w:rPr>
            </w:pPr>
            <w:r>
              <w:rPr>
                <w:rFonts w:ascii="Arial" w:cs="Arial" w:eastAsia="Arial" w:hAnsi="Arial"/>
                <w:sz w:val="14"/>
                <w:szCs w:val="14"/>
                <w:color w:val="auto"/>
              </w:rPr>
              <w:t>23,520</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1,140,014</w:t>
            </w:r>
          </w:p>
        </w:tc>
        <w:tc>
          <w:tcPr>
            <w:tcW w:w="0" w:type="dxa"/>
            <w:vAlign w:val="bottom"/>
          </w:tcPr>
          <w:p>
            <w:pPr>
              <w:spacing w:after="0"/>
              <w:rPr>
                <w:sz w:val="1"/>
                <w:szCs w:val="1"/>
                <w:color w:val="auto"/>
              </w:rPr>
            </w:pPr>
          </w:p>
        </w:tc>
      </w:tr>
      <w:tr>
        <w:trPr>
          <w:trHeight w:val="162"/>
        </w:trPr>
        <w:tc>
          <w:tcPr>
            <w:tcW w:w="2900" w:type="dxa"/>
            <w:vAlign w:val="bottom"/>
          </w:tcPr>
          <w:p>
            <w:pPr>
              <w:ind w:left="140"/>
              <w:spacing w:after="0"/>
              <w:rPr>
                <w:sz w:val="20"/>
                <w:szCs w:val="20"/>
                <w:color w:val="auto"/>
              </w:rPr>
            </w:pPr>
            <w:r>
              <w:rPr>
                <w:rFonts w:ascii="Arial" w:cs="Arial" w:eastAsia="Arial" w:hAnsi="Arial"/>
                <w:sz w:val="14"/>
                <w:szCs w:val="14"/>
                <w:i w:val="1"/>
                <w:iCs w:val="1"/>
                <w:color w:val="auto"/>
              </w:rPr>
              <w:t>President Asia Pacific Middle East</w:t>
            </w:r>
          </w:p>
        </w:tc>
        <w:tc>
          <w:tcPr>
            <w:tcW w:w="700" w:type="dxa"/>
            <w:vAlign w:val="bottom"/>
            <w:gridSpan w:val="2"/>
          </w:tcPr>
          <w:p>
            <w:pPr>
              <w:jc w:val="center"/>
              <w:ind w:left="48"/>
              <w:spacing w:after="0"/>
              <w:rPr>
                <w:sz w:val="20"/>
                <w:szCs w:val="20"/>
                <w:color w:val="auto"/>
              </w:rPr>
            </w:pPr>
            <w:r>
              <w:rPr>
                <w:rFonts w:ascii="Arial" w:cs="Arial" w:eastAsia="Arial" w:hAnsi="Arial"/>
                <w:sz w:val="14"/>
                <w:szCs w:val="14"/>
                <w:color w:val="auto"/>
              </w:rPr>
              <w:t>2/9/2017</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3,920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380,005</w:t>
            </w:r>
          </w:p>
        </w:tc>
        <w:tc>
          <w:tcPr>
            <w:tcW w:w="0" w:type="dxa"/>
            <w:vAlign w:val="bottom"/>
          </w:tcPr>
          <w:p>
            <w:pPr>
              <w:spacing w:after="0"/>
              <w:rPr>
                <w:sz w:val="1"/>
                <w:szCs w:val="1"/>
                <w:color w:val="auto"/>
              </w:rPr>
            </w:pPr>
          </w:p>
        </w:tc>
      </w:tr>
      <w:tr>
        <w:trPr>
          <w:trHeight w:val="175"/>
        </w:trPr>
        <w:tc>
          <w:tcPr>
            <w:tcW w:w="29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rPr>
              <w:t>2/9/2017</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14,856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96.94</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380,016</w:t>
            </w:r>
          </w:p>
        </w:tc>
        <w:tc>
          <w:tcPr>
            <w:tcW w:w="0" w:type="dxa"/>
            <w:vAlign w:val="bottom"/>
          </w:tcPr>
          <w:p>
            <w:pPr>
              <w:spacing w:after="0"/>
              <w:rPr>
                <w:sz w:val="1"/>
                <w:szCs w:val="1"/>
                <w:color w:val="auto"/>
              </w:rPr>
            </w:pPr>
          </w:p>
        </w:tc>
      </w:tr>
      <w:tr>
        <w:trPr>
          <w:trHeight w:val="156"/>
        </w:trPr>
        <w:tc>
          <w:tcPr>
            <w:tcW w:w="2900" w:type="dxa"/>
            <w:vAlign w:val="bottom"/>
            <w:shd w:val="clear" w:color="auto" w:fill="E6EDF3"/>
          </w:tcPr>
          <w:p>
            <w:pPr>
              <w:ind w:left="60"/>
              <w:spacing w:after="0" w:line="155" w:lineRule="exact"/>
              <w:rPr>
                <w:sz w:val="20"/>
                <w:szCs w:val="20"/>
                <w:color w:val="auto"/>
              </w:rPr>
            </w:pPr>
            <w:r>
              <w:rPr>
                <w:rFonts w:ascii="Arial" w:cs="Arial" w:eastAsia="Arial" w:hAnsi="Arial"/>
                <w:sz w:val="14"/>
                <w:szCs w:val="14"/>
                <w:color w:val="auto"/>
              </w:rPr>
              <w:t>Mara E. Swan</w:t>
            </w:r>
          </w:p>
        </w:tc>
        <w:tc>
          <w:tcPr>
            <w:tcW w:w="700" w:type="dxa"/>
            <w:vAlign w:val="bottom"/>
            <w:gridSpan w:val="2"/>
            <w:shd w:val="clear" w:color="auto" w:fill="E6EDF3"/>
          </w:tcPr>
          <w:p>
            <w:pPr>
              <w:jc w:val="center"/>
              <w:ind w:left="48"/>
              <w:spacing w:after="0" w:line="155" w:lineRule="exact"/>
              <w:rPr>
                <w:sz w:val="20"/>
                <w:szCs w:val="20"/>
                <w:color w:val="auto"/>
              </w:rPr>
            </w:pPr>
            <w:r>
              <w:rPr>
                <w:rFonts w:ascii="Arial" w:cs="Arial" w:eastAsia="Arial" w:hAnsi="Arial"/>
                <w:sz w:val="14"/>
                <w:szCs w:val="14"/>
                <w:color w:val="auto"/>
              </w:rPr>
              <w:t>2/9/2017</w:t>
            </w:r>
          </w:p>
        </w:tc>
        <w:tc>
          <w:tcPr>
            <w:tcW w:w="760" w:type="dxa"/>
            <w:vAlign w:val="bottom"/>
            <w:gridSpan w:val="2"/>
            <w:shd w:val="clear" w:color="auto" w:fill="E6EDF3"/>
          </w:tcPr>
          <w:p>
            <w:pPr>
              <w:jc w:val="right"/>
              <w:spacing w:after="0" w:line="155" w:lineRule="exact"/>
              <w:rPr>
                <w:sz w:val="20"/>
                <w:szCs w:val="20"/>
                <w:color w:val="auto"/>
              </w:rPr>
            </w:pPr>
            <w:r>
              <w:rPr>
                <w:rFonts w:ascii="Arial" w:cs="Arial" w:eastAsia="Arial" w:hAnsi="Arial"/>
                <w:sz w:val="14"/>
                <w:szCs w:val="14"/>
                <w:color w:val="auto"/>
              </w:rPr>
              <w:t>152,500</w:t>
            </w:r>
          </w:p>
        </w:tc>
        <w:tc>
          <w:tcPr>
            <w:tcW w:w="940" w:type="dxa"/>
            <w:vAlign w:val="bottom"/>
            <w:shd w:val="clear" w:color="auto" w:fill="E6EDF3"/>
          </w:tcPr>
          <w:p>
            <w:pPr>
              <w:jc w:val="right"/>
              <w:ind w:right="89"/>
              <w:spacing w:after="0" w:line="155" w:lineRule="exact"/>
              <w:rPr>
                <w:sz w:val="20"/>
                <w:szCs w:val="20"/>
                <w:color w:val="auto"/>
              </w:rPr>
            </w:pPr>
            <w:r>
              <w:rPr>
                <w:rFonts w:ascii="Arial" w:cs="Arial" w:eastAsia="Arial" w:hAnsi="Arial"/>
                <w:sz w:val="14"/>
                <w:szCs w:val="14"/>
                <w:color w:val="auto"/>
              </w:rPr>
              <w:t>457,500</w:t>
            </w:r>
          </w:p>
        </w:tc>
        <w:tc>
          <w:tcPr>
            <w:tcW w:w="66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915,000</w:t>
            </w:r>
          </w:p>
        </w:tc>
        <w:tc>
          <w:tcPr>
            <w:tcW w:w="120" w:type="dxa"/>
            <w:vAlign w:val="bottom"/>
            <w:shd w:val="clear" w:color="auto" w:fill="E6EDF3"/>
          </w:tcPr>
          <w:p>
            <w:pPr>
              <w:spacing w:after="0"/>
              <w:rPr>
                <w:sz w:val="13"/>
                <w:szCs w:val="13"/>
                <w:color w:val="auto"/>
              </w:rPr>
            </w:pPr>
          </w:p>
        </w:tc>
        <w:tc>
          <w:tcPr>
            <w:tcW w:w="700" w:type="dxa"/>
            <w:vAlign w:val="bottom"/>
            <w:shd w:val="clear" w:color="auto" w:fill="E6EDF3"/>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E6EDF3"/>
          </w:tcPr>
          <w:p>
            <w:pPr>
              <w:spacing w:after="0"/>
              <w:rPr>
                <w:sz w:val="13"/>
                <w:szCs w:val="13"/>
                <w:color w:val="auto"/>
              </w:rPr>
            </w:pPr>
          </w:p>
        </w:tc>
        <w:tc>
          <w:tcPr>
            <w:tcW w:w="64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00" w:type="dxa"/>
            <w:vAlign w:val="bottom"/>
            <w:shd w:val="clear" w:color="auto" w:fill="E6EDF3"/>
          </w:tcPr>
          <w:p>
            <w:pPr>
              <w:ind w:left="140"/>
              <w:spacing w:after="0"/>
              <w:rPr>
                <w:sz w:val="20"/>
                <w:szCs w:val="20"/>
                <w:color w:val="auto"/>
              </w:rPr>
            </w:pPr>
            <w:r>
              <w:rPr>
                <w:rFonts w:ascii="Arial" w:cs="Arial" w:eastAsia="Arial" w:hAnsi="Arial"/>
                <w:sz w:val="14"/>
                <w:szCs w:val="14"/>
                <w:i w:val="1"/>
                <w:iCs w:val="1"/>
                <w:color w:val="auto"/>
              </w:rPr>
              <w:t>EVP, Global Strategy and Talent</w:t>
            </w:r>
          </w:p>
        </w:tc>
        <w:tc>
          <w:tcPr>
            <w:tcW w:w="120" w:type="dxa"/>
            <w:vAlign w:val="bottom"/>
            <w:shd w:val="clear" w:color="auto" w:fill="E6EDF3"/>
          </w:tcPr>
          <w:p>
            <w:pPr>
              <w:spacing w:after="0"/>
              <w:rPr>
                <w:sz w:val="14"/>
                <w:szCs w:val="14"/>
                <w:color w:val="auto"/>
              </w:rPr>
            </w:pPr>
          </w:p>
        </w:tc>
        <w:tc>
          <w:tcPr>
            <w:tcW w:w="580" w:type="dxa"/>
            <w:vAlign w:val="bottom"/>
            <w:shd w:val="clear" w:color="auto" w:fill="E6EDF3"/>
          </w:tcPr>
          <w:p>
            <w:pPr>
              <w:jc w:val="center"/>
              <w:spacing w:after="0"/>
              <w:rPr>
                <w:sz w:val="20"/>
                <w:szCs w:val="20"/>
                <w:color w:val="auto"/>
              </w:rPr>
            </w:pPr>
            <w:r>
              <w:rPr>
                <w:rFonts w:ascii="Arial" w:cs="Arial" w:eastAsia="Arial" w:hAnsi="Arial"/>
                <w:sz w:val="14"/>
                <w:szCs w:val="14"/>
                <w:color w:val="auto"/>
              </w:rPr>
              <w:t>2/9/2017</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6EDF3"/>
          </w:tcPr>
          <w:p>
            <w:pPr>
              <w:jc w:val="right"/>
              <w:ind w:right="10"/>
              <w:spacing w:after="0"/>
              <w:rPr>
                <w:sz w:val="20"/>
                <w:szCs w:val="20"/>
                <w:color w:val="auto"/>
              </w:rPr>
            </w:pPr>
            <w:r>
              <w:rPr>
                <w:rFonts w:ascii="Arial" w:cs="Arial" w:eastAsia="Arial" w:hAnsi="Arial"/>
                <w:sz w:val="14"/>
                <w:szCs w:val="14"/>
                <w:color w:val="auto"/>
              </w:rPr>
              <w:t>4,178</w:t>
            </w:r>
          </w:p>
        </w:tc>
        <w:tc>
          <w:tcPr>
            <w:tcW w:w="5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8,356</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16,712</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1"/>
              <w:spacing w:after="0"/>
              <w:rPr>
                <w:sz w:val="20"/>
                <w:szCs w:val="20"/>
                <w:color w:val="auto"/>
              </w:rPr>
            </w:pPr>
            <w:r>
              <w:rPr>
                <w:rFonts w:ascii="Arial" w:cs="Arial" w:eastAsia="Arial" w:hAnsi="Arial"/>
                <w:sz w:val="14"/>
                <w:szCs w:val="14"/>
                <w:color w:val="auto"/>
              </w:rPr>
              <w:t>810,031</w:t>
            </w:r>
          </w:p>
        </w:tc>
        <w:tc>
          <w:tcPr>
            <w:tcW w:w="0" w:type="dxa"/>
            <w:vAlign w:val="bottom"/>
          </w:tcPr>
          <w:p>
            <w:pPr>
              <w:spacing w:after="0"/>
              <w:rPr>
                <w:sz w:val="1"/>
                <w:szCs w:val="1"/>
                <w:color w:val="auto"/>
              </w:rPr>
            </w:pPr>
          </w:p>
        </w:tc>
      </w:tr>
      <w:tr>
        <w:trPr>
          <w:trHeight w:val="162"/>
        </w:trPr>
        <w:tc>
          <w:tcPr>
            <w:tcW w:w="2900" w:type="dxa"/>
            <w:vAlign w:val="bottom"/>
            <w:shd w:val="clear" w:color="auto" w:fill="E6EDF3"/>
          </w:tcPr>
          <w:p>
            <w:pPr>
              <w:spacing w:after="0"/>
              <w:rPr>
                <w:sz w:val="14"/>
                <w:szCs w:val="14"/>
                <w:color w:val="auto"/>
              </w:rPr>
            </w:pPr>
          </w:p>
        </w:tc>
        <w:tc>
          <w:tcPr>
            <w:tcW w:w="120" w:type="dxa"/>
            <w:vAlign w:val="bottom"/>
            <w:shd w:val="clear" w:color="auto" w:fill="E6EDF3"/>
          </w:tcPr>
          <w:p>
            <w:pPr>
              <w:spacing w:after="0"/>
              <w:rPr>
                <w:sz w:val="14"/>
                <w:szCs w:val="14"/>
                <w:color w:val="auto"/>
              </w:rPr>
            </w:pPr>
          </w:p>
        </w:tc>
        <w:tc>
          <w:tcPr>
            <w:tcW w:w="580" w:type="dxa"/>
            <w:vAlign w:val="bottom"/>
            <w:shd w:val="clear" w:color="auto" w:fill="E6EDF3"/>
          </w:tcPr>
          <w:p>
            <w:pPr>
              <w:jc w:val="center"/>
              <w:spacing w:after="0"/>
              <w:rPr>
                <w:sz w:val="20"/>
                <w:szCs w:val="20"/>
                <w:color w:val="auto"/>
              </w:rPr>
            </w:pPr>
            <w:r>
              <w:rPr>
                <w:rFonts w:ascii="Arial" w:cs="Arial" w:eastAsia="Arial" w:hAnsi="Arial"/>
                <w:sz w:val="14"/>
                <w:szCs w:val="14"/>
                <w:color w:val="auto"/>
              </w:rPr>
              <w:t>2/9/2017</w:t>
            </w:r>
          </w:p>
        </w:tc>
        <w:tc>
          <w:tcPr>
            <w:tcW w:w="120" w:type="dxa"/>
            <w:vAlign w:val="bottom"/>
            <w:shd w:val="clear" w:color="auto" w:fill="E6EDF3"/>
          </w:tcPr>
          <w:p>
            <w:pPr>
              <w:spacing w:after="0"/>
              <w:rPr>
                <w:sz w:val="14"/>
                <w:szCs w:val="14"/>
                <w:color w:val="auto"/>
              </w:rPr>
            </w:pP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6EDF3"/>
          </w:tcPr>
          <w:p>
            <w:pPr>
              <w:spacing w:after="0"/>
              <w:rPr>
                <w:sz w:val="14"/>
                <w:szCs w:val="14"/>
                <w:color w:val="auto"/>
              </w:rPr>
            </w:pPr>
          </w:p>
        </w:tc>
        <w:tc>
          <w:tcPr>
            <w:tcW w:w="700" w:type="dxa"/>
            <w:vAlign w:val="bottom"/>
            <w:shd w:val="clear" w:color="auto" w:fill="E6EDF3"/>
          </w:tcPr>
          <w:p>
            <w:pPr>
              <w:jc w:val="right"/>
              <w:ind w:right="10"/>
              <w:spacing w:after="0"/>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6EDF3"/>
          </w:tcPr>
          <w:p>
            <w:pPr>
              <w:jc w:val="right"/>
              <w:spacing w:after="0"/>
              <w:rPr>
                <w:sz w:val="20"/>
                <w:szCs w:val="20"/>
                <w:color w:val="auto"/>
              </w:rPr>
            </w:pPr>
            <w:r>
              <w:rPr>
                <w:rFonts w:ascii="Arial" w:cs="Arial" w:eastAsia="Arial" w:hAnsi="Arial"/>
                <w:sz w:val="14"/>
                <w:szCs w:val="14"/>
                <w:color w:val="auto"/>
              </w:rPr>
              <w:t>2,786</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ind w:right="31"/>
              <w:spacing w:after="0"/>
              <w:rPr>
                <w:sz w:val="20"/>
                <w:szCs w:val="20"/>
                <w:color w:val="auto"/>
              </w:rPr>
            </w:pPr>
            <w:r>
              <w:rPr>
                <w:rFonts w:ascii="Arial" w:cs="Arial" w:eastAsia="Arial" w:hAnsi="Arial"/>
                <w:sz w:val="14"/>
                <w:szCs w:val="14"/>
                <w:color w:val="auto"/>
              </w:rPr>
              <w:t>270,075</w:t>
            </w:r>
          </w:p>
        </w:tc>
        <w:tc>
          <w:tcPr>
            <w:tcW w:w="0" w:type="dxa"/>
            <w:vAlign w:val="bottom"/>
          </w:tcPr>
          <w:p>
            <w:pPr>
              <w:spacing w:after="0"/>
              <w:rPr>
                <w:sz w:val="1"/>
                <w:szCs w:val="1"/>
                <w:color w:val="auto"/>
              </w:rPr>
            </w:pPr>
          </w:p>
        </w:tc>
      </w:tr>
      <w:tr>
        <w:trPr>
          <w:trHeight w:val="162"/>
        </w:trPr>
        <w:tc>
          <w:tcPr>
            <w:tcW w:w="2900" w:type="dxa"/>
            <w:vAlign w:val="bottom"/>
            <w:tcBorders>
              <w:bottom w:val="single" w:sz="8" w:color="auto"/>
            </w:tcBorders>
            <w:shd w:val="clear" w:color="auto" w:fill="E6EDF3"/>
          </w:tcPr>
          <w:p>
            <w:pPr>
              <w:spacing w:after="0"/>
              <w:rPr>
                <w:sz w:val="14"/>
                <w:szCs w:val="14"/>
                <w:color w:val="auto"/>
              </w:rPr>
            </w:pPr>
          </w:p>
        </w:tc>
        <w:tc>
          <w:tcPr>
            <w:tcW w:w="120" w:type="dxa"/>
            <w:vAlign w:val="bottom"/>
            <w:tcBorders>
              <w:bottom w:val="single" w:sz="8" w:color="auto"/>
            </w:tcBorders>
            <w:shd w:val="clear" w:color="auto" w:fill="E6EDF3"/>
          </w:tcPr>
          <w:p>
            <w:pPr>
              <w:spacing w:after="0"/>
              <w:rPr>
                <w:sz w:val="14"/>
                <w:szCs w:val="14"/>
                <w:color w:val="auto"/>
              </w:rPr>
            </w:pPr>
          </w:p>
        </w:tc>
        <w:tc>
          <w:tcPr>
            <w:tcW w:w="58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4"/>
                <w:szCs w:val="14"/>
                <w:color w:val="auto"/>
              </w:rPr>
              <w:t>2/9/2017</w:t>
            </w:r>
          </w:p>
        </w:tc>
        <w:tc>
          <w:tcPr>
            <w:tcW w:w="120" w:type="dxa"/>
            <w:vAlign w:val="bottom"/>
            <w:tcBorders>
              <w:bottom w:val="single" w:sz="8" w:color="auto"/>
            </w:tcBorders>
            <w:shd w:val="clear" w:color="auto" w:fill="E6EDF3"/>
          </w:tcPr>
          <w:p>
            <w:pPr>
              <w:spacing w:after="0"/>
              <w:rPr>
                <w:sz w:val="14"/>
                <w:szCs w:val="14"/>
                <w:color w:val="auto"/>
              </w:rPr>
            </w:pPr>
          </w:p>
        </w:tc>
        <w:tc>
          <w:tcPr>
            <w:tcW w:w="6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6EDF3"/>
          </w:tcPr>
          <w:p>
            <w:pPr>
              <w:spacing w:after="0"/>
              <w:rPr>
                <w:sz w:val="14"/>
                <w:szCs w:val="14"/>
                <w:color w:val="auto"/>
              </w:rPr>
            </w:pPr>
          </w:p>
        </w:tc>
        <w:tc>
          <w:tcPr>
            <w:tcW w:w="700" w:type="dxa"/>
            <w:vAlign w:val="bottom"/>
            <w:tcBorders>
              <w:bottom w:val="single" w:sz="8" w:color="auto"/>
            </w:tcBorders>
            <w:shd w:val="clear" w:color="auto" w:fill="E6EDF3"/>
          </w:tcPr>
          <w:p>
            <w:pPr>
              <w:jc w:val="right"/>
              <w:ind w:right="1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6EDF3"/>
          </w:tcPr>
          <w:p>
            <w:pPr>
              <w:spacing w:after="0"/>
              <w:rPr>
                <w:sz w:val="14"/>
                <w:szCs w:val="14"/>
                <w:color w:val="auto"/>
              </w:rPr>
            </w:pPr>
          </w:p>
        </w:tc>
        <w:tc>
          <w:tcPr>
            <w:tcW w:w="6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10,556</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96.94</w:t>
            </w:r>
          </w:p>
        </w:tc>
        <w:tc>
          <w:tcPr>
            <w:tcW w:w="800" w:type="dxa"/>
            <w:vAlign w:val="bottom"/>
            <w:tcBorders>
              <w:bottom w:val="single" w:sz="8" w:color="auto"/>
            </w:tcBorders>
            <w:shd w:val="clear" w:color="auto" w:fill="E6EDF3"/>
          </w:tcPr>
          <w:p>
            <w:pPr>
              <w:jc w:val="right"/>
              <w:ind w:right="31"/>
              <w:spacing w:after="0"/>
              <w:rPr>
                <w:sz w:val="20"/>
                <w:szCs w:val="20"/>
                <w:color w:val="auto"/>
              </w:rPr>
            </w:pPr>
            <w:r>
              <w:rPr>
                <w:rFonts w:ascii="Arial" w:cs="Arial" w:eastAsia="Arial" w:hAnsi="Arial"/>
                <w:sz w:val="14"/>
                <w:szCs w:val="14"/>
                <w:color w:val="auto"/>
              </w:rPr>
              <w:t>270,022</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520" w:right="180" w:hanging="316"/>
        <w:spacing w:after="0" w:line="258" w:lineRule="auto"/>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amounts represent the threshold, target, and maximum annual cash incentive awards for the NEOs using the scorecard approach the Committee used in exercising negative discretion under the Pool Plan. Prior to any exercise of negative discretion, the maximum amount payable to the NEOs under the Pool Plan is the lesser of a shareholder approved maximum of $5.0 million or a percentage of the award pool, which varies by executive officer. See page 40 for the pool allocation for each executive officer.</w:t>
      </w:r>
    </w:p>
    <w:p>
      <w:pPr>
        <w:spacing w:after="0" w:line="23" w:lineRule="exact"/>
        <w:rPr>
          <w:rFonts w:ascii="Arial" w:cs="Arial" w:eastAsia="Arial" w:hAnsi="Arial"/>
          <w:sz w:val="14"/>
          <w:szCs w:val="14"/>
          <w:color w:val="auto"/>
        </w:rPr>
      </w:pPr>
    </w:p>
    <w:p>
      <w:pPr>
        <w:ind w:left="520" w:right="260" w:hanging="316"/>
        <w:spacing w:after="0" w:line="291" w:lineRule="auto"/>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amounts represent the number of performance share units that could be earned related to the performance share units granted in 2017 under the 2011 Equity Incentive Plan.</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represent the number of restricted stock units granted in 2017 under the 2011 Equity Incentive Plan.</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amounts represent the number of shares underlying stock options that were granted in 2017 under the 2011 Equity Incentive Plan.</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grant date fair value of stock and option awards granted in 2017 that are reported in this column have been computed in accordance with FASB ASC Topic 718.</w:t>
      </w:r>
    </w:p>
    <w:p>
      <w:pPr>
        <w:spacing w:after="0" w:line="30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Compensation Agreements and Arrangements</w:t>
      </w:r>
    </w:p>
    <w:p>
      <w:pPr>
        <w:spacing w:after="0" w:line="170" w:lineRule="exact"/>
        <w:rPr>
          <w:sz w:val="20"/>
          <w:szCs w:val="20"/>
          <w:color w:val="auto"/>
        </w:rPr>
      </w:pPr>
    </w:p>
    <w:p>
      <w:pPr>
        <w:ind w:left="200" w:right="100"/>
        <w:spacing w:after="0" w:line="245" w:lineRule="auto"/>
        <w:rPr>
          <w:sz w:val="20"/>
          <w:szCs w:val="20"/>
          <w:color w:val="auto"/>
        </w:rPr>
      </w:pPr>
      <w:r>
        <w:rPr>
          <w:rFonts w:ascii="Arial" w:cs="Arial" w:eastAsia="Arial" w:hAnsi="Arial"/>
          <w:sz w:val="18"/>
          <w:szCs w:val="18"/>
          <w:color w:val="auto"/>
        </w:rPr>
        <w:t>Mr. Prising, Mr. McGinnis, Mr. Green, Mr. Chandrashekar and Ms. Swan currently receive an annual incentive bonus determined pursuant to an incentive arrangement with ManpowerGroup and all have entered into severance agreements with ManpowerGroup. The annual incentive bonus arrangements are described in further detail in the Compensation Discussion and Analysis included in this proxy statement and the severance agreements for each executive officer are described in further detail in the section entitled “Termination of Employment and Change of Control Arrangements” following the Nonqualified Deferred Compensation Table.</w:t>
      </w:r>
    </w:p>
    <w:p>
      <w:pPr>
        <w:spacing w:after="0" w:line="105" w:lineRule="exact"/>
        <w:rPr>
          <w:sz w:val="20"/>
          <w:szCs w:val="20"/>
          <w:color w:val="auto"/>
        </w:rPr>
      </w:pPr>
    </w:p>
    <w:p>
      <w:pPr>
        <w:ind w:left="200" w:right="240"/>
        <w:spacing w:after="0" w:line="248" w:lineRule="auto"/>
        <w:rPr>
          <w:sz w:val="20"/>
          <w:szCs w:val="20"/>
          <w:color w:val="auto"/>
        </w:rPr>
      </w:pPr>
      <w:r>
        <w:rPr>
          <w:rFonts w:ascii="Arial" w:cs="Arial" w:eastAsia="Arial" w:hAnsi="Arial"/>
          <w:sz w:val="18"/>
          <w:szCs w:val="18"/>
          <w:color w:val="auto"/>
        </w:rPr>
        <w:t>In connection with his assignment in Singapore as Executive Vice President, Operational Excellence and IT, and President, Asia Pacific Middle East, Mr. Chandrashekar also receives certain benefits. These include a car, return visit expenses to India for his family, a visit to the United States for his family and tax equalization payments related to any compensation earned by him for the time required to be spent in the United States as part of his role.</w:t>
      </w:r>
    </w:p>
    <w:p>
      <w:pPr>
        <w:spacing w:after="0" w:line="92"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55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2017 Annual Incentive Awards</w:t>
      </w:r>
    </w:p>
    <w:p>
      <w:pPr>
        <w:spacing w:after="0" w:line="170" w:lineRule="exact"/>
        <w:rPr>
          <w:sz w:val="20"/>
          <w:szCs w:val="20"/>
          <w:color w:val="auto"/>
        </w:rPr>
      </w:pPr>
    </w:p>
    <w:p>
      <w:pPr>
        <w:jc w:val="both"/>
        <w:ind w:left="200" w:right="80"/>
        <w:spacing w:after="0" w:line="306" w:lineRule="auto"/>
        <w:rPr>
          <w:sz w:val="20"/>
          <w:szCs w:val="20"/>
          <w:color w:val="auto"/>
        </w:rPr>
      </w:pPr>
      <w:r>
        <w:rPr>
          <w:rFonts w:ascii="Arial" w:cs="Arial" w:eastAsia="Arial" w:hAnsi="Arial"/>
          <w:sz w:val="17"/>
          <w:szCs w:val="17"/>
          <w:color w:val="auto"/>
        </w:rPr>
        <w:t>The following tables illustrate the achievement of the performance targets in relation to the payment of the 2017 Annual Incentive Awards. The awards are reflected in the Summary Compensation Table on page 53 under the heading “Non-Equity Incentive Plan Compensation.”</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2017, ManpowerGroup’s EPS, as reported, was $8.04 and ROIC was 16.6%.</w:t>
      </w:r>
    </w:p>
    <w:p>
      <w:pPr>
        <w:spacing w:after="0" w:line="131" w:lineRule="exact"/>
        <w:rPr>
          <w:sz w:val="20"/>
          <w:szCs w:val="20"/>
          <w:color w:val="auto"/>
        </w:rPr>
      </w:pPr>
    </w:p>
    <w:p>
      <w:pPr>
        <w:ind w:left="200" w:right="20"/>
        <w:spacing w:after="0" w:line="241" w:lineRule="auto"/>
        <w:rPr>
          <w:sz w:val="20"/>
          <w:szCs w:val="20"/>
          <w:color w:val="auto"/>
        </w:rPr>
      </w:pPr>
      <w:r>
        <w:rPr>
          <w:rFonts w:ascii="Arial" w:cs="Arial" w:eastAsia="Arial" w:hAnsi="Arial"/>
          <w:sz w:val="18"/>
          <w:szCs w:val="18"/>
          <w:color w:val="auto"/>
        </w:rPr>
        <w:t>For 2017, the Committee’s calculation of EPS for Mr. Prising and the other NEOs continued to exclude the changes in foreign currency exchange rates, which resulted in an EPS of $7.94, as well as the impact of share repurchase activity during the year (except to the extent necessary to offset dilution resulting from shares issued under equity plans), which further adjusted EPS downward to $7.92. For 2017, the Committee further adjusted EPS results downward by $1.09 so that the one-time benefit from U.S. and French tax reform would be excluded for annual incentive awards. The Committee additionally adjusted EPS upward by $ 0.13 to exclude restructuring costs, net of the savings related to these costs. These adjustments resulted in the Committee utilizing an EPS figure of $6.96 in calculating annual incentive compensation for 2017. This compared to EPS goals of $6.38 at threshold, $6.90 at target and $7.53 at outstanding.</w:t>
      </w:r>
    </w:p>
    <w:p>
      <w:pPr>
        <w:spacing w:after="0" w:line="112" w:lineRule="exact"/>
        <w:rPr>
          <w:sz w:val="20"/>
          <w:szCs w:val="20"/>
          <w:color w:val="auto"/>
        </w:rPr>
      </w:pPr>
    </w:p>
    <w:p>
      <w:pPr>
        <w:ind w:left="200" w:right="140"/>
        <w:spacing w:after="0" w:line="245" w:lineRule="auto"/>
        <w:rPr>
          <w:sz w:val="20"/>
          <w:szCs w:val="20"/>
          <w:color w:val="auto"/>
        </w:rPr>
      </w:pPr>
      <w:r>
        <w:rPr>
          <w:rFonts w:ascii="Arial" w:cs="Arial" w:eastAsia="Arial" w:hAnsi="Arial"/>
          <w:sz w:val="18"/>
          <w:szCs w:val="18"/>
          <w:color w:val="auto"/>
        </w:rPr>
        <w:t>The ROIC calculation in 2017 continued to exclude the impact of currency, which resulted in ROIC of 16.4%. Similar to EPS, for 2017 the Committee further adjusted ROIC results downward by 2.2% to exclude the one-time benefit from tax reform and also adjusted ROIC upward by 0.2% to exclude restructuring costs, net of the savings related to these charges. These adjustments resulted in the Committee utilizing an ROIC figure of 14.4% in calculating annual incentive compensation for 2017. This compared to ROIC goals of 13.0% at threshold, 14.3% at target and 16.0% at outstanding.</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5D89B4"/>
        </w:rPr>
        <w:t>Jonas Prising — 2017 Annual Incentive Calculation</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2360" w:type="dxa"/>
            <w:vAlign w:val="bottom"/>
            <w:tcBorders>
              <w:top w:val="single" w:sz="8" w:color="auto"/>
            </w:tcBorders>
            <w:shd w:val="clear" w:color="auto" w:fill="9DB8D2"/>
          </w:tcPr>
          <w:p>
            <w:pPr>
              <w:spacing w:after="0"/>
              <w:rPr>
                <w:sz w:val="22"/>
                <w:szCs w:val="22"/>
                <w:color w:val="auto"/>
              </w:rPr>
            </w:pPr>
          </w:p>
        </w:tc>
        <w:tc>
          <w:tcPr>
            <w:tcW w:w="6160" w:type="dxa"/>
            <w:vAlign w:val="bottom"/>
            <w:tcBorders>
              <w:top w:val="single" w:sz="8" w:color="auto"/>
            </w:tcBorders>
            <w:shd w:val="clear" w:color="auto" w:fill="9DB8D2"/>
          </w:tcPr>
          <w:p>
            <w:pPr>
              <w:spacing w:after="0"/>
              <w:rPr>
                <w:sz w:val="22"/>
                <w:szCs w:val="22"/>
                <w:color w:val="auto"/>
              </w:rPr>
            </w:pPr>
          </w:p>
        </w:tc>
        <w:tc>
          <w:tcPr>
            <w:tcW w:w="1440" w:type="dxa"/>
            <w:vAlign w:val="bottom"/>
            <w:tcBorders>
              <w:top w:val="single" w:sz="8" w:color="auto"/>
            </w:tcBorders>
            <w:shd w:val="clear" w:color="auto" w:fill="9DB8D2"/>
          </w:tcPr>
          <w:p>
            <w:pPr>
              <w:jc w:val="center"/>
              <w:ind w:right="263"/>
              <w:spacing w:after="0"/>
              <w:rPr>
                <w:sz w:val="20"/>
                <w:szCs w:val="20"/>
                <w:color w:val="auto"/>
              </w:rPr>
            </w:pPr>
            <w:r>
              <w:rPr>
                <w:rFonts w:ascii="Arial" w:cs="Arial" w:eastAsia="Arial" w:hAnsi="Arial"/>
                <w:sz w:val="14"/>
                <w:szCs w:val="14"/>
                <w:b w:val="1"/>
                <w:bCs w:val="1"/>
                <w:color w:val="auto"/>
              </w:rPr>
              <w:t>Percentage</w:t>
            </w:r>
          </w:p>
        </w:tc>
        <w:tc>
          <w:tcPr>
            <w:tcW w:w="220" w:type="dxa"/>
            <w:vAlign w:val="bottom"/>
            <w:tcBorders>
              <w:top w:val="single" w:sz="8" w:color="auto"/>
            </w:tcBorders>
            <w:shd w:val="clear" w:color="auto" w:fill="9DB8D2"/>
          </w:tcPr>
          <w:p>
            <w:pPr>
              <w:spacing w:after="0"/>
              <w:rPr>
                <w:sz w:val="22"/>
                <w:szCs w:val="22"/>
                <w:color w:val="auto"/>
              </w:rPr>
            </w:pPr>
          </w:p>
        </w:tc>
        <w:tc>
          <w:tcPr>
            <w:tcW w:w="840" w:type="dxa"/>
            <w:vAlign w:val="bottom"/>
            <w:tcBorders>
              <w:top w:val="single" w:sz="8" w:color="auto"/>
            </w:tcBorders>
            <w:shd w:val="clear" w:color="auto" w:fill="9DB8D2"/>
          </w:tcPr>
          <w:p>
            <w:pPr>
              <w:spacing w:after="0"/>
              <w:rPr>
                <w:sz w:val="22"/>
                <w:szCs w:val="22"/>
                <w:color w:val="auto"/>
              </w:rPr>
            </w:pPr>
          </w:p>
        </w:tc>
      </w:tr>
      <w:tr>
        <w:trPr>
          <w:trHeight w:val="162"/>
        </w:trPr>
        <w:tc>
          <w:tcPr>
            <w:tcW w:w="2360" w:type="dxa"/>
            <w:vAlign w:val="bottom"/>
            <w:shd w:val="clear" w:color="auto" w:fill="9DB8D2"/>
          </w:tcPr>
          <w:p>
            <w:pPr>
              <w:spacing w:after="0"/>
              <w:rPr>
                <w:sz w:val="14"/>
                <w:szCs w:val="14"/>
                <w:color w:val="auto"/>
              </w:rPr>
            </w:pPr>
          </w:p>
        </w:tc>
        <w:tc>
          <w:tcPr>
            <w:tcW w:w="6160" w:type="dxa"/>
            <w:vAlign w:val="bottom"/>
            <w:shd w:val="clear" w:color="auto" w:fill="9DB8D2"/>
          </w:tcPr>
          <w:p>
            <w:pPr>
              <w:ind w:left="4700"/>
              <w:spacing w:after="0"/>
              <w:rPr>
                <w:sz w:val="20"/>
                <w:szCs w:val="20"/>
                <w:color w:val="auto"/>
              </w:rPr>
            </w:pPr>
            <w:r>
              <w:rPr>
                <w:rFonts w:ascii="Arial" w:cs="Arial" w:eastAsia="Arial" w:hAnsi="Arial"/>
                <w:sz w:val="14"/>
                <w:szCs w:val="14"/>
                <w:b w:val="1"/>
                <w:bCs w:val="1"/>
                <w:color w:val="auto"/>
              </w:rPr>
              <w:t>Performance</w:t>
            </w:r>
          </w:p>
        </w:tc>
        <w:tc>
          <w:tcPr>
            <w:tcW w:w="1440" w:type="dxa"/>
            <w:vAlign w:val="bottom"/>
            <w:shd w:val="clear" w:color="auto" w:fill="9DB8D2"/>
          </w:tcPr>
          <w:p>
            <w:pPr>
              <w:jc w:val="center"/>
              <w:ind w:right="263"/>
              <w:spacing w:after="0"/>
              <w:rPr>
                <w:sz w:val="20"/>
                <w:szCs w:val="20"/>
                <w:color w:val="auto"/>
              </w:rPr>
            </w:pPr>
            <w:r>
              <w:rPr>
                <w:rFonts w:ascii="Arial" w:cs="Arial" w:eastAsia="Arial" w:hAnsi="Arial"/>
                <w:sz w:val="14"/>
                <w:szCs w:val="14"/>
                <w:b w:val="1"/>
                <w:bCs w:val="1"/>
                <w:color w:val="auto"/>
              </w:rPr>
              <w:t>of 2017</w:t>
            </w:r>
          </w:p>
        </w:tc>
        <w:tc>
          <w:tcPr>
            <w:tcW w:w="220" w:type="dxa"/>
            <w:vAlign w:val="bottom"/>
            <w:shd w:val="clear" w:color="auto" w:fill="9DB8D2"/>
          </w:tcPr>
          <w:p>
            <w:pPr>
              <w:spacing w:after="0"/>
              <w:rPr>
                <w:sz w:val="14"/>
                <w:szCs w:val="14"/>
                <w:color w:val="auto"/>
              </w:rPr>
            </w:pPr>
          </w:p>
        </w:tc>
        <w:tc>
          <w:tcPr>
            <w:tcW w:w="840" w:type="dxa"/>
            <w:vAlign w:val="bottom"/>
            <w:shd w:val="clear" w:color="auto" w:fill="9DB8D2"/>
          </w:tcPr>
          <w:p>
            <w:pPr>
              <w:jc w:val="center"/>
              <w:ind w:right="142"/>
              <w:spacing w:after="0"/>
              <w:rPr>
                <w:sz w:val="20"/>
                <w:szCs w:val="20"/>
                <w:color w:val="auto"/>
              </w:rPr>
            </w:pPr>
            <w:r>
              <w:rPr>
                <w:rFonts w:ascii="Arial" w:cs="Arial" w:eastAsia="Arial" w:hAnsi="Arial"/>
                <w:sz w:val="14"/>
                <w:szCs w:val="14"/>
                <w:b w:val="1"/>
                <w:bCs w:val="1"/>
                <w:color w:val="auto"/>
              </w:rPr>
              <w:t>Amount</w:t>
            </w:r>
          </w:p>
        </w:tc>
      </w:tr>
      <w:tr>
        <w:trPr>
          <w:trHeight w:val="191"/>
        </w:trPr>
        <w:tc>
          <w:tcPr>
            <w:tcW w:w="2360" w:type="dxa"/>
            <w:vAlign w:val="bottom"/>
            <w:tcBorders>
              <w:bottom w:val="single" w:sz="8" w:color="auto"/>
            </w:tcBorders>
            <w:shd w:val="clear" w:color="auto" w:fill="9DB8D2"/>
          </w:tcPr>
          <w:p>
            <w:pPr>
              <w:spacing w:after="0"/>
              <w:rPr>
                <w:sz w:val="16"/>
                <w:szCs w:val="16"/>
                <w:color w:val="auto"/>
              </w:rPr>
            </w:pPr>
          </w:p>
        </w:tc>
        <w:tc>
          <w:tcPr>
            <w:tcW w:w="6160" w:type="dxa"/>
            <w:vAlign w:val="bottom"/>
            <w:tcBorders>
              <w:bottom w:val="single" w:sz="8" w:color="auto"/>
            </w:tcBorders>
            <w:shd w:val="clear" w:color="auto" w:fill="9DB8D2"/>
          </w:tcPr>
          <w:p>
            <w:pPr>
              <w:ind w:left="4960"/>
              <w:spacing w:after="0"/>
              <w:rPr>
                <w:sz w:val="20"/>
                <w:szCs w:val="20"/>
                <w:color w:val="auto"/>
              </w:rPr>
            </w:pPr>
            <w:r>
              <w:rPr>
                <w:rFonts w:ascii="Arial" w:cs="Arial" w:eastAsia="Arial" w:hAnsi="Arial"/>
                <w:sz w:val="14"/>
                <w:szCs w:val="14"/>
                <w:b w:val="1"/>
                <w:bCs w:val="1"/>
                <w:color w:val="auto"/>
              </w:rPr>
              <w:t>Level</w:t>
            </w:r>
          </w:p>
        </w:tc>
        <w:tc>
          <w:tcPr>
            <w:tcW w:w="1440" w:type="dxa"/>
            <w:vAlign w:val="bottom"/>
            <w:tcBorders>
              <w:bottom w:val="single" w:sz="8" w:color="auto"/>
            </w:tcBorders>
            <w:shd w:val="clear" w:color="auto" w:fill="9DB8D2"/>
          </w:tcPr>
          <w:p>
            <w:pPr>
              <w:jc w:val="center"/>
              <w:ind w:right="263"/>
              <w:spacing w:after="0"/>
              <w:rPr>
                <w:sz w:val="20"/>
                <w:szCs w:val="20"/>
                <w:color w:val="auto"/>
              </w:rPr>
            </w:pPr>
            <w:r>
              <w:rPr>
                <w:rFonts w:ascii="Arial" w:cs="Arial" w:eastAsia="Arial" w:hAnsi="Arial"/>
                <w:sz w:val="14"/>
                <w:szCs w:val="14"/>
                <w:b w:val="1"/>
                <w:bCs w:val="1"/>
                <w:color w:val="auto"/>
                <w:w w:val="99"/>
              </w:rPr>
              <w:t>Salary</w:t>
            </w:r>
          </w:p>
        </w:tc>
        <w:tc>
          <w:tcPr>
            <w:tcW w:w="220" w:type="dxa"/>
            <w:vAlign w:val="bottom"/>
            <w:tcBorders>
              <w:bottom w:val="single" w:sz="8" w:color="auto"/>
            </w:tcBorders>
            <w:shd w:val="clear" w:color="auto" w:fill="9DB8D2"/>
          </w:tcPr>
          <w:p>
            <w:pPr>
              <w:spacing w:after="0"/>
              <w:rPr>
                <w:sz w:val="16"/>
                <w:szCs w:val="16"/>
                <w:color w:val="auto"/>
              </w:rPr>
            </w:pPr>
          </w:p>
        </w:tc>
        <w:tc>
          <w:tcPr>
            <w:tcW w:w="840" w:type="dxa"/>
            <w:vAlign w:val="bottom"/>
            <w:tcBorders>
              <w:bottom w:val="single" w:sz="8" w:color="auto"/>
            </w:tcBorders>
            <w:shd w:val="clear" w:color="auto" w:fill="9DB8D2"/>
          </w:tcPr>
          <w:p>
            <w:pPr>
              <w:jc w:val="center"/>
              <w:ind w:right="162"/>
              <w:spacing w:after="0"/>
              <w:rPr>
                <w:sz w:val="20"/>
                <w:szCs w:val="20"/>
                <w:color w:val="auto"/>
              </w:rPr>
            </w:pPr>
            <w:r>
              <w:rPr>
                <w:rFonts w:ascii="Arial" w:cs="Arial" w:eastAsia="Arial" w:hAnsi="Arial"/>
                <w:sz w:val="14"/>
                <w:szCs w:val="14"/>
                <w:b w:val="1"/>
                <w:bCs w:val="1"/>
                <w:color w:val="auto"/>
              </w:rPr>
              <w:t>Earned</w:t>
            </w:r>
          </w:p>
        </w:tc>
      </w:tr>
      <w:tr>
        <w:trPr>
          <w:trHeight w:val="183"/>
        </w:trPr>
        <w:tc>
          <w:tcPr>
            <w:tcW w:w="2360" w:type="dxa"/>
            <w:vAlign w:val="bottom"/>
            <w:shd w:val="clear" w:color="auto" w:fill="E6EDF3"/>
          </w:tcPr>
          <w:p>
            <w:pPr>
              <w:ind w:left="60"/>
              <w:spacing w:after="0" w:line="183" w:lineRule="exact"/>
              <w:rPr>
                <w:sz w:val="20"/>
                <w:szCs w:val="20"/>
                <w:color w:val="auto"/>
              </w:rPr>
            </w:pPr>
            <w:r>
              <w:rPr>
                <w:rFonts w:ascii="Arial" w:cs="Arial" w:eastAsia="Arial" w:hAnsi="Arial"/>
                <w:sz w:val="16"/>
                <w:szCs w:val="16"/>
                <w:color w:val="auto"/>
              </w:rPr>
              <w:t>EPS Goal</w:t>
            </w:r>
          </w:p>
        </w:tc>
        <w:tc>
          <w:tcPr>
            <w:tcW w:w="6160" w:type="dxa"/>
            <w:vAlign w:val="bottom"/>
            <w:shd w:val="clear" w:color="auto" w:fill="E6EDF3"/>
          </w:tcPr>
          <w:p>
            <w:pPr>
              <w:ind w:left="4700"/>
              <w:spacing w:after="0" w:line="183" w:lineRule="exact"/>
              <w:rPr>
                <w:sz w:val="20"/>
                <w:szCs w:val="20"/>
                <w:color w:val="auto"/>
              </w:rPr>
            </w:pPr>
            <w:r>
              <w:rPr>
                <w:rFonts w:ascii="Arial" w:cs="Arial" w:eastAsia="Arial" w:hAnsi="Arial"/>
                <w:sz w:val="16"/>
                <w:szCs w:val="16"/>
                <w:color w:val="auto"/>
              </w:rPr>
              <w:t>Above Target</w:t>
            </w:r>
          </w:p>
        </w:tc>
        <w:tc>
          <w:tcPr>
            <w:tcW w:w="1440" w:type="dxa"/>
            <w:vAlign w:val="bottom"/>
            <w:shd w:val="clear" w:color="auto" w:fill="E6EDF3"/>
          </w:tcPr>
          <w:p>
            <w:pPr>
              <w:jc w:val="right"/>
              <w:ind w:right="283"/>
              <w:spacing w:after="0" w:line="183" w:lineRule="exact"/>
              <w:rPr>
                <w:sz w:val="20"/>
                <w:szCs w:val="20"/>
                <w:color w:val="auto"/>
              </w:rPr>
            </w:pPr>
            <w:r>
              <w:rPr>
                <w:rFonts w:ascii="Arial" w:cs="Arial" w:eastAsia="Arial" w:hAnsi="Arial"/>
                <w:sz w:val="16"/>
                <w:szCs w:val="16"/>
                <w:color w:val="auto"/>
              </w:rPr>
              <w:t>65.7%</w:t>
            </w:r>
          </w:p>
        </w:tc>
        <w:tc>
          <w:tcPr>
            <w:tcW w:w="22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6EDF3"/>
          </w:tcPr>
          <w:p>
            <w:pPr>
              <w:jc w:val="right"/>
              <w:ind w:right="42"/>
              <w:spacing w:after="0" w:line="183" w:lineRule="exact"/>
              <w:rPr>
                <w:sz w:val="20"/>
                <w:szCs w:val="20"/>
                <w:color w:val="auto"/>
              </w:rPr>
            </w:pPr>
            <w:r>
              <w:rPr>
                <w:rFonts w:ascii="Arial" w:cs="Arial" w:eastAsia="Arial" w:hAnsi="Arial"/>
                <w:sz w:val="16"/>
                <w:szCs w:val="16"/>
                <w:color w:val="auto"/>
              </w:rPr>
              <w:t>821,428</w:t>
            </w:r>
          </w:p>
        </w:tc>
      </w:tr>
      <w:tr>
        <w:trPr>
          <w:trHeight w:val="189"/>
        </w:trPr>
        <w:tc>
          <w:tcPr>
            <w:tcW w:w="2360" w:type="dxa"/>
            <w:vAlign w:val="bottom"/>
          </w:tcPr>
          <w:p>
            <w:pPr>
              <w:ind w:left="60"/>
              <w:spacing w:after="0"/>
              <w:rPr>
                <w:sz w:val="20"/>
                <w:szCs w:val="20"/>
                <w:color w:val="auto"/>
              </w:rPr>
            </w:pPr>
            <w:r>
              <w:rPr>
                <w:rFonts w:ascii="Arial" w:cs="Arial" w:eastAsia="Arial" w:hAnsi="Arial"/>
                <w:sz w:val="16"/>
                <w:szCs w:val="16"/>
                <w:color w:val="auto"/>
              </w:rPr>
              <w:t>ROIC Goal</w:t>
            </w:r>
          </w:p>
        </w:tc>
        <w:tc>
          <w:tcPr>
            <w:tcW w:w="6160" w:type="dxa"/>
            <w:vAlign w:val="bottom"/>
          </w:tcPr>
          <w:p>
            <w:pPr>
              <w:ind w:left="4700"/>
              <w:spacing w:after="0"/>
              <w:rPr>
                <w:sz w:val="20"/>
                <w:szCs w:val="20"/>
                <w:color w:val="auto"/>
              </w:rPr>
            </w:pPr>
            <w:r>
              <w:rPr>
                <w:rFonts w:ascii="Arial" w:cs="Arial" w:eastAsia="Arial" w:hAnsi="Arial"/>
                <w:sz w:val="16"/>
                <w:szCs w:val="16"/>
                <w:color w:val="auto"/>
              </w:rPr>
              <w:t>Above Target</w:t>
            </w:r>
          </w:p>
        </w:tc>
        <w:tc>
          <w:tcPr>
            <w:tcW w:w="1440" w:type="dxa"/>
            <w:vAlign w:val="bottom"/>
          </w:tcPr>
          <w:p>
            <w:pPr>
              <w:jc w:val="right"/>
              <w:ind w:right="283"/>
              <w:spacing w:after="0"/>
              <w:rPr>
                <w:sz w:val="20"/>
                <w:szCs w:val="20"/>
                <w:color w:val="auto"/>
              </w:rPr>
            </w:pPr>
            <w:r>
              <w:rPr>
                <w:rFonts w:ascii="Arial" w:cs="Arial" w:eastAsia="Arial" w:hAnsi="Arial"/>
                <w:sz w:val="16"/>
                <w:szCs w:val="16"/>
                <w:color w:val="auto"/>
              </w:rPr>
              <w:t>63.5%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794,118</w:t>
            </w:r>
          </w:p>
        </w:tc>
      </w:tr>
      <w:tr>
        <w:trPr>
          <w:trHeight w:val="189"/>
        </w:trPr>
        <w:tc>
          <w:tcPr>
            <w:tcW w:w="2360" w:type="dxa"/>
            <w:vAlign w:val="bottom"/>
            <w:shd w:val="clear" w:color="auto" w:fill="E6EDF3"/>
          </w:tcPr>
          <w:p>
            <w:pPr>
              <w:ind w:left="60"/>
              <w:spacing w:after="0"/>
              <w:rPr>
                <w:sz w:val="20"/>
                <w:szCs w:val="20"/>
                <w:color w:val="auto"/>
              </w:rPr>
            </w:pPr>
            <w:r>
              <w:rPr>
                <w:rFonts w:ascii="Arial" w:cs="Arial" w:eastAsia="Arial" w:hAnsi="Arial"/>
                <w:sz w:val="16"/>
                <w:szCs w:val="16"/>
                <w:color w:val="auto"/>
              </w:rPr>
              <w:t>Operating Objectives</w:t>
            </w:r>
          </w:p>
        </w:tc>
        <w:tc>
          <w:tcPr>
            <w:tcW w:w="6160" w:type="dxa"/>
            <w:vAlign w:val="bottom"/>
            <w:shd w:val="clear" w:color="auto" w:fill="E6EDF3"/>
          </w:tcPr>
          <w:p>
            <w:pPr>
              <w:ind w:left="4700"/>
              <w:spacing w:after="0"/>
              <w:rPr>
                <w:sz w:val="20"/>
                <w:szCs w:val="20"/>
                <w:color w:val="auto"/>
              </w:rPr>
            </w:pPr>
            <w:r>
              <w:rPr>
                <w:rFonts w:ascii="Arial" w:cs="Arial" w:eastAsia="Arial" w:hAnsi="Arial"/>
                <w:sz w:val="16"/>
                <w:szCs w:val="16"/>
                <w:color w:val="auto"/>
              </w:rPr>
              <w:t>Above Target</w:t>
            </w:r>
          </w:p>
        </w:tc>
        <w:tc>
          <w:tcPr>
            <w:tcW w:w="1440" w:type="dxa"/>
            <w:vAlign w:val="bottom"/>
            <w:shd w:val="clear" w:color="auto" w:fill="E6EDF3"/>
          </w:tcPr>
          <w:p>
            <w:pPr>
              <w:jc w:val="right"/>
              <w:ind w:right="283"/>
              <w:spacing w:after="0"/>
              <w:rPr>
                <w:sz w:val="20"/>
                <w:szCs w:val="20"/>
                <w:color w:val="auto"/>
              </w:rPr>
            </w:pPr>
            <w:r>
              <w:rPr>
                <w:rFonts w:ascii="Arial" w:cs="Arial" w:eastAsia="Arial" w:hAnsi="Arial"/>
                <w:sz w:val="16"/>
                <w:szCs w:val="16"/>
                <w:color w:val="auto"/>
              </w:rPr>
              <w:t>50.0%</w:t>
            </w:r>
          </w:p>
        </w:tc>
        <w:tc>
          <w:tcPr>
            <w:tcW w:w="2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625,000</w:t>
            </w:r>
          </w:p>
        </w:tc>
      </w:tr>
      <w:tr>
        <w:trPr>
          <w:trHeight w:val="189"/>
        </w:trPr>
        <w:tc>
          <w:tcPr>
            <w:tcW w:w="23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Incentive</w:t>
            </w:r>
          </w:p>
        </w:tc>
        <w:tc>
          <w:tcPr>
            <w:tcW w:w="6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179.2%</w:t>
            </w:r>
          </w:p>
        </w:tc>
        <w:tc>
          <w:tcPr>
            <w:tcW w:w="106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color w:val="auto"/>
              </w:rPr>
              <w:t>$2,240,546</w:t>
            </w:r>
          </w:p>
        </w:tc>
      </w:tr>
      <w:tr>
        <w:trPr>
          <w:trHeight w:val="438"/>
        </w:trPr>
        <w:tc>
          <w:tcPr>
            <w:tcW w:w="2360" w:type="dxa"/>
            <w:vAlign w:val="bottom"/>
          </w:tcPr>
          <w:p>
            <w:pPr>
              <w:spacing w:after="0"/>
              <w:rPr>
                <w:sz w:val="24"/>
                <w:szCs w:val="24"/>
                <w:color w:val="auto"/>
              </w:rPr>
            </w:pPr>
          </w:p>
        </w:tc>
        <w:tc>
          <w:tcPr>
            <w:tcW w:w="6160" w:type="dxa"/>
            <w:vAlign w:val="bottom"/>
          </w:tcPr>
          <w:p>
            <w:pPr>
              <w:ind w:left="800"/>
              <w:spacing w:after="0"/>
              <w:rPr>
                <w:sz w:val="20"/>
                <w:szCs w:val="20"/>
                <w:color w:val="auto"/>
              </w:rPr>
            </w:pPr>
            <w:r>
              <w:rPr>
                <w:rFonts w:ascii="Arial" w:cs="Arial" w:eastAsia="Arial" w:hAnsi="Arial"/>
                <w:sz w:val="18"/>
                <w:szCs w:val="18"/>
                <w:b w:val="1"/>
                <w:bCs w:val="1"/>
                <w:color w:val="5D89B4"/>
              </w:rPr>
              <w:t>John T. McGinnis — 2017 Annual Incentive Calculation</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3"/>
        </w:trPr>
        <w:tc>
          <w:tcPr>
            <w:tcW w:w="2360" w:type="dxa"/>
            <w:vAlign w:val="bottom"/>
            <w:tcBorders>
              <w:bottom w:val="single" w:sz="8" w:color="auto"/>
            </w:tcBorders>
          </w:tcPr>
          <w:p>
            <w:pPr>
              <w:spacing w:after="0"/>
              <w:rPr>
                <w:sz w:val="10"/>
                <w:szCs w:val="10"/>
                <w:color w:val="auto"/>
              </w:rPr>
            </w:pPr>
          </w:p>
        </w:tc>
        <w:tc>
          <w:tcPr>
            <w:tcW w:w="6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r>
        <w:trPr>
          <w:trHeight w:val="235"/>
        </w:trPr>
        <w:tc>
          <w:tcPr>
            <w:tcW w:w="2360" w:type="dxa"/>
            <w:vAlign w:val="bottom"/>
            <w:shd w:val="clear" w:color="auto" w:fill="9DB8D2"/>
          </w:tcPr>
          <w:p>
            <w:pPr>
              <w:spacing w:after="0"/>
              <w:rPr>
                <w:sz w:val="20"/>
                <w:szCs w:val="20"/>
                <w:color w:val="auto"/>
              </w:rPr>
            </w:pPr>
          </w:p>
        </w:tc>
        <w:tc>
          <w:tcPr>
            <w:tcW w:w="6160" w:type="dxa"/>
            <w:vAlign w:val="bottom"/>
            <w:shd w:val="clear" w:color="auto" w:fill="9DB8D2"/>
          </w:tcPr>
          <w:p>
            <w:pPr>
              <w:spacing w:after="0"/>
              <w:rPr>
                <w:sz w:val="20"/>
                <w:szCs w:val="20"/>
                <w:color w:val="auto"/>
              </w:rPr>
            </w:pPr>
          </w:p>
        </w:tc>
        <w:tc>
          <w:tcPr>
            <w:tcW w:w="1440" w:type="dxa"/>
            <w:vAlign w:val="bottom"/>
            <w:shd w:val="clear" w:color="auto" w:fill="9DB8D2"/>
          </w:tcPr>
          <w:p>
            <w:pPr>
              <w:jc w:val="center"/>
              <w:ind w:left="63"/>
              <w:spacing w:after="0"/>
              <w:rPr>
                <w:sz w:val="20"/>
                <w:szCs w:val="20"/>
                <w:color w:val="auto"/>
              </w:rPr>
            </w:pPr>
            <w:r>
              <w:rPr>
                <w:rFonts w:ascii="Arial" w:cs="Arial" w:eastAsia="Arial" w:hAnsi="Arial"/>
                <w:sz w:val="14"/>
                <w:szCs w:val="14"/>
                <w:b w:val="1"/>
                <w:bCs w:val="1"/>
                <w:color w:val="auto"/>
              </w:rPr>
              <w:t>Percentage</w:t>
            </w:r>
          </w:p>
        </w:tc>
        <w:tc>
          <w:tcPr>
            <w:tcW w:w="220" w:type="dxa"/>
            <w:vAlign w:val="bottom"/>
            <w:shd w:val="clear" w:color="auto" w:fill="9DB8D2"/>
          </w:tcPr>
          <w:p>
            <w:pPr>
              <w:spacing w:after="0"/>
              <w:rPr>
                <w:sz w:val="20"/>
                <w:szCs w:val="20"/>
                <w:color w:val="auto"/>
              </w:rPr>
            </w:pPr>
          </w:p>
        </w:tc>
        <w:tc>
          <w:tcPr>
            <w:tcW w:w="840" w:type="dxa"/>
            <w:vAlign w:val="bottom"/>
            <w:shd w:val="clear" w:color="auto" w:fill="9DB8D2"/>
          </w:tcPr>
          <w:p>
            <w:pPr>
              <w:spacing w:after="0"/>
              <w:rPr>
                <w:sz w:val="20"/>
                <w:szCs w:val="20"/>
                <w:color w:val="auto"/>
              </w:rPr>
            </w:pPr>
          </w:p>
        </w:tc>
      </w:tr>
      <w:tr>
        <w:trPr>
          <w:trHeight w:val="162"/>
        </w:trPr>
        <w:tc>
          <w:tcPr>
            <w:tcW w:w="2360" w:type="dxa"/>
            <w:vAlign w:val="bottom"/>
            <w:shd w:val="clear" w:color="auto" w:fill="9DB8D2"/>
          </w:tcPr>
          <w:p>
            <w:pPr>
              <w:spacing w:after="0"/>
              <w:rPr>
                <w:sz w:val="14"/>
                <w:szCs w:val="14"/>
                <w:color w:val="auto"/>
              </w:rPr>
            </w:pPr>
          </w:p>
        </w:tc>
        <w:tc>
          <w:tcPr>
            <w:tcW w:w="6160" w:type="dxa"/>
            <w:vAlign w:val="bottom"/>
            <w:shd w:val="clear" w:color="auto" w:fill="9DB8D2"/>
          </w:tcPr>
          <w:p>
            <w:pPr>
              <w:ind w:left="5040"/>
              <w:spacing w:after="0"/>
              <w:rPr>
                <w:sz w:val="20"/>
                <w:szCs w:val="20"/>
                <w:color w:val="auto"/>
              </w:rPr>
            </w:pPr>
            <w:r>
              <w:rPr>
                <w:rFonts w:ascii="Arial" w:cs="Arial" w:eastAsia="Arial" w:hAnsi="Arial"/>
                <w:sz w:val="14"/>
                <w:szCs w:val="14"/>
                <w:b w:val="1"/>
                <w:bCs w:val="1"/>
                <w:color w:val="auto"/>
              </w:rPr>
              <w:t>Performance</w:t>
            </w:r>
          </w:p>
        </w:tc>
        <w:tc>
          <w:tcPr>
            <w:tcW w:w="1440" w:type="dxa"/>
            <w:vAlign w:val="bottom"/>
            <w:shd w:val="clear" w:color="auto" w:fill="9DB8D2"/>
          </w:tcPr>
          <w:p>
            <w:pPr>
              <w:jc w:val="center"/>
              <w:ind w:left="63"/>
              <w:spacing w:after="0"/>
              <w:rPr>
                <w:sz w:val="20"/>
                <w:szCs w:val="20"/>
                <w:color w:val="auto"/>
              </w:rPr>
            </w:pPr>
            <w:r>
              <w:rPr>
                <w:rFonts w:ascii="Arial" w:cs="Arial" w:eastAsia="Arial" w:hAnsi="Arial"/>
                <w:sz w:val="14"/>
                <w:szCs w:val="14"/>
                <w:b w:val="1"/>
                <w:bCs w:val="1"/>
                <w:color w:val="auto"/>
              </w:rPr>
              <w:t>of 2017</w:t>
            </w:r>
          </w:p>
        </w:tc>
        <w:tc>
          <w:tcPr>
            <w:tcW w:w="220" w:type="dxa"/>
            <w:vAlign w:val="bottom"/>
            <w:shd w:val="clear" w:color="auto" w:fill="9DB8D2"/>
          </w:tcPr>
          <w:p>
            <w:pPr>
              <w:spacing w:after="0"/>
              <w:rPr>
                <w:sz w:val="14"/>
                <w:szCs w:val="14"/>
                <w:color w:val="auto"/>
              </w:rPr>
            </w:pPr>
          </w:p>
        </w:tc>
        <w:tc>
          <w:tcPr>
            <w:tcW w:w="840" w:type="dxa"/>
            <w:vAlign w:val="bottom"/>
            <w:shd w:val="clear" w:color="auto" w:fill="9DB8D2"/>
          </w:tcPr>
          <w:p>
            <w:pPr>
              <w:jc w:val="right"/>
              <w:ind w:right="122"/>
              <w:spacing w:after="0"/>
              <w:rPr>
                <w:sz w:val="20"/>
                <w:szCs w:val="20"/>
                <w:color w:val="auto"/>
              </w:rPr>
            </w:pPr>
            <w:r>
              <w:rPr>
                <w:rFonts w:ascii="Arial" w:cs="Arial" w:eastAsia="Arial" w:hAnsi="Arial"/>
                <w:sz w:val="14"/>
                <w:szCs w:val="14"/>
                <w:b w:val="1"/>
                <w:bCs w:val="1"/>
                <w:color w:val="auto"/>
              </w:rPr>
              <w:t>Amount</w:t>
            </w:r>
          </w:p>
        </w:tc>
      </w:tr>
      <w:tr>
        <w:trPr>
          <w:trHeight w:val="191"/>
        </w:trPr>
        <w:tc>
          <w:tcPr>
            <w:tcW w:w="2360" w:type="dxa"/>
            <w:vAlign w:val="bottom"/>
            <w:tcBorders>
              <w:bottom w:val="single" w:sz="8" w:color="auto"/>
            </w:tcBorders>
            <w:shd w:val="clear" w:color="auto" w:fill="9DB8D2"/>
          </w:tcPr>
          <w:p>
            <w:pPr>
              <w:spacing w:after="0"/>
              <w:rPr>
                <w:sz w:val="16"/>
                <w:szCs w:val="16"/>
                <w:color w:val="auto"/>
              </w:rPr>
            </w:pPr>
          </w:p>
        </w:tc>
        <w:tc>
          <w:tcPr>
            <w:tcW w:w="6160" w:type="dxa"/>
            <w:vAlign w:val="bottom"/>
            <w:tcBorders>
              <w:bottom w:val="single" w:sz="8" w:color="auto"/>
            </w:tcBorders>
            <w:shd w:val="clear" w:color="auto" w:fill="9DB8D2"/>
          </w:tcPr>
          <w:p>
            <w:pPr>
              <w:ind w:left="5300"/>
              <w:spacing w:after="0"/>
              <w:rPr>
                <w:sz w:val="20"/>
                <w:szCs w:val="20"/>
                <w:color w:val="auto"/>
              </w:rPr>
            </w:pPr>
            <w:r>
              <w:rPr>
                <w:rFonts w:ascii="Arial" w:cs="Arial" w:eastAsia="Arial" w:hAnsi="Arial"/>
                <w:sz w:val="14"/>
                <w:szCs w:val="14"/>
                <w:b w:val="1"/>
                <w:bCs w:val="1"/>
                <w:color w:val="auto"/>
              </w:rPr>
              <w:t>Level</w:t>
            </w:r>
          </w:p>
        </w:tc>
        <w:tc>
          <w:tcPr>
            <w:tcW w:w="1440" w:type="dxa"/>
            <w:vAlign w:val="bottom"/>
            <w:tcBorders>
              <w:bottom w:val="single" w:sz="8" w:color="auto"/>
            </w:tcBorders>
            <w:shd w:val="clear" w:color="auto" w:fill="9DB8D2"/>
          </w:tcPr>
          <w:p>
            <w:pPr>
              <w:jc w:val="center"/>
              <w:ind w:left="43"/>
              <w:spacing w:after="0"/>
              <w:rPr>
                <w:sz w:val="20"/>
                <w:szCs w:val="20"/>
                <w:color w:val="auto"/>
              </w:rPr>
            </w:pPr>
            <w:r>
              <w:rPr>
                <w:rFonts w:ascii="Arial" w:cs="Arial" w:eastAsia="Arial" w:hAnsi="Arial"/>
                <w:sz w:val="14"/>
                <w:szCs w:val="14"/>
                <w:b w:val="1"/>
                <w:bCs w:val="1"/>
                <w:color w:val="auto"/>
              </w:rPr>
              <w:t>Salary</w:t>
            </w:r>
          </w:p>
        </w:tc>
        <w:tc>
          <w:tcPr>
            <w:tcW w:w="220" w:type="dxa"/>
            <w:vAlign w:val="bottom"/>
            <w:tcBorders>
              <w:bottom w:val="single" w:sz="8" w:color="auto"/>
            </w:tcBorders>
            <w:shd w:val="clear" w:color="auto" w:fill="9DB8D2"/>
          </w:tcPr>
          <w:p>
            <w:pPr>
              <w:spacing w:after="0"/>
              <w:rPr>
                <w:sz w:val="16"/>
                <w:szCs w:val="16"/>
                <w:color w:val="auto"/>
              </w:rPr>
            </w:pPr>
          </w:p>
        </w:tc>
        <w:tc>
          <w:tcPr>
            <w:tcW w:w="840" w:type="dxa"/>
            <w:vAlign w:val="bottom"/>
            <w:tcBorders>
              <w:bottom w:val="single" w:sz="8" w:color="auto"/>
            </w:tcBorders>
            <w:shd w:val="clear" w:color="auto" w:fill="9DB8D2"/>
          </w:tcPr>
          <w:p>
            <w:pPr>
              <w:jc w:val="right"/>
              <w:ind w:right="142"/>
              <w:spacing w:after="0"/>
              <w:rPr>
                <w:sz w:val="20"/>
                <w:szCs w:val="20"/>
                <w:color w:val="auto"/>
              </w:rPr>
            </w:pPr>
            <w:r>
              <w:rPr>
                <w:rFonts w:ascii="Arial" w:cs="Arial" w:eastAsia="Arial" w:hAnsi="Arial"/>
                <w:sz w:val="14"/>
                <w:szCs w:val="14"/>
                <w:b w:val="1"/>
                <w:bCs w:val="1"/>
                <w:color w:val="auto"/>
              </w:rPr>
              <w:t>Earned</w:t>
            </w:r>
          </w:p>
        </w:tc>
      </w:tr>
      <w:tr>
        <w:trPr>
          <w:trHeight w:val="183"/>
        </w:trPr>
        <w:tc>
          <w:tcPr>
            <w:tcW w:w="2360" w:type="dxa"/>
            <w:vAlign w:val="bottom"/>
            <w:shd w:val="clear" w:color="auto" w:fill="E6EDF3"/>
          </w:tcPr>
          <w:p>
            <w:pPr>
              <w:ind w:left="60"/>
              <w:spacing w:after="0" w:line="183" w:lineRule="exact"/>
              <w:rPr>
                <w:sz w:val="20"/>
                <w:szCs w:val="20"/>
                <w:color w:val="auto"/>
              </w:rPr>
            </w:pPr>
            <w:r>
              <w:rPr>
                <w:rFonts w:ascii="Arial" w:cs="Arial" w:eastAsia="Arial" w:hAnsi="Arial"/>
                <w:sz w:val="16"/>
                <w:szCs w:val="16"/>
                <w:color w:val="auto"/>
              </w:rPr>
              <w:t>EPS Goal</w:t>
            </w:r>
          </w:p>
        </w:tc>
        <w:tc>
          <w:tcPr>
            <w:tcW w:w="6160" w:type="dxa"/>
            <w:vAlign w:val="bottom"/>
            <w:shd w:val="clear" w:color="auto" w:fill="E6EDF3"/>
          </w:tcPr>
          <w:p>
            <w:pPr>
              <w:ind w:left="5040"/>
              <w:spacing w:after="0" w:line="183" w:lineRule="exact"/>
              <w:rPr>
                <w:sz w:val="20"/>
                <w:szCs w:val="20"/>
                <w:color w:val="auto"/>
              </w:rPr>
            </w:pPr>
            <w:r>
              <w:rPr>
                <w:rFonts w:ascii="Arial" w:cs="Arial" w:eastAsia="Arial" w:hAnsi="Arial"/>
                <w:sz w:val="16"/>
                <w:szCs w:val="16"/>
                <w:color w:val="auto"/>
              </w:rPr>
              <w:t>Above Target</w:t>
            </w:r>
          </w:p>
        </w:tc>
        <w:tc>
          <w:tcPr>
            <w:tcW w:w="1440" w:type="dxa"/>
            <w:vAlign w:val="bottom"/>
            <w:shd w:val="clear" w:color="auto" w:fill="E6EDF3"/>
          </w:tcPr>
          <w:p>
            <w:pPr>
              <w:jc w:val="right"/>
              <w:ind w:right="43"/>
              <w:spacing w:after="0" w:line="183" w:lineRule="exact"/>
              <w:rPr>
                <w:sz w:val="20"/>
                <w:szCs w:val="20"/>
                <w:color w:val="auto"/>
              </w:rPr>
            </w:pPr>
            <w:r>
              <w:rPr>
                <w:rFonts w:ascii="Arial" w:cs="Arial" w:eastAsia="Arial" w:hAnsi="Arial"/>
                <w:sz w:val="16"/>
                <w:szCs w:val="16"/>
                <w:color w:val="auto"/>
              </w:rPr>
              <w:t>43.8%</w:t>
            </w:r>
          </w:p>
        </w:tc>
        <w:tc>
          <w:tcPr>
            <w:tcW w:w="220" w:type="dxa"/>
            <w:vAlign w:val="bottom"/>
            <w:shd w:val="clear" w:color="auto" w:fill="E6EDF3"/>
          </w:tcPr>
          <w:p>
            <w:pPr>
              <w:spacing w:after="0"/>
              <w:rPr>
                <w:sz w:val="15"/>
                <w:szCs w:val="15"/>
                <w:color w:val="auto"/>
              </w:rPr>
            </w:pPr>
          </w:p>
        </w:tc>
        <w:tc>
          <w:tcPr>
            <w:tcW w:w="840" w:type="dxa"/>
            <w:vAlign w:val="bottom"/>
            <w:shd w:val="clear" w:color="auto" w:fill="E6EDF3"/>
          </w:tcPr>
          <w:p>
            <w:pPr>
              <w:jc w:val="right"/>
              <w:ind w:right="42"/>
              <w:spacing w:after="0" w:line="183" w:lineRule="exact"/>
              <w:rPr>
                <w:sz w:val="20"/>
                <w:szCs w:val="20"/>
                <w:color w:val="auto"/>
              </w:rPr>
            </w:pPr>
            <w:r>
              <w:rPr>
                <w:rFonts w:ascii="Arial" w:cs="Arial" w:eastAsia="Arial" w:hAnsi="Arial"/>
                <w:sz w:val="16"/>
                <w:szCs w:val="16"/>
                <w:color w:val="auto"/>
              </w:rPr>
              <w:t>$284,765</w:t>
            </w:r>
          </w:p>
        </w:tc>
      </w:tr>
      <w:tr>
        <w:trPr>
          <w:trHeight w:val="189"/>
        </w:trPr>
        <w:tc>
          <w:tcPr>
            <w:tcW w:w="2360" w:type="dxa"/>
            <w:vAlign w:val="bottom"/>
          </w:tcPr>
          <w:p>
            <w:pPr>
              <w:ind w:left="60"/>
              <w:spacing w:after="0"/>
              <w:rPr>
                <w:sz w:val="20"/>
                <w:szCs w:val="20"/>
                <w:color w:val="auto"/>
              </w:rPr>
            </w:pPr>
            <w:r>
              <w:rPr>
                <w:rFonts w:ascii="Arial" w:cs="Arial" w:eastAsia="Arial" w:hAnsi="Arial"/>
                <w:sz w:val="16"/>
                <w:szCs w:val="16"/>
                <w:color w:val="auto"/>
              </w:rPr>
              <w:t>ROIC Goal</w:t>
            </w:r>
          </w:p>
        </w:tc>
        <w:tc>
          <w:tcPr>
            <w:tcW w:w="6160" w:type="dxa"/>
            <w:vAlign w:val="bottom"/>
          </w:tcPr>
          <w:p>
            <w:pPr>
              <w:ind w:left="5020"/>
              <w:spacing w:after="0"/>
              <w:rPr>
                <w:sz w:val="20"/>
                <w:szCs w:val="20"/>
                <w:color w:val="auto"/>
              </w:rPr>
            </w:pPr>
            <w:r>
              <w:rPr>
                <w:rFonts w:ascii="Arial" w:cs="Arial" w:eastAsia="Arial" w:hAnsi="Arial"/>
                <w:sz w:val="16"/>
                <w:szCs w:val="16"/>
                <w:color w:val="auto"/>
              </w:rPr>
              <w:t>Above Target</w:t>
            </w: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42.4%</w:t>
            </w:r>
          </w:p>
        </w:tc>
        <w:tc>
          <w:tcPr>
            <w:tcW w:w="22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$275,275</w:t>
            </w:r>
          </w:p>
        </w:tc>
      </w:tr>
      <w:tr>
        <w:trPr>
          <w:trHeight w:val="189"/>
        </w:trPr>
        <w:tc>
          <w:tcPr>
            <w:tcW w:w="2360" w:type="dxa"/>
            <w:vAlign w:val="bottom"/>
            <w:shd w:val="clear" w:color="auto" w:fill="E6EDF3"/>
          </w:tcPr>
          <w:p>
            <w:pPr>
              <w:ind w:left="60"/>
              <w:spacing w:after="0"/>
              <w:rPr>
                <w:sz w:val="20"/>
                <w:szCs w:val="20"/>
                <w:color w:val="auto"/>
              </w:rPr>
            </w:pPr>
            <w:r>
              <w:rPr>
                <w:rFonts w:ascii="Arial" w:cs="Arial" w:eastAsia="Arial" w:hAnsi="Arial"/>
                <w:sz w:val="16"/>
                <w:szCs w:val="16"/>
                <w:color w:val="auto"/>
              </w:rPr>
              <w:t>Operating Objectives</w:t>
            </w:r>
          </w:p>
        </w:tc>
        <w:tc>
          <w:tcPr>
            <w:tcW w:w="6160" w:type="dxa"/>
            <w:vAlign w:val="bottom"/>
            <w:shd w:val="clear" w:color="auto" w:fill="E6EDF3"/>
          </w:tcPr>
          <w:p>
            <w:pPr>
              <w:ind w:left="5020"/>
              <w:spacing w:after="0"/>
              <w:rPr>
                <w:sz w:val="20"/>
                <w:szCs w:val="20"/>
                <w:color w:val="auto"/>
              </w:rPr>
            </w:pPr>
            <w:r>
              <w:rPr>
                <w:rFonts w:ascii="Arial" w:cs="Arial" w:eastAsia="Arial" w:hAnsi="Arial"/>
                <w:sz w:val="16"/>
                <w:szCs w:val="16"/>
                <w:color w:val="auto"/>
              </w:rPr>
              <w:t>Above Target</w:t>
            </w:r>
          </w:p>
        </w:tc>
        <w:tc>
          <w:tcPr>
            <w:tcW w:w="1440" w:type="dxa"/>
            <w:vAlign w:val="bottom"/>
            <w:shd w:val="clear" w:color="auto" w:fill="E6EDF3"/>
          </w:tcPr>
          <w:p>
            <w:pPr>
              <w:jc w:val="right"/>
              <w:ind w:right="43"/>
              <w:spacing w:after="0"/>
              <w:rPr>
                <w:sz w:val="20"/>
                <w:szCs w:val="20"/>
                <w:color w:val="auto"/>
              </w:rPr>
            </w:pPr>
            <w:r>
              <w:rPr>
                <w:rFonts w:ascii="Arial" w:cs="Arial" w:eastAsia="Arial" w:hAnsi="Arial"/>
                <w:sz w:val="16"/>
                <w:szCs w:val="16"/>
                <w:color w:val="auto"/>
              </w:rPr>
              <w:t>30.0%</w:t>
            </w:r>
          </w:p>
        </w:tc>
        <w:tc>
          <w:tcPr>
            <w:tcW w:w="220" w:type="dxa"/>
            <w:vAlign w:val="bottom"/>
            <w:shd w:val="clear" w:color="auto" w:fill="E6EDF3"/>
          </w:tcPr>
          <w:p>
            <w:pPr>
              <w:spacing w:after="0"/>
              <w:rPr>
                <w:sz w:val="16"/>
                <w:szCs w:val="16"/>
                <w:color w:val="auto"/>
              </w:rPr>
            </w:pPr>
          </w:p>
        </w:tc>
        <w:tc>
          <w:tcPr>
            <w:tcW w:w="84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$195,000</w:t>
            </w:r>
          </w:p>
        </w:tc>
      </w:tr>
      <w:tr>
        <w:trPr>
          <w:trHeight w:val="189"/>
        </w:trPr>
        <w:tc>
          <w:tcPr>
            <w:tcW w:w="23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Incentive</w:t>
            </w:r>
          </w:p>
        </w:tc>
        <w:tc>
          <w:tcPr>
            <w:tcW w:w="6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116.2%</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$755,040</w:t>
            </w:r>
          </w:p>
        </w:tc>
      </w:tr>
      <w:tr>
        <w:trPr>
          <w:trHeight w:val="438"/>
        </w:trPr>
        <w:tc>
          <w:tcPr>
            <w:tcW w:w="2360" w:type="dxa"/>
            <w:vAlign w:val="bottom"/>
          </w:tcPr>
          <w:p>
            <w:pPr>
              <w:spacing w:after="0"/>
              <w:rPr>
                <w:sz w:val="24"/>
                <w:szCs w:val="24"/>
                <w:color w:val="auto"/>
              </w:rPr>
            </w:pPr>
          </w:p>
        </w:tc>
        <w:tc>
          <w:tcPr>
            <w:tcW w:w="6160" w:type="dxa"/>
            <w:vAlign w:val="bottom"/>
          </w:tcPr>
          <w:p>
            <w:pPr>
              <w:ind w:left="1000"/>
              <w:spacing w:after="0"/>
              <w:rPr>
                <w:sz w:val="20"/>
                <w:szCs w:val="20"/>
                <w:color w:val="auto"/>
              </w:rPr>
            </w:pPr>
            <w:r>
              <w:rPr>
                <w:rFonts w:ascii="Arial" w:cs="Arial" w:eastAsia="Arial" w:hAnsi="Arial"/>
                <w:sz w:val="18"/>
                <w:szCs w:val="18"/>
                <w:b w:val="1"/>
                <w:bCs w:val="1"/>
                <w:color w:val="5D89B4"/>
              </w:rPr>
              <w:t>Darryl Green — 2017 Annual Incentive Calculation</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3"/>
        </w:trPr>
        <w:tc>
          <w:tcPr>
            <w:tcW w:w="2360" w:type="dxa"/>
            <w:vAlign w:val="bottom"/>
            <w:tcBorders>
              <w:bottom w:val="single" w:sz="8" w:color="auto"/>
            </w:tcBorders>
          </w:tcPr>
          <w:p>
            <w:pPr>
              <w:spacing w:after="0"/>
              <w:rPr>
                <w:sz w:val="10"/>
                <w:szCs w:val="10"/>
                <w:color w:val="auto"/>
              </w:rPr>
            </w:pPr>
          </w:p>
        </w:tc>
        <w:tc>
          <w:tcPr>
            <w:tcW w:w="6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r>
        <w:trPr>
          <w:trHeight w:val="235"/>
        </w:trPr>
        <w:tc>
          <w:tcPr>
            <w:tcW w:w="2360" w:type="dxa"/>
            <w:vAlign w:val="bottom"/>
            <w:shd w:val="clear" w:color="auto" w:fill="9DB8D2"/>
          </w:tcPr>
          <w:p>
            <w:pPr>
              <w:spacing w:after="0"/>
              <w:rPr>
                <w:sz w:val="20"/>
                <w:szCs w:val="20"/>
                <w:color w:val="auto"/>
              </w:rPr>
            </w:pPr>
          </w:p>
        </w:tc>
        <w:tc>
          <w:tcPr>
            <w:tcW w:w="6160" w:type="dxa"/>
            <w:vAlign w:val="bottom"/>
            <w:shd w:val="clear" w:color="auto" w:fill="9DB8D2"/>
          </w:tcPr>
          <w:p>
            <w:pPr>
              <w:spacing w:after="0"/>
              <w:rPr>
                <w:sz w:val="20"/>
                <w:szCs w:val="20"/>
                <w:color w:val="auto"/>
              </w:rPr>
            </w:pPr>
          </w:p>
        </w:tc>
        <w:tc>
          <w:tcPr>
            <w:tcW w:w="1440" w:type="dxa"/>
            <w:vAlign w:val="bottom"/>
            <w:shd w:val="clear" w:color="auto" w:fill="9DB8D2"/>
          </w:tcPr>
          <w:p>
            <w:pPr>
              <w:jc w:val="center"/>
              <w:ind w:right="263"/>
              <w:spacing w:after="0"/>
              <w:rPr>
                <w:sz w:val="20"/>
                <w:szCs w:val="20"/>
                <w:color w:val="auto"/>
              </w:rPr>
            </w:pPr>
            <w:r>
              <w:rPr>
                <w:rFonts w:ascii="Arial" w:cs="Arial" w:eastAsia="Arial" w:hAnsi="Arial"/>
                <w:sz w:val="14"/>
                <w:szCs w:val="14"/>
                <w:b w:val="1"/>
                <w:bCs w:val="1"/>
                <w:color w:val="auto"/>
              </w:rPr>
              <w:t>Percentage</w:t>
            </w:r>
          </w:p>
        </w:tc>
        <w:tc>
          <w:tcPr>
            <w:tcW w:w="220" w:type="dxa"/>
            <w:vAlign w:val="bottom"/>
            <w:shd w:val="clear" w:color="auto" w:fill="9DB8D2"/>
          </w:tcPr>
          <w:p>
            <w:pPr>
              <w:spacing w:after="0"/>
              <w:rPr>
                <w:sz w:val="20"/>
                <w:szCs w:val="20"/>
                <w:color w:val="auto"/>
              </w:rPr>
            </w:pPr>
          </w:p>
        </w:tc>
        <w:tc>
          <w:tcPr>
            <w:tcW w:w="840" w:type="dxa"/>
            <w:vAlign w:val="bottom"/>
            <w:shd w:val="clear" w:color="auto" w:fill="9DB8D2"/>
          </w:tcPr>
          <w:p>
            <w:pPr>
              <w:spacing w:after="0"/>
              <w:rPr>
                <w:sz w:val="20"/>
                <w:szCs w:val="20"/>
                <w:color w:val="auto"/>
              </w:rPr>
            </w:pPr>
          </w:p>
        </w:tc>
      </w:tr>
      <w:tr>
        <w:trPr>
          <w:trHeight w:val="162"/>
        </w:trPr>
        <w:tc>
          <w:tcPr>
            <w:tcW w:w="2360" w:type="dxa"/>
            <w:vAlign w:val="bottom"/>
            <w:shd w:val="clear" w:color="auto" w:fill="9DB8D2"/>
          </w:tcPr>
          <w:p>
            <w:pPr>
              <w:spacing w:after="0"/>
              <w:rPr>
                <w:sz w:val="14"/>
                <w:szCs w:val="14"/>
                <w:color w:val="auto"/>
              </w:rPr>
            </w:pPr>
          </w:p>
        </w:tc>
        <w:tc>
          <w:tcPr>
            <w:tcW w:w="6160" w:type="dxa"/>
            <w:vAlign w:val="bottom"/>
            <w:shd w:val="clear" w:color="auto" w:fill="9DB8D2"/>
          </w:tcPr>
          <w:p>
            <w:pPr>
              <w:ind w:left="4700"/>
              <w:spacing w:after="0"/>
              <w:rPr>
                <w:sz w:val="20"/>
                <w:szCs w:val="20"/>
                <w:color w:val="auto"/>
              </w:rPr>
            </w:pPr>
            <w:r>
              <w:rPr>
                <w:rFonts w:ascii="Arial" w:cs="Arial" w:eastAsia="Arial" w:hAnsi="Arial"/>
                <w:sz w:val="14"/>
                <w:szCs w:val="14"/>
                <w:b w:val="1"/>
                <w:bCs w:val="1"/>
                <w:color w:val="auto"/>
              </w:rPr>
              <w:t>Performance</w:t>
            </w:r>
          </w:p>
        </w:tc>
        <w:tc>
          <w:tcPr>
            <w:tcW w:w="1440" w:type="dxa"/>
            <w:vAlign w:val="bottom"/>
            <w:shd w:val="clear" w:color="auto" w:fill="9DB8D2"/>
          </w:tcPr>
          <w:p>
            <w:pPr>
              <w:jc w:val="center"/>
              <w:ind w:right="263"/>
              <w:spacing w:after="0"/>
              <w:rPr>
                <w:sz w:val="20"/>
                <w:szCs w:val="20"/>
                <w:color w:val="auto"/>
              </w:rPr>
            </w:pPr>
            <w:r>
              <w:rPr>
                <w:rFonts w:ascii="Arial" w:cs="Arial" w:eastAsia="Arial" w:hAnsi="Arial"/>
                <w:sz w:val="14"/>
                <w:szCs w:val="14"/>
                <w:b w:val="1"/>
                <w:bCs w:val="1"/>
                <w:color w:val="auto"/>
              </w:rPr>
              <w:t>of 2017</w:t>
            </w:r>
          </w:p>
        </w:tc>
        <w:tc>
          <w:tcPr>
            <w:tcW w:w="220" w:type="dxa"/>
            <w:vAlign w:val="bottom"/>
            <w:shd w:val="clear" w:color="auto" w:fill="9DB8D2"/>
          </w:tcPr>
          <w:p>
            <w:pPr>
              <w:spacing w:after="0"/>
              <w:rPr>
                <w:sz w:val="14"/>
                <w:szCs w:val="14"/>
                <w:color w:val="auto"/>
              </w:rPr>
            </w:pPr>
          </w:p>
        </w:tc>
        <w:tc>
          <w:tcPr>
            <w:tcW w:w="840" w:type="dxa"/>
            <w:vAlign w:val="bottom"/>
            <w:shd w:val="clear" w:color="auto" w:fill="9DB8D2"/>
          </w:tcPr>
          <w:p>
            <w:pPr>
              <w:jc w:val="center"/>
              <w:ind w:right="142"/>
              <w:spacing w:after="0"/>
              <w:rPr>
                <w:sz w:val="20"/>
                <w:szCs w:val="20"/>
                <w:color w:val="auto"/>
              </w:rPr>
            </w:pPr>
            <w:r>
              <w:rPr>
                <w:rFonts w:ascii="Arial" w:cs="Arial" w:eastAsia="Arial" w:hAnsi="Arial"/>
                <w:sz w:val="14"/>
                <w:szCs w:val="14"/>
                <w:b w:val="1"/>
                <w:bCs w:val="1"/>
                <w:color w:val="auto"/>
              </w:rPr>
              <w:t>Amount</w:t>
            </w:r>
          </w:p>
        </w:tc>
      </w:tr>
      <w:tr>
        <w:trPr>
          <w:trHeight w:val="191"/>
        </w:trPr>
        <w:tc>
          <w:tcPr>
            <w:tcW w:w="2360" w:type="dxa"/>
            <w:vAlign w:val="bottom"/>
            <w:tcBorders>
              <w:bottom w:val="single" w:sz="8" w:color="auto"/>
            </w:tcBorders>
            <w:shd w:val="clear" w:color="auto" w:fill="9DB8D2"/>
          </w:tcPr>
          <w:p>
            <w:pPr>
              <w:spacing w:after="0"/>
              <w:rPr>
                <w:sz w:val="16"/>
                <w:szCs w:val="16"/>
                <w:color w:val="auto"/>
              </w:rPr>
            </w:pPr>
          </w:p>
        </w:tc>
        <w:tc>
          <w:tcPr>
            <w:tcW w:w="6160" w:type="dxa"/>
            <w:vAlign w:val="bottom"/>
            <w:tcBorders>
              <w:bottom w:val="single" w:sz="8" w:color="auto"/>
            </w:tcBorders>
            <w:shd w:val="clear" w:color="auto" w:fill="9DB8D2"/>
          </w:tcPr>
          <w:p>
            <w:pPr>
              <w:ind w:left="4960"/>
              <w:spacing w:after="0"/>
              <w:rPr>
                <w:sz w:val="20"/>
                <w:szCs w:val="20"/>
                <w:color w:val="auto"/>
              </w:rPr>
            </w:pPr>
            <w:r>
              <w:rPr>
                <w:rFonts w:ascii="Arial" w:cs="Arial" w:eastAsia="Arial" w:hAnsi="Arial"/>
                <w:sz w:val="14"/>
                <w:szCs w:val="14"/>
                <w:b w:val="1"/>
                <w:bCs w:val="1"/>
                <w:color w:val="auto"/>
              </w:rPr>
              <w:t>Level</w:t>
            </w:r>
          </w:p>
        </w:tc>
        <w:tc>
          <w:tcPr>
            <w:tcW w:w="1440" w:type="dxa"/>
            <w:vAlign w:val="bottom"/>
            <w:tcBorders>
              <w:bottom w:val="single" w:sz="8" w:color="auto"/>
            </w:tcBorders>
            <w:shd w:val="clear" w:color="auto" w:fill="9DB8D2"/>
          </w:tcPr>
          <w:p>
            <w:pPr>
              <w:jc w:val="center"/>
              <w:ind w:right="263"/>
              <w:spacing w:after="0"/>
              <w:rPr>
                <w:sz w:val="20"/>
                <w:szCs w:val="20"/>
                <w:color w:val="auto"/>
              </w:rPr>
            </w:pPr>
            <w:r>
              <w:rPr>
                <w:rFonts w:ascii="Arial" w:cs="Arial" w:eastAsia="Arial" w:hAnsi="Arial"/>
                <w:sz w:val="14"/>
                <w:szCs w:val="14"/>
                <w:b w:val="1"/>
                <w:bCs w:val="1"/>
                <w:color w:val="auto"/>
                <w:w w:val="99"/>
              </w:rPr>
              <w:t>Salary</w:t>
            </w:r>
          </w:p>
        </w:tc>
        <w:tc>
          <w:tcPr>
            <w:tcW w:w="220" w:type="dxa"/>
            <w:vAlign w:val="bottom"/>
            <w:tcBorders>
              <w:bottom w:val="single" w:sz="8" w:color="auto"/>
            </w:tcBorders>
            <w:shd w:val="clear" w:color="auto" w:fill="9DB8D2"/>
          </w:tcPr>
          <w:p>
            <w:pPr>
              <w:spacing w:after="0"/>
              <w:rPr>
                <w:sz w:val="16"/>
                <w:szCs w:val="16"/>
                <w:color w:val="auto"/>
              </w:rPr>
            </w:pPr>
          </w:p>
        </w:tc>
        <w:tc>
          <w:tcPr>
            <w:tcW w:w="840" w:type="dxa"/>
            <w:vAlign w:val="bottom"/>
            <w:tcBorders>
              <w:bottom w:val="single" w:sz="8" w:color="auto"/>
            </w:tcBorders>
            <w:shd w:val="clear" w:color="auto" w:fill="9DB8D2"/>
          </w:tcPr>
          <w:p>
            <w:pPr>
              <w:jc w:val="center"/>
              <w:ind w:right="162"/>
              <w:spacing w:after="0"/>
              <w:rPr>
                <w:sz w:val="20"/>
                <w:szCs w:val="20"/>
                <w:color w:val="auto"/>
              </w:rPr>
            </w:pPr>
            <w:r>
              <w:rPr>
                <w:rFonts w:ascii="Arial" w:cs="Arial" w:eastAsia="Arial" w:hAnsi="Arial"/>
                <w:sz w:val="14"/>
                <w:szCs w:val="14"/>
                <w:b w:val="1"/>
                <w:bCs w:val="1"/>
                <w:color w:val="auto"/>
              </w:rPr>
              <w:t>Earned</w:t>
            </w:r>
          </w:p>
        </w:tc>
      </w:tr>
      <w:tr>
        <w:trPr>
          <w:trHeight w:val="183"/>
        </w:trPr>
        <w:tc>
          <w:tcPr>
            <w:tcW w:w="2360" w:type="dxa"/>
            <w:vAlign w:val="bottom"/>
            <w:shd w:val="clear" w:color="auto" w:fill="E6EDF3"/>
          </w:tcPr>
          <w:p>
            <w:pPr>
              <w:ind w:left="60"/>
              <w:spacing w:after="0" w:line="183" w:lineRule="exact"/>
              <w:rPr>
                <w:sz w:val="20"/>
                <w:szCs w:val="20"/>
                <w:color w:val="auto"/>
              </w:rPr>
            </w:pPr>
            <w:r>
              <w:rPr>
                <w:rFonts w:ascii="Arial" w:cs="Arial" w:eastAsia="Arial" w:hAnsi="Arial"/>
                <w:sz w:val="16"/>
                <w:szCs w:val="16"/>
                <w:color w:val="auto"/>
              </w:rPr>
              <w:t>EPS Goal</w:t>
            </w:r>
          </w:p>
        </w:tc>
        <w:tc>
          <w:tcPr>
            <w:tcW w:w="6160" w:type="dxa"/>
            <w:vAlign w:val="bottom"/>
            <w:shd w:val="clear" w:color="auto" w:fill="E6EDF3"/>
          </w:tcPr>
          <w:p>
            <w:pPr>
              <w:ind w:left="4700"/>
              <w:spacing w:after="0" w:line="183" w:lineRule="exact"/>
              <w:rPr>
                <w:sz w:val="20"/>
                <w:szCs w:val="20"/>
                <w:color w:val="auto"/>
              </w:rPr>
            </w:pPr>
            <w:r>
              <w:rPr>
                <w:rFonts w:ascii="Arial" w:cs="Arial" w:eastAsia="Arial" w:hAnsi="Arial"/>
                <w:sz w:val="16"/>
                <w:szCs w:val="16"/>
                <w:color w:val="auto"/>
              </w:rPr>
              <w:t>Above Target</w:t>
            </w:r>
          </w:p>
        </w:tc>
        <w:tc>
          <w:tcPr>
            <w:tcW w:w="1440" w:type="dxa"/>
            <w:vAlign w:val="bottom"/>
            <w:shd w:val="clear" w:color="auto" w:fill="E6EDF3"/>
          </w:tcPr>
          <w:p>
            <w:pPr>
              <w:jc w:val="right"/>
              <w:ind w:right="283"/>
              <w:spacing w:after="0" w:line="183" w:lineRule="exact"/>
              <w:rPr>
                <w:sz w:val="20"/>
                <w:szCs w:val="20"/>
                <w:color w:val="auto"/>
              </w:rPr>
            </w:pPr>
            <w:r>
              <w:rPr>
                <w:rFonts w:ascii="Arial" w:cs="Arial" w:eastAsia="Arial" w:hAnsi="Arial"/>
                <w:sz w:val="16"/>
                <w:szCs w:val="16"/>
                <w:color w:val="auto"/>
              </w:rPr>
              <w:t>43.8%</w:t>
            </w:r>
          </w:p>
        </w:tc>
        <w:tc>
          <w:tcPr>
            <w:tcW w:w="22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6EDF3"/>
          </w:tcPr>
          <w:p>
            <w:pPr>
              <w:jc w:val="right"/>
              <w:ind w:right="42"/>
              <w:spacing w:after="0" w:line="183" w:lineRule="exact"/>
              <w:rPr>
                <w:sz w:val="20"/>
                <w:szCs w:val="20"/>
                <w:color w:val="auto"/>
              </w:rPr>
            </w:pPr>
            <w:r>
              <w:rPr>
                <w:rFonts w:ascii="Arial" w:cs="Arial" w:eastAsia="Arial" w:hAnsi="Arial"/>
                <w:sz w:val="16"/>
                <w:szCs w:val="16"/>
                <w:color w:val="auto"/>
              </w:rPr>
              <w:t>372,385</w:t>
            </w:r>
          </w:p>
        </w:tc>
      </w:tr>
      <w:tr>
        <w:trPr>
          <w:trHeight w:val="189"/>
        </w:trPr>
        <w:tc>
          <w:tcPr>
            <w:tcW w:w="2360" w:type="dxa"/>
            <w:vAlign w:val="bottom"/>
          </w:tcPr>
          <w:p>
            <w:pPr>
              <w:ind w:left="60"/>
              <w:spacing w:after="0"/>
              <w:rPr>
                <w:sz w:val="20"/>
                <w:szCs w:val="20"/>
                <w:color w:val="auto"/>
              </w:rPr>
            </w:pPr>
            <w:r>
              <w:rPr>
                <w:rFonts w:ascii="Arial" w:cs="Arial" w:eastAsia="Arial" w:hAnsi="Arial"/>
                <w:sz w:val="16"/>
                <w:szCs w:val="16"/>
                <w:color w:val="auto"/>
              </w:rPr>
              <w:t>ROIC Goal</w:t>
            </w:r>
          </w:p>
        </w:tc>
        <w:tc>
          <w:tcPr>
            <w:tcW w:w="6160" w:type="dxa"/>
            <w:vAlign w:val="bottom"/>
          </w:tcPr>
          <w:p>
            <w:pPr>
              <w:ind w:left="4700"/>
              <w:spacing w:after="0"/>
              <w:rPr>
                <w:sz w:val="20"/>
                <w:szCs w:val="20"/>
                <w:color w:val="auto"/>
              </w:rPr>
            </w:pPr>
            <w:r>
              <w:rPr>
                <w:rFonts w:ascii="Arial" w:cs="Arial" w:eastAsia="Arial" w:hAnsi="Arial"/>
                <w:sz w:val="16"/>
                <w:szCs w:val="16"/>
                <w:color w:val="auto"/>
              </w:rPr>
              <w:t>Above Target</w:t>
            </w:r>
          </w:p>
        </w:tc>
        <w:tc>
          <w:tcPr>
            <w:tcW w:w="1440" w:type="dxa"/>
            <w:vAlign w:val="bottom"/>
          </w:tcPr>
          <w:p>
            <w:pPr>
              <w:jc w:val="right"/>
              <w:ind w:right="283"/>
              <w:spacing w:after="0"/>
              <w:rPr>
                <w:sz w:val="20"/>
                <w:szCs w:val="20"/>
                <w:color w:val="auto"/>
              </w:rPr>
            </w:pPr>
            <w:r>
              <w:rPr>
                <w:rFonts w:ascii="Arial" w:cs="Arial" w:eastAsia="Arial" w:hAnsi="Arial"/>
                <w:sz w:val="16"/>
                <w:szCs w:val="16"/>
                <w:color w:val="auto"/>
              </w:rPr>
              <w:t>42.4%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359,975</w:t>
            </w:r>
          </w:p>
        </w:tc>
      </w:tr>
      <w:tr>
        <w:trPr>
          <w:trHeight w:val="189"/>
        </w:trPr>
        <w:tc>
          <w:tcPr>
            <w:tcW w:w="2360" w:type="dxa"/>
            <w:vAlign w:val="bottom"/>
            <w:shd w:val="clear" w:color="auto" w:fill="E6EDF3"/>
          </w:tcPr>
          <w:p>
            <w:pPr>
              <w:ind w:left="60"/>
              <w:spacing w:after="0"/>
              <w:rPr>
                <w:sz w:val="20"/>
                <w:szCs w:val="20"/>
                <w:color w:val="auto"/>
              </w:rPr>
            </w:pPr>
            <w:r>
              <w:rPr>
                <w:rFonts w:ascii="Arial" w:cs="Arial" w:eastAsia="Arial" w:hAnsi="Arial"/>
                <w:sz w:val="16"/>
                <w:szCs w:val="16"/>
                <w:color w:val="auto"/>
              </w:rPr>
              <w:t>Operating Objectives</w:t>
            </w:r>
          </w:p>
        </w:tc>
        <w:tc>
          <w:tcPr>
            <w:tcW w:w="6160" w:type="dxa"/>
            <w:vAlign w:val="bottom"/>
            <w:shd w:val="clear" w:color="auto" w:fill="E6EDF3"/>
          </w:tcPr>
          <w:p>
            <w:pPr>
              <w:ind w:left="4700"/>
              <w:spacing w:after="0"/>
              <w:rPr>
                <w:sz w:val="20"/>
                <w:szCs w:val="20"/>
                <w:color w:val="auto"/>
              </w:rPr>
            </w:pPr>
            <w:r>
              <w:rPr>
                <w:rFonts w:ascii="Arial" w:cs="Arial" w:eastAsia="Arial" w:hAnsi="Arial"/>
                <w:sz w:val="16"/>
                <w:szCs w:val="16"/>
                <w:color w:val="auto"/>
              </w:rPr>
              <w:t>Above Target</w:t>
            </w:r>
          </w:p>
        </w:tc>
        <w:tc>
          <w:tcPr>
            <w:tcW w:w="1440" w:type="dxa"/>
            <w:vAlign w:val="bottom"/>
            <w:shd w:val="clear" w:color="auto" w:fill="E6EDF3"/>
          </w:tcPr>
          <w:p>
            <w:pPr>
              <w:jc w:val="right"/>
              <w:ind w:right="283"/>
              <w:spacing w:after="0"/>
              <w:rPr>
                <w:sz w:val="20"/>
                <w:szCs w:val="20"/>
                <w:color w:val="auto"/>
              </w:rPr>
            </w:pPr>
            <w:r>
              <w:rPr>
                <w:rFonts w:ascii="Arial" w:cs="Arial" w:eastAsia="Arial" w:hAnsi="Arial"/>
                <w:sz w:val="16"/>
                <w:szCs w:val="16"/>
                <w:color w:val="auto"/>
              </w:rPr>
              <w:t>32.0%</w:t>
            </w:r>
          </w:p>
        </w:tc>
        <w:tc>
          <w:tcPr>
            <w:tcW w:w="2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272,000</w:t>
            </w:r>
          </w:p>
        </w:tc>
      </w:tr>
      <w:tr>
        <w:trPr>
          <w:trHeight w:val="189"/>
        </w:trPr>
        <w:tc>
          <w:tcPr>
            <w:tcW w:w="23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Incentive</w:t>
            </w:r>
          </w:p>
        </w:tc>
        <w:tc>
          <w:tcPr>
            <w:tcW w:w="6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118.2%</w:t>
            </w:r>
          </w:p>
        </w:tc>
        <w:tc>
          <w:tcPr>
            <w:tcW w:w="106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color w:val="auto"/>
              </w:rPr>
              <w:t>$1,004,360</w:t>
            </w:r>
          </w:p>
        </w:tc>
      </w:tr>
    </w:tbl>
    <w:p>
      <w:pPr>
        <w:spacing w:after="0" w:line="11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56</w:t>
      </w:r>
    </w:p>
    <w:p>
      <w:pPr>
        <w:sectPr>
          <w:pgSz w:w="11900" w:h="16838" w:orient="portrait"/>
          <w:cols w:equalWidth="0" w:num="1">
            <w:col w:w="11240"/>
          </w:cols>
          <w:pgMar w:left="240" w:top="455" w:right="41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5D89B4"/>
        </w:rPr>
        <w:t>Ram Chandrashekar — 2017 Annual Incentive Calculation(1)</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6940" w:type="dxa"/>
            <w:vAlign w:val="bottom"/>
            <w:tcBorders>
              <w:top w:val="single" w:sz="8" w:color="auto"/>
            </w:tcBorders>
            <w:shd w:val="clear" w:color="auto" w:fill="9DB8D2"/>
          </w:tcPr>
          <w:p>
            <w:pPr>
              <w:spacing w:after="0"/>
              <w:rPr>
                <w:sz w:val="22"/>
                <w:szCs w:val="22"/>
                <w:color w:val="auto"/>
              </w:rPr>
            </w:pPr>
          </w:p>
        </w:tc>
        <w:tc>
          <w:tcPr>
            <w:tcW w:w="1680" w:type="dxa"/>
            <w:vAlign w:val="bottom"/>
            <w:tcBorders>
              <w:top w:val="single" w:sz="8" w:color="auto"/>
            </w:tcBorders>
            <w:shd w:val="clear" w:color="auto" w:fill="9DB8D2"/>
          </w:tcPr>
          <w:p>
            <w:pPr>
              <w:spacing w:after="0"/>
              <w:rPr>
                <w:sz w:val="22"/>
                <w:szCs w:val="22"/>
                <w:color w:val="auto"/>
              </w:rPr>
            </w:pPr>
          </w:p>
        </w:tc>
        <w:tc>
          <w:tcPr>
            <w:tcW w:w="140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Percentage</w:t>
            </w:r>
          </w:p>
        </w:tc>
        <w:tc>
          <w:tcPr>
            <w:tcW w:w="280" w:type="dxa"/>
            <w:vAlign w:val="bottom"/>
            <w:tcBorders>
              <w:top w:val="single" w:sz="8" w:color="auto"/>
            </w:tcBorders>
            <w:shd w:val="clear" w:color="auto" w:fill="9DB8D2"/>
          </w:tcPr>
          <w:p>
            <w:pPr>
              <w:spacing w:after="0"/>
              <w:rPr>
                <w:sz w:val="22"/>
                <w:szCs w:val="22"/>
                <w:color w:val="auto"/>
              </w:rPr>
            </w:pPr>
          </w:p>
        </w:tc>
        <w:tc>
          <w:tcPr>
            <w:tcW w:w="720" w:type="dxa"/>
            <w:vAlign w:val="bottom"/>
            <w:tcBorders>
              <w:top w:val="single" w:sz="8" w:color="auto"/>
            </w:tcBorders>
            <w:shd w:val="clear" w:color="auto" w:fill="9DB8D2"/>
          </w:tcPr>
          <w:p>
            <w:pPr>
              <w:spacing w:after="0"/>
              <w:rPr>
                <w:sz w:val="22"/>
                <w:szCs w:val="22"/>
                <w:color w:val="auto"/>
              </w:rPr>
            </w:pPr>
          </w:p>
        </w:tc>
      </w:tr>
      <w:tr>
        <w:trPr>
          <w:trHeight w:val="162"/>
        </w:trPr>
        <w:tc>
          <w:tcPr>
            <w:tcW w:w="6940" w:type="dxa"/>
            <w:vAlign w:val="bottom"/>
            <w:shd w:val="clear" w:color="auto" w:fill="9DB8D2"/>
          </w:tcPr>
          <w:p>
            <w:pPr>
              <w:spacing w:after="0"/>
              <w:rPr>
                <w:sz w:val="14"/>
                <w:szCs w:val="14"/>
                <w:color w:val="auto"/>
              </w:rPr>
            </w:pPr>
          </w:p>
        </w:tc>
        <w:tc>
          <w:tcPr>
            <w:tcW w:w="1680" w:type="dxa"/>
            <w:vAlign w:val="bottom"/>
            <w:shd w:val="clear" w:color="auto" w:fill="9DB8D2"/>
          </w:tcPr>
          <w:p>
            <w:pPr>
              <w:ind w:left="460"/>
              <w:spacing w:after="0"/>
              <w:rPr>
                <w:sz w:val="20"/>
                <w:szCs w:val="20"/>
                <w:color w:val="auto"/>
              </w:rPr>
            </w:pPr>
            <w:r>
              <w:rPr>
                <w:rFonts w:ascii="Arial" w:cs="Arial" w:eastAsia="Arial" w:hAnsi="Arial"/>
                <w:sz w:val="14"/>
                <w:szCs w:val="14"/>
                <w:b w:val="1"/>
                <w:bCs w:val="1"/>
                <w:color w:val="auto"/>
              </w:rPr>
              <w:t>Performance</w:t>
            </w:r>
          </w:p>
        </w:tc>
        <w:tc>
          <w:tcPr>
            <w:tcW w:w="14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of 2017</w:t>
            </w:r>
          </w:p>
        </w:tc>
        <w:tc>
          <w:tcPr>
            <w:tcW w:w="1000" w:type="dxa"/>
            <w:vAlign w:val="bottom"/>
            <w:gridSpan w:val="2"/>
            <w:shd w:val="clear" w:color="auto" w:fill="9DB8D2"/>
          </w:tcPr>
          <w:p>
            <w:pPr>
              <w:jc w:val="right"/>
              <w:ind w:right="120"/>
              <w:spacing w:after="0"/>
              <w:rPr>
                <w:sz w:val="20"/>
                <w:szCs w:val="20"/>
                <w:color w:val="auto"/>
              </w:rPr>
            </w:pPr>
            <w:r>
              <w:rPr>
                <w:rFonts w:ascii="Arial" w:cs="Arial" w:eastAsia="Arial" w:hAnsi="Arial"/>
                <w:sz w:val="14"/>
                <w:szCs w:val="14"/>
                <w:b w:val="1"/>
                <w:bCs w:val="1"/>
                <w:color w:val="auto"/>
              </w:rPr>
              <w:t>Amount</w:t>
            </w:r>
          </w:p>
        </w:tc>
      </w:tr>
      <w:tr>
        <w:trPr>
          <w:trHeight w:val="191"/>
        </w:trPr>
        <w:tc>
          <w:tcPr>
            <w:tcW w:w="6940" w:type="dxa"/>
            <w:vAlign w:val="bottom"/>
            <w:tcBorders>
              <w:bottom w:val="single" w:sz="8" w:color="auto"/>
            </w:tcBorders>
            <w:shd w:val="clear" w:color="auto" w:fill="9DB8D2"/>
          </w:tcPr>
          <w:p>
            <w:pPr>
              <w:spacing w:after="0"/>
              <w:rPr>
                <w:sz w:val="16"/>
                <w:szCs w:val="16"/>
                <w:color w:val="auto"/>
              </w:rPr>
            </w:pPr>
          </w:p>
        </w:tc>
        <w:tc>
          <w:tcPr>
            <w:tcW w:w="1680" w:type="dxa"/>
            <w:vAlign w:val="bottom"/>
            <w:tcBorders>
              <w:bottom w:val="single" w:sz="8" w:color="auto"/>
            </w:tcBorders>
            <w:shd w:val="clear" w:color="auto" w:fill="9DB8D2"/>
          </w:tcPr>
          <w:p>
            <w:pPr>
              <w:ind w:left="720"/>
              <w:spacing w:after="0"/>
              <w:rPr>
                <w:sz w:val="20"/>
                <w:szCs w:val="20"/>
                <w:color w:val="auto"/>
              </w:rPr>
            </w:pPr>
            <w:r>
              <w:rPr>
                <w:rFonts w:ascii="Arial" w:cs="Arial" w:eastAsia="Arial" w:hAnsi="Arial"/>
                <w:sz w:val="14"/>
                <w:szCs w:val="14"/>
                <w:b w:val="1"/>
                <w:bCs w:val="1"/>
                <w:color w:val="auto"/>
              </w:rPr>
              <w:t>Level</w:t>
            </w:r>
          </w:p>
        </w:tc>
        <w:tc>
          <w:tcPr>
            <w:tcW w:w="14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Salary</w:t>
            </w:r>
          </w:p>
        </w:tc>
        <w:tc>
          <w:tcPr>
            <w:tcW w:w="280" w:type="dxa"/>
            <w:vAlign w:val="bottom"/>
            <w:tcBorders>
              <w:bottom w:val="single" w:sz="8" w:color="auto"/>
            </w:tcBorders>
            <w:shd w:val="clear" w:color="auto" w:fill="9DB8D2"/>
          </w:tcPr>
          <w:p>
            <w:pPr>
              <w:spacing w:after="0"/>
              <w:rPr>
                <w:sz w:val="16"/>
                <w:szCs w:val="16"/>
                <w:color w:val="auto"/>
              </w:rPr>
            </w:pPr>
          </w:p>
        </w:tc>
        <w:tc>
          <w:tcPr>
            <w:tcW w:w="720" w:type="dxa"/>
            <w:vAlign w:val="bottom"/>
            <w:tcBorders>
              <w:bottom w:val="single" w:sz="8" w:color="auto"/>
            </w:tcBorders>
            <w:shd w:val="clear" w:color="auto" w:fill="9DB8D2"/>
          </w:tcPr>
          <w:p>
            <w:pPr>
              <w:jc w:val="right"/>
              <w:ind w:right="140"/>
              <w:spacing w:after="0"/>
              <w:rPr>
                <w:sz w:val="20"/>
                <w:szCs w:val="20"/>
                <w:color w:val="auto"/>
              </w:rPr>
            </w:pPr>
            <w:r>
              <w:rPr>
                <w:rFonts w:ascii="Arial" w:cs="Arial" w:eastAsia="Arial" w:hAnsi="Arial"/>
                <w:sz w:val="14"/>
                <w:szCs w:val="14"/>
                <w:b w:val="1"/>
                <w:bCs w:val="1"/>
                <w:color w:val="auto"/>
              </w:rPr>
              <w:t>Earned</w:t>
            </w:r>
          </w:p>
        </w:tc>
      </w:tr>
      <w:tr>
        <w:trPr>
          <w:trHeight w:val="183"/>
        </w:trPr>
        <w:tc>
          <w:tcPr>
            <w:tcW w:w="6940" w:type="dxa"/>
            <w:vAlign w:val="bottom"/>
            <w:shd w:val="clear" w:color="auto" w:fill="E6EDF3"/>
          </w:tcPr>
          <w:p>
            <w:pPr>
              <w:ind w:left="60"/>
              <w:spacing w:after="0" w:line="183" w:lineRule="exact"/>
              <w:rPr>
                <w:sz w:val="20"/>
                <w:szCs w:val="20"/>
                <w:color w:val="auto"/>
              </w:rPr>
            </w:pPr>
            <w:r>
              <w:rPr>
                <w:rFonts w:ascii="Arial" w:cs="Arial" w:eastAsia="Arial" w:hAnsi="Arial"/>
                <w:sz w:val="16"/>
                <w:szCs w:val="16"/>
                <w:color w:val="auto"/>
              </w:rPr>
              <w:t>AOUP of APME Goal</w:t>
            </w:r>
          </w:p>
        </w:tc>
        <w:tc>
          <w:tcPr>
            <w:tcW w:w="1680" w:type="dxa"/>
            <w:vAlign w:val="bottom"/>
            <w:shd w:val="clear" w:color="auto" w:fill="E6EDF3"/>
          </w:tcPr>
          <w:p>
            <w:pPr>
              <w:ind w:left="460"/>
              <w:spacing w:after="0" w:line="183" w:lineRule="exact"/>
              <w:rPr>
                <w:sz w:val="20"/>
                <w:szCs w:val="20"/>
                <w:color w:val="auto"/>
              </w:rPr>
            </w:pPr>
            <w:r>
              <w:rPr>
                <w:rFonts w:ascii="Arial" w:cs="Arial" w:eastAsia="Arial" w:hAnsi="Arial"/>
                <w:sz w:val="16"/>
                <w:szCs w:val="16"/>
                <w:color w:val="auto"/>
              </w:rPr>
              <w:t>Above Target</w:t>
            </w:r>
          </w:p>
        </w:tc>
        <w:tc>
          <w:tcPr>
            <w:tcW w:w="1400" w:type="dxa"/>
            <w:vAlign w:val="bottom"/>
            <w:shd w:val="clear" w:color="auto" w:fill="E6EDF3"/>
          </w:tcPr>
          <w:p>
            <w:pPr>
              <w:jc w:val="right"/>
              <w:ind w:right="102"/>
              <w:spacing w:after="0" w:line="183" w:lineRule="exact"/>
              <w:rPr>
                <w:sz w:val="20"/>
                <w:szCs w:val="20"/>
                <w:color w:val="auto"/>
              </w:rPr>
            </w:pPr>
            <w:r>
              <w:rPr>
                <w:rFonts w:ascii="Arial" w:cs="Arial" w:eastAsia="Arial" w:hAnsi="Arial"/>
                <w:sz w:val="16"/>
                <w:szCs w:val="16"/>
                <w:color w:val="auto"/>
              </w:rPr>
              <w:t>51.9%</w:t>
            </w:r>
          </w:p>
        </w:tc>
        <w:tc>
          <w:tcPr>
            <w:tcW w:w="28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E6EDF3"/>
          </w:tcPr>
          <w:p>
            <w:pPr>
              <w:jc w:val="right"/>
              <w:ind w:right="40"/>
              <w:spacing w:after="0" w:line="183" w:lineRule="exact"/>
              <w:rPr>
                <w:sz w:val="20"/>
                <w:szCs w:val="20"/>
                <w:color w:val="auto"/>
              </w:rPr>
            </w:pPr>
            <w:r>
              <w:rPr>
                <w:rFonts w:ascii="Arial" w:cs="Arial" w:eastAsia="Arial" w:hAnsi="Arial"/>
                <w:sz w:val="16"/>
                <w:szCs w:val="16"/>
                <w:color w:val="auto"/>
              </w:rPr>
              <w:t>325,539</w:t>
            </w:r>
          </w:p>
        </w:tc>
      </w:tr>
      <w:tr>
        <w:trPr>
          <w:trHeight w:val="189"/>
        </w:trPr>
        <w:tc>
          <w:tcPr>
            <w:tcW w:w="6940" w:type="dxa"/>
            <w:vAlign w:val="bottom"/>
          </w:tcPr>
          <w:p>
            <w:pPr>
              <w:ind w:left="60"/>
              <w:spacing w:after="0"/>
              <w:rPr>
                <w:sz w:val="20"/>
                <w:szCs w:val="20"/>
                <w:color w:val="auto"/>
              </w:rPr>
            </w:pPr>
            <w:r>
              <w:rPr>
                <w:rFonts w:ascii="Arial" w:cs="Arial" w:eastAsia="Arial" w:hAnsi="Arial"/>
                <w:sz w:val="16"/>
                <w:szCs w:val="16"/>
                <w:color w:val="auto"/>
              </w:rPr>
              <w:t>EPS Goal</w:t>
            </w:r>
          </w:p>
        </w:tc>
        <w:tc>
          <w:tcPr>
            <w:tcW w:w="1680" w:type="dxa"/>
            <w:vAlign w:val="bottom"/>
          </w:tcPr>
          <w:p>
            <w:pPr>
              <w:ind w:left="440"/>
              <w:spacing w:after="0"/>
              <w:rPr>
                <w:sz w:val="20"/>
                <w:szCs w:val="20"/>
                <w:color w:val="auto"/>
              </w:rPr>
            </w:pPr>
            <w:r>
              <w:rPr>
                <w:rFonts w:ascii="Arial" w:cs="Arial" w:eastAsia="Arial" w:hAnsi="Arial"/>
                <w:sz w:val="16"/>
                <w:szCs w:val="16"/>
                <w:color w:val="auto"/>
              </w:rPr>
              <w:t>Above Target</w:t>
            </w:r>
          </w:p>
        </w:tc>
        <w:tc>
          <w:tcPr>
            <w:tcW w:w="1400" w:type="dxa"/>
            <w:vAlign w:val="bottom"/>
          </w:tcPr>
          <w:p>
            <w:pPr>
              <w:jc w:val="right"/>
              <w:ind w:right="102"/>
              <w:spacing w:after="0"/>
              <w:rPr>
                <w:sz w:val="20"/>
                <w:szCs w:val="20"/>
                <w:color w:val="auto"/>
              </w:rPr>
            </w:pPr>
            <w:r>
              <w:rPr>
                <w:rFonts w:ascii="Arial" w:cs="Arial" w:eastAsia="Arial" w:hAnsi="Arial"/>
                <w:sz w:val="16"/>
                <w:szCs w:val="16"/>
                <w:color w:val="auto"/>
              </w:rPr>
              <w:t>16.4%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103,155</w:t>
            </w:r>
          </w:p>
        </w:tc>
      </w:tr>
      <w:tr>
        <w:trPr>
          <w:trHeight w:val="189"/>
        </w:trPr>
        <w:tc>
          <w:tcPr>
            <w:tcW w:w="6940" w:type="dxa"/>
            <w:vAlign w:val="bottom"/>
            <w:shd w:val="clear" w:color="auto" w:fill="E6EDF3"/>
          </w:tcPr>
          <w:p>
            <w:pPr>
              <w:ind w:left="60"/>
              <w:spacing w:after="0"/>
              <w:rPr>
                <w:sz w:val="20"/>
                <w:szCs w:val="20"/>
                <w:color w:val="auto"/>
              </w:rPr>
            </w:pPr>
            <w:r>
              <w:rPr>
                <w:rFonts w:ascii="Arial" w:cs="Arial" w:eastAsia="Arial" w:hAnsi="Arial"/>
                <w:sz w:val="16"/>
                <w:szCs w:val="16"/>
                <w:color w:val="auto"/>
              </w:rPr>
              <w:t>ROIC Goal</w:t>
            </w:r>
          </w:p>
        </w:tc>
        <w:tc>
          <w:tcPr>
            <w:tcW w:w="1680" w:type="dxa"/>
            <w:vAlign w:val="bottom"/>
            <w:shd w:val="clear" w:color="auto" w:fill="E6EDF3"/>
          </w:tcPr>
          <w:p>
            <w:pPr>
              <w:ind w:left="440"/>
              <w:spacing w:after="0"/>
              <w:rPr>
                <w:sz w:val="20"/>
                <w:szCs w:val="20"/>
                <w:color w:val="auto"/>
              </w:rPr>
            </w:pPr>
            <w:r>
              <w:rPr>
                <w:rFonts w:ascii="Arial" w:cs="Arial" w:eastAsia="Arial" w:hAnsi="Arial"/>
                <w:sz w:val="16"/>
                <w:szCs w:val="16"/>
                <w:color w:val="auto"/>
              </w:rPr>
              <w:t>Above Target</w:t>
            </w:r>
          </w:p>
        </w:tc>
        <w:tc>
          <w:tcPr>
            <w:tcW w:w="1400" w:type="dxa"/>
            <w:vAlign w:val="bottom"/>
            <w:shd w:val="clear" w:color="auto" w:fill="E6EDF3"/>
          </w:tcPr>
          <w:p>
            <w:pPr>
              <w:jc w:val="right"/>
              <w:ind w:right="102"/>
              <w:spacing w:after="0"/>
              <w:rPr>
                <w:sz w:val="20"/>
                <w:szCs w:val="20"/>
                <w:color w:val="auto"/>
              </w:rPr>
            </w:pPr>
            <w:r>
              <w:rPr>
                <w:rFonts w:ascii="Arial" w:cs="Arial" w:eastAsia="Arial" w:hAnsi="Arial"/>
                <w:sz w:val="16"/>
                <w:szCs w:val="16"/>
                <w:color w:val="auto"/>
              </w:rPr>
              <w:t>15.9%</w:t>
            </w:r>
          </w:p>
        </w:tc>
        <w:tc>
          <w:tcPr>
            <w:tcW w:w="28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6EDF3"/>
          </w:tcPr>
          <w:p>
            <w:pPr>
              <w:jc w:val="right"/>
              <w:ind w:right="40"/>
              <w:spacing w:after="0"/>
              <w:rPr>
                <w:sz w:val="20"/>
                <w:szCs w:val="20"/>
                <w:color w:val="auto"/>
              </w:rPr>
            </w:pPr>
            <w:r>
              <w:rPr>
                <w:rFonts w:ascii="Arial" w:cs="Arial" w:eastAsia="Arial" w:hAnsi="Arial"/>
                <w:sz w:val="16"/>
                <w:szCs w:val="16"/>
                <w:color w:val="auto"/>
              </w:rPr>
              <w:t>99,702</w:t>
            </w:r>
          </w:p>
        </w:tc>
      </w:tr>
      <w:tr>
        <w:trPr>
          <w:trHeight w:val="189"/>
        </w:trPr>
        <w:tc>
          <w:tcPr>
            <w:tcW w:w="6940" w:type="dxa"/>
            <w:vAlign w:val="bottom"/>
          </w:tcPr>
          <w:p>
            <w:pPr>
              <w:ind w:left="60"/>
              <w:spacing w:after="0"/>
              <w:rPr>
                <w:sz w:val="20"/>
                <w:szCs w:val="20"/>
                <w:color w:val="auto"/>
              </w:rPr>
            </w:pPr>
            <w:r>
              <w:rPr>
                <w:rFonts w:ascii="Arial" w:cs="Arial" w:eastAsia="Arial" w:hAnsi="Arial"/>
                <w:sz w:val="16"/>
                <w:szCs w:val="16"/>
                <w:color w:val="auto"/>
              </w:rPr>
              <w:t>Operating Objectives</w:t>
            </w:r>
          </w:p>
        </w:tc>
        <w:tc>
          <w:tcPr>
            <w:tcW w:w="1680" w:type="dxa"/>
            <w:vAlign w:val="bottom"/>
          </w:tcPr>
          <w:p>
            <w:pPr>
              <w:ind w:left="440"/>
              <w:spacing w:after="0"/>
              <w:rPr>
                <w:sz w:val="20"/>
                <w:szCs w:val="20"/>
                <w:color w:val="auto"/>
              </w:rPr>
            </w:pPr>
            <w:r>
              <w:rPr>
                <w:rFonts w:ascii="Arial" w:cs="Arial" w:eastAsia="Arial" w:hAnsi="Arial"/>
                <w:sz w:val="16"/>
                <w:szCs w:val="16"/>
                <w:color w:val="auto"/>
              </w:rPr>
              <w:t>Above Target</w:t>
            </w:r>
          </w:p>
        </w:tc>
        <w:tc>
          <w:tcPr>
            <w:tcW w:w="1400" w:type="dxa"/>
            <w:vAlign w:val="bottom"/>
          </w:tcPr>
          <w:p>
            <w:pPr>
              <w:jc w:val="right"/>
              <w:ind w:right="102"/>
              <w:spacing w:after="0"/>
              <w:rPr>
                <w:sz w:val="20"/>
                <w:szCs w:val="20"/>
                <w:color w:val="auto"/>
              </w:rPr>
            </w:pPr>
            <w:r>
              <w:rPr>
                <w:rFonts w:ascii="Arial" w:cs="Arial" w:eastAsia="Arial" w:hAnsi="Arial"/>
                <w:sz w:val="16"/>
                <w:szCs w:val="16"/>
                <w:color w:val="auto"/>
              </w:rPr>
              <w:t>20.0%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125,571</w:t>
            </w:r>
          </w:p>
        </w:tc>
      </w:tr>
      <w:tr>
        <w:trPr>
          <w:trHeight w:val="189"/>
        </w:trPr>
        <w:tc>
          <w:tcPr>
            <w:tcW w:w="6940" w:type="dxa"/>
            <w:vAlign w:val="bottom"/>
            <w:tcBorders>
              <w:bottom w:val="single" w:sz="8" w:color="auto"/>
            </w:tcBorders>
            <w:shd w:val="clear" w:color="auto" w:fill="E6EDF3"/>
          </w:tcPr>
          <w:p>
            <w:pPr>
              <w:ind w:left="220"/>
              <w:spacing w:after="0"/>
              <w:rPr>
                <w:sz w:val="20"/>
                <w:szCs w:val="20"/>
                <w:color w:val="auto"/>
              </w:rPr>
            </w:pPr>
            <w:r>
              <w:rPr>
                <w:rFonts w:ascii="Arial" w:cs="Arial" w:eastAsia="Arial" w:hAnsi="Arial"/>
                <w:sz w:val="16"/>
                <w:szCs w:val="16"/>
                <w:color w:val="auto"/>
              </w:rPr>
              <w:t>Total Incentive</w:t>
            </w:r>
          </w:p>
        </w:tc>
        <w:tc>
          <w:tcPr>
            <w:tcW w:w="1680" w:type="dxa"/>
            <w:vAlign w:val="bottom"/>
            <w:tcBorders>
              <w:bottom w:val="single" w:sz="8" w:color="auto"/>
            </w:tcBorders>
            <w:shd w:val="clear" w:color="auto" w:fill="E6EDF3"/>
          </w:tcPr>
          <w:p>
            <w:pPr>
              <w:spacing w:after="0"/>
              <w:rPr>
                <w:sz w:val="16"/>
                <w:szCs w:val="16"/>
                <w:color w:val="auto"/>
              </w:rPr>
            </w:pPr>
          </w:p>
        </w:tc>
        <w:tc>
          <w:tcPr>
            <w:tcW w:w="1400" w:type="dxa"/>
            <w:vAlign w:val="bottom"/>
            <w:tcBorders>
              <w:bottom w:val="single" w:sz="8" w:color="auto"/>
            </w:tcBorders>
            <w:shd w:val="clear" w:color="auto" w:fill="E6EDF3"/>
          </w:tcPr>
          <w:p>
            <w:pPr>
              <w:jc w:val="right"/>
              <w:ind w:right="102"/>
              <w:spacing w:after="0"/>
              <w:rPr>
                <w:sz w:val="20"/>
                <w:szCs w:val="20"/>
                <w:color w:val="auto"/>
              </w:rPr>
            </w:pPr>
            <w:r>
              <w:rPr>
                <w:rFonts w:ascii="Arial" w:cs="Arial" w:eastAsia="Arial" w:hAnsi="Arial"/>
                <w:sz w:val="16"/>
                <w:szCs w:val="16"/>
                <w:color w:val="auto"/>
              </w:rPr>
              <w:t>104.2%</w:t>
            </w:r>
          </w:p>
        </w:tc>
        <w:tc>
          <w:tcPr>
            <w:tcW w:w="2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6EDF3"/>
          </w:tcPr>
          <w:p>
            <w:pPr>
              <w:jc w:val="right"/>
              <w:ind w:right="40"/>
              <w:spacing w:after="0"/>
              <w:rPr>
                <w:sz w:val="20"/>
                <w:szCs w:val="20"/>
                <w:color w:val="auto"/>
              </w:rPr>
            </w:pPr>
            <w:r>
              <w:rPr>
                <w:rFonts w:ascii="Arial" w:cs="Arial" w:eastAsia="Arial" w:hAnsi="Arial"/>
                <w:sz w:val="16"/>
                <w:szCs w:val="16"/>
                <w:color w:val="auto"/>
              </w:rPr>
              <w:t>653,967</w:t>
            </w:r>
          </w:p>
        </w:tc>
      </w:tr>
    </w:tbl>
    <w:p>
      <w:pPr>
        <w:spacing w:after="0" w:line="54" w:lineRule="exact"/>
        <w:rPr>
          <w:sz w:val="20"/>
          <w:szCs w:val="20"/>
          <w:color w:val="auto"/>
        </w:rPr>
      </w:pPr>
    </w:p>
    <w:p>
      <w:pPr>
        <w:jc w:val="both"/>
        <w:ind w:left="520" w:right="500" w:hanging="316"/>
        <w:spacing w:after="0" w:line="291"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Chandrashekar’s incentive is paid in SGD and has been translated above at an exchange rate of 0.789017 (in U.S. Dollars), which was the exchange rate on February 11, 2014, the date Mr. Chandrashekar was promoted to Executive Vice President, Operational Excellence &amp; IT and President, Asia Pacific Middle East.</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5D89B4"/>
        </w:rPr>
        <w:t>Mara E. Swan — 2017 Annual Incentive Calculation</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6640" w:type="dxa"/>
            <w:vAlign w:val="bottom"/>
            <w:tcBorders>
              <w:top w:val="single" w:sz="8" w:color="auto"/>
            </w:tcBorders>
            <w:shd w:val="clear" w:color="auto" w:fill="9DB8D2"/>
          </w:tcPr>
          <w:p>
            <w:pPr>
              <w:spacing w:after="0"/>
              <w:rPr>
                <w:sz w:val="22"/>
                <w:szCs w:val="22"/>
                <w:color w:val="auto"/>
              </w:rPr>
            </w:pPr>
          </w:p>
        </w:tc>
        <w:tc>
          <w:tcPr>
            <w:tcW w:w="1840" w:type="dxa"/>
            <w:vAlign w:val="bottom"/>
            <w:tcBorders>
              <w:top w:val="single" w:sz="8" w:color="auto"/>
            </w:tcBorders>
            <w:shd w:val="clear" w:color="auto" w:fill="9DB8D2"/>
          </w:tcPr>
          <w:p>
            <w:pPr>
              <w:spacing w:after="0"/>
              <w:rPr>
                <w:sz w:val="22"/>
                <w:szCs w:val="22"/>
                <w:color w:val="auto"/>
              </w:rPr>
            </w:pPr>
          </w:p>
        </w:tc>
        <w:tc>
          <w:tcPr>
            <w:tcW w:w="150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Percentage</w:t>
            </w:r>
          </w:p>
        </w:tc>
        <w:tc>
          <w:tcPr>
            <w:tcW w:w="1040" w:type="dxa"/>
            <w:vAlign w:val="bottom"/>
            <w:tcBorders>
              <w:top w:val="single" w:sz="8" w:color="auto"/>
            </w:tcBorders>
            <w:shd w:val="clear" w:color="auto" w:fill="9DB8D2"/>
          </w:tcPr>
          <w:p>
            <w:pPr>
              <w:spacing w:after="0"/>
              <w:rPr>
                <w:sz w:val="22"/>
                <w:szCs w:val="22"/>
                <w:color w:val="auto"/>
              </w:rPr>
            </w:pPr>
          </w:p>
        </w:tc>
      </w:tr>
      <w:tr>
        <w:trPr>
          <w:trHeight w:val="162"/>
        </w:trPr>
        <w:tc>
          <w:tcPr>
            <w:tcW w:w="6640" w:type="dxa"/>
            <w:vAlign w:val="bottom"/>
            <w:shd w:val="clear" w:color="auto" w:fill="9DB8D2"/>
          </w:tcPr>
          <w:p>
            <w:pPr>
              <w:spacing w:after="0"/>
              <w:rPr>
                <w:sz w:val="14"/>
                <w:szCs w:val="14"/>
                <w:color w:val="auto"/>
              </w:rPr>
            </w:pPr>
          </w:p>
        </w:tc>
        <w:tc>
          <w:tcPr>
            <w:tcW w:w="1840" w:type="dxa"/>
            <w:vAlign w:val="bottom"/>
            <w:shd w:val="clear" w:color="auto" w:fill="9DB8D2"/>
          </w:tcPr>
          <w:p>
            <w:pPr>
              <w:ind w:left="560"/>
              <w:spacing w:after="0"/>
              <w:rPr>
                <w:sz w:val="20"/>
                <w:szCs w:val="20"/>
                <w:color w:val="auto"/>
              </w:rPr>
            </w:pPr>
            <w:r>
              <w:rPr>
                <w:rFonts w:ascii="Arial" w:cs="Arial" w:eastAsia="Arial" w:hAnsi="Arial"/>
                <w:sz w:val="14"/>
                <w:szCs w:val="14"/>
                <w:b w:val="1"/>
                <w:bCs w:val="1"/>
                <w:color w:val="auto"/>
              </w:rPr>
              <w:t>Performance</w:t>
            </w:r>
          </w:p>
        </w:tc>
        <w:tc>
          <w:tcPr>
            <w:tcW w:w="15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of 2017</w:t>
            </w:r>
          </w:p>
        </w:tc>
        <w:tc>
          <w:tcPr>
            <w:tcW w:w="1040" w:type="dxa"/>
            <w:vAlign w:val="bottom"/>
            <w:shd w:val="clear" w:color="auto" w:fill="9DB8D2"/>
          </w:tcPr>
          <w:p>
            <w:pPr>
              <w:jc w:val="center"/>
              <w:ind w:left="22"/>
              <w:spacing w:after="0"/>
              <w:rPr>
                <w:sz w:val="20"/>
                <w:szCs w:val="20"/>
                <w:color w:val="auto"/>
              </w:rPr>
            </w:pPr>
            <w:r>
              <w:rPr>
                <w:rFonts w:ascii="Arial" w:cs="Arial" w:eastAsia="Arial" w:hAnsi="Arial"/>
                <w:sz w:val="14"/>
                <w:szCs w:val="14"/>
                <w:b w:val="1"/>
                <w:bCs w:val="1"/>
                <w:color w:val="auto"/>
              </w:rPr>
              <w:t>Amount</w:t>
            </w:r>
          </w:p>
        </w:tc>
      </w:tr>
      <w:tr>
        <w:trPr>
          <w:trHeight w:val="191"/>
        </w:trPr>
        <w:tc>
          <w:tcPr>
            <w:tcW w:w="6640" w:type="dxa"/>
            <w:vAlign w:val="bottom"/>
            <w:tcBorders>
              <w:bottom w:val="single" w:sz="8" w:color="auto"/>
            </w:tcBorders>
            <w:shd w:val="clear" w:color="auto" w:fill="9DB8D2"/>
          </w:tcPr>
          <w:p>
            <w:pPr>
              <w:spacing w:after="0"/>
              <w:rPr>
                <w:sz w:val="16"/>
                <w:szCs w:val="16"/>
                <w:color w:val="auto"/>
              </w:rPr>
            </w:pPr>
          </w:p>
        </w:tc>
        <w:tc>
          <w:tcPr>
            <w:tcW w:w="1840" w:type="dxa"/>
            <w:vAlign w:val="bottom"/>
            <w:tcBorders>
              <w:bottom w:val="single" w:sz="8" w:color="auto"/>
            </w:tcBorders>
            <w:shd w:val="clear" w:color="auto" w:fill="9DB8D2"/>
          </w:tcPr>
          <w:p>
            <w:pPr>
              <w:ind w:left="820"/>
              <w:spacing w:after="0"/>
              <w:rPr>
                <w:sz w:val="20"/>
                <w:szCs w:val="20"/>
                <w:color w:val="auto"/>
              </w:rPr>
            </w:pPr>
            <w:r>
              <w:rPr>
                <w:rFonts w:ascii="Arial" w:cs="Arial" w:eastAsia="Arial" w:hAnsi="Arial"/>
                <w:sz w:val="14"/>
                <w:szCs w:val="14"/>
                <w:b w:val="1"/>
                <w:bCs w:val="1"/>
                <w:color w:val="auto"/>
              </w:rPr>
              <w:t>Level</w:t>
            </w:r>
          </w:p>
        </w:tc>
        <w:tc>
          <w:tcPr>
            <w:tcW w:w="15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Salary</w:t>
            </w:r>
          </w:p>
        </w:tc>
        <w:tc>
          <w:tcPr>
            <w:tcW w:w="1040" w:type="dxa"/>
            <w:vAlign w:val="bottom"/>
            <w:tcBorders>
              <w:bottom w:val="single" w:sz="8" w:color="auto"/>
            </w:tcBorders>
            <w:shd w:val="clear" w:color="auto" w:fill="9DB8D2"/>
          </w:tcPr>
          <w:p>
            <w:pPr>
              <w:jc w:val="center"/>
              <w:ind w:left="22"/>
              <w:spacing w:after="0"/>
              <w:rPr>
                <w:sz w:val="20"/>
                <w:szCs w:val="20"/>
                <w:color w:val="auto"/>
              </w:rPr>
            </w:pPr>
            <w:r>
              <w:rPr>
                <w:rFonts w:ascii="Arial" w:cs="Arial" w:eastAsia="Arial" w:hAnsi="Arial"/>
                <w:sz w:val="14"/>
                <w:szCs w:val="14"/>
                <w:b w:val="1"/>
                <w:bCs w:val="1"/>
                <w:color w:val="auto"/>
              </w:rPr>
              <w:t>Earned</w:t>
            </w:r>
          </w:p>
        </w:tc>
      </w:tr>
      <w:tr>
        <w:trPr>
          <w:trHeight w:val="183"/>
        </w:trPr>
        <w:tc>
          <w:tcPr>
            <w:tcW w:w="6640" w:type="dxa"/>
            <w:vAlign w:val="bottom"/>
            <w:shd w:val="clear" w:color="auto" w:fill="E6EDF3"/>
          </w:tcPr>
          <w:p>
            <w:pPr>
              <w:ind w:left="60"/>
              <w:spacing w:after="0" w:line="183" w:lineRule="exact"/>
              <w:rPr>
                <w:sz w:val="20"/>
                <w:szCs w:val="20"/>
                <w:color w:val="auto"/>
              </w:rPr>
            </w:pPr>
            <w:r>
              <w:rPr>
                <w:rFonts w:ascii="Arial" w:cs="Arial" w:eastAsia="Arial" w:hAnsi="Arial"/>
                <w:sz w:val="16"/>
                <w:szCs w:val="16"/>
                <w:color w:val="auto"/>
              </w:rPr>
              <w:t>EPS Goal</w:t>
            </w:r>
          </w:p>
        </w:tc>
        <w:tc>
          <w:tcPr>
            <w:tcW w:w="1840" w:type="dxa"/>
            <w:vAlign w:val="bottom"/>
            <w:shd w:val="clear" w:color="auto" w:fill="E6EDF3"/>
          </w:tcPr>
          <w:p>
            <w:pPr>
              <w:ind w:left="560"/>
              <w:spacing w:after="0" w:line="183" w:lineRule="exact"/>
              <w:rPr>
                <w:sz w:val="20"/>
                <w:szCs w:val="20"/>
                <w:color w:val="auto"/>
              </w:rPr>
            </w:pPr>
            <w:r>
              <w:rPr>
                <w:rFonts w:ascii="Arial" w:cs="Arial" w:eastAsia="Arial" w:hAnsi="Arial"/>
                <w:sz w:val="16"/>
                <w:szCs w:val="16"/>
                <w:color w:val="auto"/>
              </w:rPr>
              <w:t>Above Target</w:t>
            </w:r>
          </w:p>
        </w:tc>
        <w:tc>
          <w:tcPr>
            <w:tcW w:w="1500" w:type="dxa"/>
            <w:vAlign w:val="bottom"/>
            <w:shd w:val="clear" w:color="auto" w:fill="E6EDF3"/>
          </w:tcPr>
          <w:p>
            <w:pPr>
              <w:jc w:val="right"/>
              <w:ind w:right="163"/>
              <w:spacing w:after="0" w:line="183" w:lineRule="exact"/>
              <w:rPr>
                <w:sz w:val="20"/>
                <w:szCs w:val="20"/>
                <w:color w:val="auto"/>
              </w:rPr>
            </w:pPr>
            <w:r>
              <w:rPr>
                <w:rFonts w:ascii="Arial" w:cs="Arial" w:eastAsia="Arial" w:hAnsi="Arial"/>
                <w:sz w:val="16"/>
                <w:szCs w:val="16"/>
                <w:color w:val="auto"/>
              </w:rPr>
              <w:t>32.9%</w:t>
            </w:r>
          </w:p>
        </w:tc>
        <w:tc>
          <w:tcPr>
            <w:tcW w:w="1040" w:type="dxa"/>
            <w:vAlign w:val="bottom"/>
            <w:shd w:val="clear" w:color="auto" w:fill="E6EDF3"/>
          </w:tcPr>
          <w:p>
            <w:pPr>
              <w:jc w:val="center"/>
              <w:ind w:left="22"/>
              <w:spacing w:after="0" w:line="183" w:lineRule="exact"/>
              <w:rPr>
                <w:sz w:val="20"/>
                <w:szCs w:val="20"/>
                <w:color w:val="auto"/>
              </w:rPr>
            </w:pPr>
            <w:r>
              <w:rPr>
                <w:rFonts w:ascii="Arial" w:cs="Arial" w:eastAsia="Arial" w:hAnsi="Arial"/>
                <w:sz w:val="16"/>
                <w:szCs w:val="16"/>
                <w:color w:val="auto"/>
              </w:rPr>
              <w:t>$200,446</w:t>
            </w:r>
          </w:p>
        </w:tc>
      </w:tr>
      <w:tr>
        <w:trPr>
          <w:trHeight w:val="189"/>
        </w:trPr>
        <w:tc>
          <w:tcPr>
            <w:tcW w:w="6640" w:type="dxa"/>
            <w:vAlign w:val="bottom"/>
          </w:tcPr>
          <w:p>
            <w:pPr>
              <w:ind w:left="60"/>
              <w:spacing w:after="0"/>
              <w:rPr>
                <w:sz w:val="20"/>
                <w:szCs w:val="20"/>
                <w:color w:val="auto"/>
              </w:rPr>
            </w:pPr>
            <w:r>
              <w:rPr>
                <w:rFonts w:ascii="Arial" w:cs="Arial" w:eastAsia="Arial" w:hAnsi="Arial"/>
                <w:sz w:val="16"/>
                <w:szCs w:val="16"/>
                <w:color w:val="auto"/>
              </w:rPr>
              <w:t>ROIC Goal</w:t>
            </w:r>
          </w:p>
        </w:tc>
        <w:tc>
          <w:tcPr>
            <w:tcW w:w="1840" w:type="dxa"/>
            <w:vAlign w:val="bottom"/>
          </w:tcPr>
          <w:p>
            <w:pPr>
              <w:ind w:left="560"/>
              <w:spacing w:after="0"/>
              <w:rPr>
                <w:sz w:val="20"/>
                <w:szCs w:val="20"/>
                <w:color w:val="auto"/>
              </w:rPr>
            </w:pPr>
            <w:r>
              <w:rPr>
                <w:rFonts w:ascii="Arial" w:cs="Arial" w:eastAsia="Arial" w:hAnsi="Arial"/>
                <w:sz w:val="16"/>
                <w:szCs w:val="16"/>
                <w:color w:val="auto"/>
              </w:rPr>
              <w:t>Above Target</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31.8%</w:t>
            </w:r>
          </w:p>
        </w:tc>
        <w:tc>
          <w:tcPr>
            <w:tcW w:w="1040" w:type="dxa"/>
            <w:vAlign w:val="bottom"/>
          </w:tcPr>
          <w:p>
            <w:pPr>
              <w:jc w:val="center"/>
              <w:ind w:left="22"/>
              <w:spacing w:after="0"/>
              <w:rPr>
                <w:sz w:val="20"/>
                <w:szCs w:val="20"/>
                <w:color w:val="auto"/>
              </w:rPr>
            </w:pPr>
            <w:r>
              <w:rPr>
                <w:rFonts w:ascii="Arial" w:cs="Arial" w:eastAsia="Arial" w:hAnsi="Arial"/>
                <w:sz w:val="16"/>
                <w:szCs w:val="16"/>
                <w:color w:val="auto"/>
              </w:rPr>
              <w:t>$193,736</w:t>
            </w:r>
          </w:p>
        </w:tc>
      </w:tr>
      <w:tr>
        <w:trPr>
          <w:trHeight w:val="189"/>
        </w:trPr>
        <w:tc>
          <w:tcPr>
            <w:tcW w:w="6640" w:type="dxa"/>
            <w:vAlign w:val="bottom"/>
            <w:shd w:val="clear" w:color="auto" w:fill="E6EDF3"/>
          </w:tcPr>
          <w:p>
            <w:pPr>
              <w:ind w:left="60"/>
              <w:spacing w:after="0"/>
              <w:rPr>
                <w:sz w:val="20"/>
                <w:szCs w:val="20"/>
                <w:color w:val="auto"/>
              </w:rPr>
            </w:pPr>
            <w:r>
              <w:rPr>
                <w:rFonts w:ascii="Arial" w:cs="Arial" w:eastAsia="Arial" w:hAnsi="Arial"/>
                <w:sz w:val="16"/>
                <w:szCs w:val="16"/>
                <w:color w:val="auto"/>
              </w:rPr>
              <w:t>Operating Objectives</w:t>
            </w:r>
          </w:p>
        </w:tc>
        <w:tc>
          <w:tcPr>
            <w:tcW w:w="1840" w:type="dxa"/>
            <w:vAlign w:val="bottom"/>
            <w:shd w:val="clear" w:color="auto" w:fill="E6EDF3"/>
          </w:tcPr>
          <w:p>
            <w:pPr>
              <w:ind w:left="560"/>
              <w:spacing w:after="0"/>
              <w:rPr>
                <w:sz w:val="20"/>
                <w:szCs w:val="20"/>
                <w:color w:val="auto"/>
              </w:rPr>
            </w:pPr>
            <w:r>
              <w:rPr>
                <w:rFonts w:ascii="Arial" w:cs="Arial" w:eastAsia="Arial" w:hAnsi="Arial"/>
                <w:sz w:val="16"/>
                <w:szCs w:val="16"/>
                <w:color w:val="auto"/>
              </w:rPr>
              <w:t>Above Target</w:t>
            </w:r>
          </w:p>
        </w:tc>
        <w:tc>
          <w:tcPr>
            <w:tcW w:w="1500" w:type="dxa"/>
            <w:vAlign w:val="bottom"/>
            <w:shd w:val="clear" w:color="auto" w:fill="E6EDF3"/>
          </w:tcPr>
          <w:p>
            <w:pPr>
              <w:jc w:val="right"/>
              <w:ind w:right="163"/>
              <w:spacing w:after="0"/>
              <w:rPr>
                <w:sz w:val="20"/>
                <w:szCs w:val="20"/>
                <w:color w:val="auto"/>
              </w:rPr>
            </w:pPr>
            <w:r>
              <w:rPr>
                <w:rFonts w:ascii="Arial" w:cs="Arial" w:eastAsia="Arial" w:hAnsi="Arial"/>
                <w:sz w:val="16"/>
                <w:szCs w:val="16"/>
                <w:color w:val="auto"/>
              </w:rPr>
              <w:t>25.0%</w:t>
            </w:r>
          </w:p>
        </w:tc>
        <w:tc>
          <w:tcPr>
            <w:tcW w:w="1040" w:type="dxa"/>
            <w:vAlign w:val="bottom"/>
            <w:shd w:val="clear" w:color="auto" w:fill="E6EDF3"/>
          </w:tcPr>
          <w:p>
            <w:pPr>
              <w:jc w:val="center"/>
              <w:ind w:left="22"/>
              <w:spacing w:after="0"/>
              <w:rPr>
                <w:sz w:val="20"/>
                <w:szCs w:val="20"/>
                <w:color w:val="auto"/>
              </w:rPr>
            </w:pPr>
            <w:r>
              <w:rPr>
                <w:rFonts w:ascii="Arial" w:cs="Arial" w:eastAsia="Arial" w:hAnsi="Arial"/>
                <w:sz w:val="16"/>
                <w:szCs w:val="16"/>
                <w:color w:val="auto"/>
              </w:rPr>
              <w:t>$152,500</w:t>
            </w:r>
          </w:p>
        </w:tc>
      </w:tr>
      <w:tr>
        <w:trPr>
          <w:trHeight w:val="189"/>
        </w:trPr>
        <w:tc>
          <w:tcPr>
            <w:tcW w:w="66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Incentive</w:t>
            </w:r>
          </w:p>
        </w:tc>
        <w:tc>
          <w:tcPr>
            <w:tcW w:w="18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89.7%</w:t>
            </w:r>
          </w:p>
        </w:tc>
        <w:tc>
          <w:tcPr>
            <w:tcW w:w="104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auto"/>
              </w:rPr>
              <w:t>$546,682</w:t>
            </w:r>
          </w:p>
        </w:tc>
      </w:tr>
    </w:tbl>
    <w:p>
      <w:pPr>
        <w:spacing w:after="0" w:line="114"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57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Grants Under the 2011 Equity Incentive Plan</w:t>
      </w:r>
    </w:p>
    <w:p>
      <w:pPr>
        <w:spacing w:after="0" w:line="127" w:lineRule="exact"/>
        <w:rPr>
          <w:sz w:val="20"/>
          <w:szCs w:val="20"/>
          <w:color w:val="auto"/>
        </w:rPr>
      </w:pPr>
    </w:p>
    <w:p>
      <w:pPr>
        <w:ind w:left="200" w:right="160"/>
        <w:spacing w:after="0" w:line="245"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ManpowerGroup made grants of stock options to all of the executive officers under the 2011 Equity Incentive Plan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2017. The stock options granted in 2017 vest 25% per year over a four-year period and if they are not exercised, they expire in ten years (or earlier following a termination of employment). Additional vesting terms applicable to these options are described in further detail in the section entitled “Termination of Employment and Change of Control Arrangements” following the Nonqualified Deferred Compensation Table.</w:t>
      </w:r>
    </w:p>
    <w:p>
      <w:pPr>
        <w:spacing w:after="0" w:line="172" w:lineRule="exact"/>
        <w:rPr>
          <w:sz w:val="20"/>
          <w:szCs w:val="20"/>
          <w:color w:val="auto"/>
        </w:rPr>
      </w:pPr>
    </w:p>
    <w:p>
      <w:pPr>
        <w:ind w:left="200" w:right="40"/>
        <w:spacing w:after="0" w:line="249" w:lineRule="auto"/>
        <w:rPr>
          <w:sz w:val="20"/>
          <w:szCs w:val="20"/>
          <w:color w:val="auto"/>
        </w:rPr>
      </w:pPr>
      <w:r>
        <w:rPr>
          <w:rFonts w:ascii="Arial" w:cs="Arial" w:eastAsia="Arial" w:hAnsi="Arial"/>
          <w:sz w:val="18"/>
          <w:szCs w:val="18"/>
          <w:b w:val="1"/>
          <w:bCs w:val="1"/>
          <w:i w:val="1"/>
          <w:iCs w:val="1"/>
          <w:color w:val="auto"/>
        </w:rPr>
        <w:t>Performance share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ManpowerGroup made grants of performance share units to all of the executive officers under the 2011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in February of 2017. Each executive officer received a performance share unit grant that will vest if the relevant performance goal of average Operating Profit Margin Percentage is met for the three-year performance period. See page 46 for a description of the goals established by the Committee for the 2017 performance share unit grant.</w:t>
      </w:r>
    </w:p>
    <w:p>
      <w:pPr>
        <w:spacing w:after="0" w:line="169"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color w:val="auto"/>
        </w:rPr>
        <w:t>No dividends are paid on the performance share units unless and until actual shares are issued to the executive officer upon the vesting of the performance share units and in such case, dividends would be paid only for record dates occurring after the issuance date. Additional vesting terms applicable to these grants are described in further detail in the section entitled “Termination of Employment and Change of Control Arrangements” following the Nonqualified Deferred Compensation Table.</w:t>
      </w:r>
    </w:p>
    <w:p>
      <w:pPr>
        <w:spacing w:after="0" w:line="171" w:lineRule="exact"/>
        <w:rPr>
          <w:sz w:val="20"/>
          <w:szCs w:val="20"/>
          <w:color w:val="auto"/>
        </w:rPr>
      </w:pPr>
    </w:p>
    <w:p>
      <w:pPr>
        <w:ind w:left="200" w:right="20"/>
        <w:spacing w:after="0" w:line="245"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The restricted stock units granted to the executive officers under the 2011 Equity Incentive Plan in February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three-year cliff vest and are earned as long as the executive officer continues to be employed by the Company. Dividend equivalents are paid on the restricted stock units under these awards. Additional vesting terms applicable to these grants are described in further detail in the section entitled “Termination of Employment and Change of Control Arrangements” following the Nonqualified Deferred Compensation Table.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Career shares. </w:t>
      </w:r>
      <w:r>
        <w:rPr>
          <w:rFonts w:ascii="Arial" w:cs="Arial" w:eastAsia="Arial" w:hAnsi="Arial"/>
          <w:sz w:val="18"/>
          <w:szCs w:val="18"/>
          <w:color w:val="auto"/>
        </w:rPr>
        <w:t>ManpowerGroup did not make any career share grants to any of the NEOs in 2017.</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58</w:t>
      </w:r>
    </w:p>
    <w:p>
      <w:pPr>
        <w:sectPr>
          <w:pgSz w:w="11900" w:h="16838" w:orient="portrait"/>
          <w:cols w:equalWidth="0" w:num="1">
            <w:col w:w="11200"/>
          </w:cols>
          <w:pgMar w:left="24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Outstanding Equity Awards at December 31, 2017</w:t>
      </w:r>
    </w:p>
    <w:p>
      <w:pPr>
        <w:spacing w:after="0" w:line="267" w:lineRule="exact"/>
        <w:rPr>
          <w:sz w:val="20"/>
          <w:szCs w:val="20"/>
          <w:color w:val="auto"/>
        </w:rPr>
      </w:pPr>
    </w:p>
    <w:tbl>
      <w:tblPr>
        <w:tblLayout w:type="fixed"/>
        <w:tblInd w:w="220" w:type="dxa"/>
        <w:tblCellMar>
          <w:top w:w="0" w:type="dxa"/>
          <w:left w:w="0" w:type="dxa"/>
          <w:bottom w:w="0" w:type="dxa"/>
          <w:right w:w="0" w:type="dxa"/>
        </w:tblCellMar>
      </w:tblPr>
      <w:tr>
        <w:trPr>
          <w:trHeight w:val="243"/>
        </w:trPr>
        <w:tc>
          <w:tcPr>
            <w:tcW w:w="2060" w:type="dxa"/>
            <w:vAlign w:val="bottom"/>
            <w:tcBorders>
              <w:top w:val="single" w:sz="8" w:color="auto"/>
              <w:bottom w:val="single" w:sz="8" w:color="9DB8D2"/>
            </w:tcBorders>
            <w:shd w:val="clear" w:color="auto" w:fill="9DB8D2"/>
          </w:tcPr>
          <w:p>
            <w:pPr>
              <w:spacing w:after="0"/>
              <w:rPr>
                <w:sz w:val="21"/>
                <w:szCs w:val="21"/>
                <w:color w:val="auto"/>
              </w:rPr>
            </w:pPr>
          </w:p>
        </w:tc>
        <w:tc>
          <w:tcPr>
            <w:tcW w:w="160" w:type="dxa"/>
            <w:vAlign w:val="bottom"/>
            <w:tcBorders>
              <w:top w:val="single" w:sz="8" w:color="auto"/>
              <w:bottom w:val="single" w:sz="8" w:color="9DB8D2"/>
            </w:tcBorders>
            <w:shd w:val="clear" w:color="auto" w:fill="9DB8D2"/>
          </w:tcPr>
          <w:p>
            <w:pPr>
              <w:spacing w:after="0"/>
              <w:rPr>
                <w:sz w:val="21"/>
                <w:szCs w:val="21"/>
                <w:color w:val="auto"/>
              </w:rPr>
            </w:pPr>
          </w:p>
        </w:tc>
        <w:tc>
          <w:tcPr>
            <w:tcW w:w="40" w:type="dxa"/>
            <w:vAlign w:val="bottom"/>
            <w:tcBorders>
              <w:top w:val="single" w:sz="8" w:color="auto"/>
              <w:bottom w:val="single" w:sz="8" w:color="auto"/>
            </w:tcBorders>
            <w:shd w:val="clear" w:color="auto" w:fill="9DB8D2"/>
          </w:tcPr>
          <w:p>
            <w:pPr>
              <w:spacing w:after="0"/>
              <w:rPr>
                <w:sz w:val="21"/>
                <w:szCs w:val="21"/>
                <w:color w:val="auto"/>
              </w:rPr>
            </w:pPr>
          </w:p>
        </w:tc>
        <w:tc>
          <w:tcPr>
            <w:tcW w:w="720" w:type="dxa"/>
            <w:vAlign w:val="bottom"/>
            <w:tcBorders>
              <w:top w:val="single" w:sz="8" w:color="auto"/>
              <w:bottom w:val="single" w:sz="8" w:color="auto"/>
            </w:tcBorders>
            <w:shd w:val="clear" w:color="auto" w:fill="9DB8D2"/>
          </w:tcPr>
          <w:p>
            <w:pPr>
              <w:spacing w:after="0"/>
              <w:rPr>
                <w:sz w:val="21"/>
                <w:szCs w:val="21"/>
                <w:color w:val="auto"/>
              </w:rPr>
            </w:pPr>
          </w:p>
        </w:tc>
        <w:tc>
          <w:tcPr>
            <w:tcW w:w="260" w:type="dxa"/>
            <w:vAlign w:val="bottom"/>
            <w:tcBorders>
              <w:top w:val="single" w:sz="8" w:color="auto"/>
              <w:bottom w:val="single" w:sz="8" w:color="auto"/>
            </w:tcBorders>
            <w:shd w:val="clear" w:color="auto" w:fill="9DB8D2"/>
          </w:tcPr>
          <w:p>
            <w:pPr>
              <w:spacing w:after="0"/>
              <w:rPr>
                <w:sz w:val="21"/>
                <w:szCs w:val="21"/>
                <w:color w:val="auto"/>
              </w:rPr>
            </w:pPr>
          </w:p>
        </w:tc>
        <w:tc>
          <w:tcPr>
            <w:tcW w:w="800" w:type="dxa"/>
            <w:vAlign w:val="bottom"/>
            <w:tcBorders>
              <w:top w:val="single" w:sz="8" w:color="auto"/>
              <w:bottom w:val="single" w:sz="8" w:color="auto"/>
            </w:tcBorders>
            <w:shd w:val="clear" w:color="auto" w:fill="9DB8D2"/>
          </w:tcPr>
          <w:p>
            <w:pPr>
              <w:spacing w:after="0"/>
              <w:rPr>
                <w:sz w:val="21"/>
                <w:szCs w:val="21"/>
                <w:color w:val="auto"/>
              </w:rPr>
            </w:pPr>
          </w:p>
        </w:tc>
        <w:tc>
          <w:tcPr>
            <w:tcW w:w="1160" w:type="dxa"/>
            <w:vAlign w:val="bottom"/>
            <w:tcBorders>
              <w:top w:val="single" w:sz="8" w:color="auto"/>
              <w:bottom w:val="single" w:sz="8" w:color="auto"/>
            </w:tcBorders>
            <w:gridSpan w:val="3"/>
            <w:shd w:val="clear" w:color="auto" w:fill="9DB8D2"/>
          </w:tcPr>
          <w:p>
            <w:pPr>
              <w:spacing w:after="0"/>
              <w:rPr>
                <w:sz w:val="20"/>
                <w:szCs w:val="20"/>
                <w:color w:val="auto"/>
              </w:rPr>
            </w:pPr>
            <w:r>
              <w:rPr>
                <w:rFonts w:ascii="Arial" w:cs="Arial" w:eastAsia="Arial" w:hAnsi="Arial"/>
                <w:sz w:val="13"/>
                <w:szCs w:val="13"/>
                <w:b w:val="1"/>
                <w:bCs w:val="1"/>
                <w:color w:val="auto"/>
              </w:rPr>
              <w:t>Option Awards</w:t>
            </w:r>
          </w:p>
        </w:tc>
        <w:tc>
          <w:tcPr>
            <w:tcW w:w="200" w:type="dxa"/>
            <w:vAlign w:val="bottom"/>
            <w:tcBorders>
              <w:top w:val="single" w:sz="8" w:color="auto"/>
              <w:bottom w:val="single" w:sz="8" w:color="auto"/>
            </w:tcBorders>
            <w:shd w:val="clear" w:color="auto" w:fill="9DB8D2"/>
          </w:tcPr>
          <w:p>
            <w:pPr>
              <w:spacing w:after="0"/>
              <w:rPr>
                <w:sz w:val="21"/>
                <w:szCs w:val="21"/>
                <w:color w:val="auto"/>
              </w:rPr>
            </w:pPr>
          </w:p>
        </w:tc>
        <w:tc>
          <w:tcPr>
            <w:tcW w:w="100" w:type="dxa"/>
            <w:vAlign w:val="bottom"/>
            <w:tcBorders>
              <w:top w:val="single" w:sz="8" w:color="auto"/>
              <w:bottom w:val="single" w:sz="8" w:color="auto"/>
            </w:tcBorders>
            <w:shd w:val="clear" w:color="auto" w:fill="9DB8D2"/>
          </w:tcPr>
          <w:p>
            <w:pPr>
              <w:spacing w:after="0"/>
              <w:rPr>
                <w:sz w:val="21"/>
                <w:szCs w:val="21"/>
                <w:color w:val="auto"/>
              </w:rPr>
            </w:pPr>
          </w:p>
        </w:tc>
        <w:tc>
          <w:tcPr>
            <w:tcW w:w="540" w:type="dxa"/>
            <w:vAlign w:val="bottom"/>
            <w:tcBorders>
              <w:top w:val="single" w:sz="8" w:color="auto"/>
              <w:bottom w:val="single" w:sz="8" w:color="auto"/>
            </w:tcBorders>
            <w:shd w:val="clear" w:color="auto" w:fill="9DB8D2"/>
          </w:tcPr>
          <w:p>
            <w:pPr>
              <w:spacing w:after="0"/>
              <w:rPr>
                <w:sz w:val="21"/>
                <w:szCs w:val="21"/>
                <w:color w:val="auto"/>
              </w:rPr>
            </w:pPr>
          </w:p>
        </w:tc>
        <w:tc>
          <w:tcPr>
            <w:tcW w:w="780" w:type="dxa"/>
            <w:vAlign w:val="bottom"/>
            <w:tcBorders>
              <w:top w:val="single" w:sz="8" w:color="auto"/>
              <w:bottom w:val="single" w:sz="8" w:color="auto"/>
            </w:tcBorders>
            <w:shd w:val="clear" w:color="auto" w:fill="9DB8D2"/>
          </w:tcPr>
          <w:p>
            <w:pPr>
              <w:spacing w:after="0"/>
              <w:rPr>
                <w:sz w:val="21"/>
                <w:szCs w:val="21"/>
                <w:color w:val="auto"/>
              </w:rPr>
            </w:pPr>
          </w:p>
        </w:tc>
        <w:tc>
          <w:tcPr>
            <w:tcW w:w="80" w:type="dxa"/>
            <w:vAlign w:val="bottom"/>
            <w:tcBorders>
              <w:top w:val="single" w:sz="8" w:color="auto"/>
              <w:bottom w:val="single" w:sz="8" w:color="9DB8D2"/>
            </w:tcBorders>
            <w:shd w:val="clear" w:color="auto" w:fill="9DB8D2"/>
          </w:tcPr>
          <w:p>
            <w:pPr>
              <w:spacing w:after="0"/>
              <w:rPr>
                <w:sz w:val="21"/>
                <w:szCs w:val="21"/>
                <w:color w:val="auto"/>
              </w:rPr>
            </w:pPr>
          </w:p>
        </w:tc>
        <w:tc>
          <w:tcPr>
            <w:tcW w:w="1000" w:type="dxa"/>
            <w:vAlign w:val="bottom"/>
            <w:tcBorders>
              <w:top w:val="single" w:sz="8" w:color="auto"/>
              <w:bottom w:val="single" w:sz="8" w:color="auto"/>
            </w:tcBorders>
            <w:shd w:val="clear" w:color="auto" w:fill="9DB8D2"/>
          </w:tcPr>
          <w:p>
            <w:pPr>
              <w:spacing w:after="0"/>
              <w:rPr>
                <w:sz w:val="21"/>
                <w:szCs w:val="21"/>
                <w:color w:val="auto"/>
              </w:rPr>
            </w:pPr>
          </w:p>
        </w:tc>
        <w:tc>
          <w:tcPr>
            <w:tcW w:w="200" w:type="dxa"/>
            <w:vAlign w:val="bottom"/>
            <w:tcBorders>
              <w:top w:val="single" w:sz="8" w:color="auto"/>
              <w:bottom w:val="single" w:sz="8" w:color="auto"/>
            </w:tcBorders>
            <w:shd w:val="clear" w:color="auto" w:fill="9DB8D2"/>
          </w:tcPr>
          <w:p>
            <w:pPr>
              <w:spacing w:after="0"/>
              <w:rPr>
                <w:sz w:val="21"/>
                <w:szCs w:val="21"/>
                <w:color w:val="auto"/>
              </w:rPr>
            </w:pPr>
          </w:p>
        </w:tc>
        <w:tc>
          <w:tcPr>
            <w:tcW w:w="1860" w:type="dxa"/>
            <w:vAlign w:val="bottom"/>
            <w:tcBorders>
              <w:top w:val="single" w:sz="8" w:color="auto"/>
              <w:bottom w:val="single" w:sz="8" w:color="auto"/>
            </w:tcBorders>
            <w:gridSpan w:val="2"/>
            <w:shd w:val="clear" w:color="auto" w:fill="9DB8D2"/>
          </w:tcPr>
          <w:p>
            <w:pPr>
              <w:jc w:val="right"/>
              <w:ind w:right="594"/>
              <w:spacing w:after="0"/>
              <w:rPr>
                <w:sz w:val="20"/>
                <w:szCs w:val="20"/>
                <w:color w:val="auto"/>
              </w:rPr>
            </w:pPr>
            <w:r>
              <w:rPr>
                <w:rFonts w:ascii="Arial" w:cs="Arial" w:eastAsia="Arial" w:hAnsi="Arial"/>
                <w:sz w:val="13"/>
                <w:szCs w:val="13"/>
                <w:b w:val="1"/>
                <w:bCs w:val="1"/>
                <w:color w:val="auto"/>
              </w:rPr>
              <w:t>Stock Awards</w:t>
            </w:r>
          </w:p>
        </w:tc>
        <w:tc>
          <w:tcPr>
            <w:tcW w:w="160" w:type="dxa"/>
            <w:vAlign w:val="bottom"/>
            <w:tcBorders>
              <w:top w:val="single" w:sz="8" w:color="auto"/>
              <w:bottom w:val="single" w:sz="8" w:color="auto"/>
            </w:tcBorders>
            <w:shd w:val="clear" w:color="auto" w:fill="9DB8D2"/>
          </w:tcPr>
          <w:p>
            <w:pPr>
              <w:spacing w:after="0"/>
              <w:rPr>
                <w:sz w:val="21"/>
                <w:szCs w:val="21"/>
                <w:color w:val="auto"/>
              </w:rPr>
            </w:pPr>
          </w:p>
        </w:tc>
        <w:tc>
          <w:tcPr>
            <w:tcW w:w="900" w:type="dxa"/>
            <w:vAlign w:val="bottom"/>
            <w:tcBorders>
              <w:top w:val="single" w:sz="8" w:color="auto"/>
              <w:bottom w:val="single" w:sz="8" w:color="auto"/>
            </w:tcBorders>
            <w:shd w:val="clear" w:color="auto" w:fill="9DB8D2"/>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60" w:type="dxa"/>
            <w:vAlign w:val="bottom"/>
            <w:shd w:val="clear" w:color="auto" w:fill="9DB8D2"/>
          </w:tcPr>
          <w:p>
            <w:pPr>
              <w:spacing w:after="0"/>
              <w:rPr>
                <w:sz w:val="17"/>
                <w:szCs w:val="17"/>
                <w:color w:val="auto"/>
              </w:rPr>
            </w:pPr>
          </w:p>
        </w:tc>
        <w:tc>
          <w:tcPr>
            <w:tcW w:w="160" w:type="dxa"/>
            <w:vAlign w:val="bottom"/>
            <w:shd w:val="clear" w:color="auto" w:fill="9DB8D2"/>
          </w:tcPr>
          <w:p>
            <w:pPr>
              <w:spacing w:after="0"/>
              <w:rPr>
                <w:sz w:val="17"/>
                <w:szCs w:val="17"/>
                <w:color w:val="auto"/>
              </w:rPr>
            </w:pPr>
          </w:p>
        </w:tc>
        <w:tc>
          <w:tcPr>
            <w:tcW w:w="40" w:type="dxa"/>
            <w:vAlign w:val="bottom"/>
            <w:shd w:val="clear" w:color="auto" w:fill="9DB8D2"/>
          </w:tcPr>
          <w:p>
            <w:pPr>
              <w:spacing w:after="0"/>
              <w:rPr>
                <w:sz w:val="17"/>
                <w:szCs w:val="17"/>
                <w:color w:val="auto"/>
              </w:rPr>
            </w:pPr>
          </w:p>
        </w:tc>
        <w:tc>
          <w:tcPr>
            <w:tcW w:w="720" w:type="dxa"/>
            <w:vAlign w:val="bottom"/>
            <w:shd w:val="clear" w:color="auto" w:fill="9DB8D2"/>
          </w:tcPr>
          <w:p>
            <w:pPr>
              <w:spacing w:after="0"/>
              <w:rPr>
                <w:sz w:val="17"/>
                <w:szCs w:val="17"/>
                <w:color w:val="auto"/>
              </w:rPr>
            </w:pPr>
          </w:p>
        </w:tc>
        <w:tc>
          <w:tcPr>
            <w:tcW w:w="260" w:type="dxa"/>
            <w:vAlign w:val="bottom"/>
            <w:shd w:val="clear" w:color="auto" w:fill="9DB8D2"/>
          </w:tcPr>
          <w:p>
            <w:pPr>
              <w:spacing w:after="0"/>
              <w:rPr>
                <w:sz w:val="17"/>
                <w:szCs w:val="17"/>
                <w:color w:val="auto"/>
              </w:rPr>
            </w:pPr>
          </w:p>
        </w:tc>
        <w:tc>
          <w:tcPr>
            <w:tcW w:w="800" w:type="dxa"/>
            <w:vAlign w:val="bottom"/>
            <w:shd w:val="clear" w:color="auto" w:fill="9DB8D2"/>
          </w:tcPr>
          <w:p>
            <w:pPr>
              <w:spacing w:after="0"/>
              <w:rPr>
                <w:sz w:val="17"/>
                <w:szCs w:val="17"/>
                <w:color w:val="auto"/>
              </w:rPr>
            </w:pPr>
          </w:p>
        </w:tc>
        <w:tc>
          <w:tcPr>
            <w:tcW w:w="200" w:type="dxa"/>
            <w:vAlign w:val="bottom"/>
            <w:shd w:val="clear" w:color="auto" w:fill="9DB8D2"/>
          </w:tcPr>
          <w:p>
            <w:pPr>
              <w:spacing w:after="0"/>
              <w:rPr>
                <w:sz w:val="17"/>
                <w:szCs w:val="17"/>
                <w:color w:val="auto"/>
              </w:rPr>
            </w:pPr>
          </w:p>
        </w:tc>
        <w:tc>
          <w:tcPr>
            <w:tcW w:w="220" w:type="dxa"/>
            <w:vAlign w:val="bottom"/>
            <w:shd w:val="clear" w:color="auto" w:fill="9DB8D2"/>
          </w:tcPr>
          <w:p>
            <w:pPr>
              <w:spacing w:after="0"/>
              <w:rPr>
                <w:sz w:val="17"/>
                <w:szCs w:val="17"/>
                <w:color w:val="auto"/>
              </w:rPr>
            </w:pPr>
          </w:p>
        </w:tc>
        <w:tc>
          <w:tcPr>
            <w:tcW w:w="740" w:type="dxa"/>
            <w:vAlign w:val="bottom"/>
            <w:shd w:val="clear" w:color="auto" w:fill="9DB8D2"/>
          </w:tcPr>
          <w:p>
            <w:pPr>
              <w:spacing w:after="0"/>
              <w:rPr>
                <w:sz w:val="17"/>
                <w:szCs w:val="17"/>
                <w:color w:val="auto"/>
              </w:rPr>
            </w:pPr>
          </w:p>
        </w:tc>
        <w:tc>
          <w:tcPr>
            <w:tcW w:w="200" w:type="dxa"/>
            <w:vAlign w:val="bottom"/>
            <w:shd w:val="clear" w:color="auto" w:fill="9DB8D2"/>
          </w:tcPr>
          <w:p>
            <w:pPr>
              <w:spacing w:after="0"/>
              <w:rPr>
                <w:sz w:val="17"/>
                <w:szCs w:val="17"/>
                <w:color w:val="auto"/>
              </w:rPr>
            </w:pPr>
          </w:p>
        </w:tc>
        <w:tc>
          <w:tcPr>
            <w:tcW w:w="100" w:type="dxa"/>
            <w:vAlign w:val="bottom"/>
            <w:shd w:val="clear" w:color="auto" w:fill="9DB8D2"/>
          </w:tcPr>
          <w:p>
            <w:pPr>
              <w:spacing w:after="0"/>
              <w:rPr>
                <w:sz w:val="17"/>
                <w:szCs w:val="17"/>
                <w:color w:val="auto"/>
              </w:rPr>
            </w:pPr>
          </w:p>
        </w:tc>
        <w:tc>
          <w:tcPr>
            <w:tcW w:w="540" w:type="dxa"/>
            <w:vAlign w:val="bottom"/>
            <w:shd w:val="clear" w:color="auto" w:fill="9DB8D2"/>
          </w:tcPr>
          <w:p>
            <w:pPr>
              <w:spacing w:after="0"/>
              <w:rPr>
                <w:sz w:val="17"/>
                <w:szCs w:val="17"/>
                <w:color w:val="auto"/>
              </w:rPr>
            </w:pPr>
          </w:p>
        </w:tc>
        <w:tc>
          <w:tcPr>
            <w:tcW w:w="780" w:type="dxa"/>
            <w:vAlign w:val="bottom"/>
            <w:shd w:val="clear" w:color="auto" w:fill="9DB8D2"/>
          </w:tcPr>
          <w:p>
            <w:pPr>
              <w:spacing w:after="0"/>
              <w:rPr>
                <w:sz w:val="17"/>
                <w:szCs w:val="17"/>
                <w:color w:val="auto"/>
              </w:rPr>
            </w:pPr>
          </w:p>
        </w:tc>
        <w:tc>
          <w:tcPr>
            <w:tcW w:w="80" w:type="dxa"/>
            <w:vAlign w:val="bottom"/>
            <w:shd w:val="clear" w:color="auto" w:fill="9DB8D2"/>
          </w:tcPr>
          <w:p>
            <w:pPr>
              <w:spacing w:after="0"/>
              <w:rPr>
                <w:sz w:val="17"/>
                <w:szCs w:val="17"/>
                <w:color w:val="auto"/>
              </w:rPr>
            </w:pPr>
          </w:p>
        </w:tc>
        <w:tc>
          <w:tcPr>
            <w:tcW w:w="1000" w:type="dxa"/>
            <w:vAlign w:val="bottom"/>
            <w:shd w:val="clear" w:color="auto" w:fill="9DB8D2"/>
          </w:tcPr>
          <w:p>
            <w:pPr>
              <w:spacing w:after="0"/>
              <w:rPr>
                <w:sz w:val="17"/>
                <w:szCs w:val="17"/>
                <w:color w:val="auto"/>
              </w:rPr>
            </w:pPr>
          </w:p>
        </w:tc>
        <w:tc>
          <w:tcPr>
            <w:tcW w:w="200" w:type="dxa"/>
            <w:vAlign w:val="bottom"/>
            <w:shd w:val="clear" w:color="auto" w:fill="9DB8D2"/>
          </w:tcPr>
          <w:p>
            <w:pPr>
              <w:spacing w:after="0"/>
              <w:rPr>
                <w:sz w:val="17"/>
                <w:szCs w:val="17"/>
                <w:color w:val="auto"/>
              </w:rPr>
            </w:pPr>
          </w:p>
        </w:tc>
        <w:tc>
          <w:tcPr>
            <w:tcW w:w="660" w:type="dxa"/>
            <w:vAlign w:val="bottom"/>
            <w:shd w:val="clear" w:color="auto" w:fill="9DB8D2"/>
          </w:tcPr>
          <w:p>
            <w:pPr>
              <w:spacing w:after="0"/>
              <w:rPr>
                <w:sz w:val="17"/>
                <w:szCs w:val="17"/>
                <w:color w:val="auto"/>
              </w:rPr>
            </w:pPr>
          </w:p>
        </w:tc>
        <w:tc>
          <w:tcPr>
            <w:tcW w:w="1200" w:type="dxa"/>
            <w:vAlign w:val="bottom"/>
            <w:vMerge w:val="restart"/>
            <w:shd w:val="clear" w:color="auto" w:fill="9DB8D2"/>
          </w:tcPr>
          <w:p>
            <w:pPr>
              <w:jc w:val="center"/>
              <w:ind w:right="174"/>
              <w:spacing w:after="0"/>
              <w:rPr>
                <w:sz w:val="20"/>
                <w:szCs w:val="20"/>
                <w:color w:val="auto"/>
              </w:rPr>
            </w:pPr>
            <w:r>
              <w:rPr>
                <w:rFonts w:ascii="Arial" w:cs="Arial" w:eastAsia="Arial" w:hAnsi="Arial"/>
                <w:sz w:val="13"/>
                <w:szCs w:val="13"/>
                <w:b w:val="1"/>
                <w:bCs w:val="1"/>
                <w:color w:val="auto"/>
              </w:rPr>
              <w:t>Equity</w:t>
            </w:r>
          </w:p>
        </w:tc>
        <w:tc>
          <w:tcPr>
            <w:tcW w:w="160" w:type="dxa"/>
            <w:vAlign w:val="bottom"/>
            <w:shd w:val="clear" w:color="auto" w:fill="9DB8D2"/>
          </w:tcPr>
          <w:p>
            <w:pPr>
              <w:spacing w:after="0"/>
              <w:rPr>
                <w:sz w:val="17"/>
                <w:szCs w:val="17"/>
                <w:color w:val="auto"/>
              </w:rPr>
            </w:pPr>
          </w:p>
        </w:tc>
        <w:tc>
          <w:tcPr>
            <w:tcW w:w="900" w:type="dxa"/>
            <w:vAlign w:val="bottom"/>
            <w:shd w:val="clear" w:color="auto" w:fill="9DB8D2"/>
          </w:tcPr>
          <w:p>
            <w:pPr>
              <w:jc w:val="center"/>
              <w:ind w:right="17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35"/>
        </w:trPr>
        <w:tc>
          <w:tcPr>
            <w:tcW w:w="2060" w:type="dxa"/>
            <w:vAlign w:val="bottom"/>
            <w:shd w:val="clear" w:color="auto" w:fill="9DB8D2"/>
          </w:tcPr>
          <w:p>
            <w:pPr>
              <w:spacing w:after="0"/>
              <w:rPr>
                <w:sz w:val="11"/>
                <w:szCs w:val="11"/>
                <w:color w:val="auto"/>
              </w:rPr>
            </w:pPr>
          </w:p>
        </w:tc>
        <w:tc>
          <w:tcPr>
            <w:tcW w:w="16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220" w:type="dxa"/>
            <w:vAlign w:val="bottom"/>
            <w:shd w:val="clear" w:color="auto" w:fill="9DB8D2"/>
          </w:tcPr>
          <w:p>
            <w:pPr>
              <w:spacing w:after="0"/>
              <w:rPr>
                <w:sz w:val="11"/>
                <w:szCs w:val="11"/>
                <w:color w:val="auto"/>
              </w:rPr>
            </w:pPr>
          </w:p>
        </w:tc>
        <w:tc>
          <w:tcPr>
            <w:tcW w:w="74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10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0" w:type="dxa"/>
            <w:vAlign w:val="bottom"/>
            <w:vMerge w:val="continue"/>
            <w:shd w:val="clear" w:color="auto" w:fill="9DB8D2"/>
          </w:tcPr>
          <w:p>
            <w:pPr>
              <w:spacing w:after="0"/>
              <w:rPr>
                <w:sz w:val="11"/>
                <w:szCs w:val="11"/>
                <w:color w:val="auto"/>
              </w:rPr>
            </w:pPr>
          </w:p>
        </w:tc>
        <w:tc>
          <w:tcPr>
            <w:tcW w:w="16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9"/>
              </w:rPr>
              <w:t>Incentive</w:t>
            </w:r>
          </w:p>
        </w:tc>
        <w:tc>
          <w:tcPr>
            <w:tcW w:w="0" w:type="dxa"/>
            <w:vAlign w:val="bottom"/>
          </w:tcPr>
          <w:p>
            <w:pPr>
              <w:spacing w:after="0"/>
              <w:rPr>
                <w:sz w:val="1"/>
                <w:szCs w:val="1"/>
                <w:color w:val="auto"/>
              </w:rPr>
            </w:pPr>
          </w:p>
        </w:tc>
      </w:tr>
      <w:tr>
        <w:trPr>
          <w:trHeight w:val="135"/>
        </w:trPr>
        <w:tc>
          <w:tcPr>
            <w:tcW w:w="2060" w:type="dxa"/>
            <w:vAlign w:val="bottom"/>
            <w:shd w:val="clear" w:color="auto" w:fill="9DB8D2"/>
          </w:tcPr>
          <w:p>
            <w:pPr>
              <w:spacing w:after="0"/>
              <w:rPr>
                <w:sz w:val="11"/>
                <w:szCs w:val="11"/>
                <w:color w:val="auto"/>
              </w:rPr>
            </w:pPr>
          </w:p>
        </w:tc>
        <w:tc>
          <w:tcPr>
            <w:tcW w:w="16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220" w:type="dxa"/>
            <w:vAlign w:val="bottom"/>
            <w:shd w:val="clear" w:color="auto" w:fill="9DB8D2"/>
          </w:tcPr>
          <w:p>
            <w:pPr>
              <w:spacing w:after="0"/>
              <w:rPr>
                <w:sz w:val="11"/>
                <w:szCs w:val="11"/>
                <w:color w:val="auto"/>
              </w:rPr>
            </w:pPr>
          </w:p>
        </w:tc>
        <w:tc>
          <w:tcPr>
            <w:tcW w:w="74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rPr>
              <w:t>Equity</w:t>
            </w:r>
          </w:p>
        </w:tc>
        <w:tc>
          <w:tcPr>
            <w:tcW w:w="200" w:type="dxa"/>
            <w:vAlign w:val="bottom"/>
            <w:shd w:val="clear" w:color="auto" w:fill="9DB8D2"/>
          </w:tcPr>
          <w:p>
            <w:pPr>
              <w:spacing w:after="0"/>
              <w:rPr>
                <w:sz w:val="11"/>
                <w:szCs w:val="11"/>
                <w:color w:val="auto"/>
              </w:rPr>
            </w:pPr>
          </w:p>
        </w:tc>
        <w:tc>
          <w:tcPr>
            <w:tcW w:w="10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9"/>
              </w:rPr>
              <w:t>Incentive</w:t>
            </w:r>
          </w:p>
        </w:tc>
        <w:tc>
          <w:tcPr>
            <w:tcW w:w="1060" w:type="dxa"/>
            <w:vAlign w:val="bottom"/>
            <w:gridSpan w:val="2"/>
            <w:shd w:val="clear" w:color="auto" w:fill="9DB8D2"/>
          </w:tcPr>
          <w:p>
            <w:pPr>
              <w:ind w:left="100"/>
              <w:spacing w:after="0" w:line="135" w:lineRule="exact"/>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35"/>
        </w:trPr>
        <w:tc>
          <w:tcPr>
            <w:tcW w:w="2060" w:type="dxa"/>
            <w:vAlign w:val="bottom"/>
            <w:shd w:val="clear" w:color="auto" w:fill="9DB8D2"/>
          </w:tcPr>
          <w:p>
            <w:pPr>
              <w:spacing w:after="0"/>
              <w:rPr>
                <w:sz w:val="11"/>
                <w:szCs w:val="11"/>
                <w:color w:val="auto"/>
              </w:rPr>
            </w:pPr>
          </w:p>
        </w:tc>
        <w:tc>
          <w:tcPr>
            <w:tcW w:w="16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220" w:type="dxa"/>
            <w:vAlign w:val="bottom"/>
            <w:shd w:val="clear" w:color="auto" w:fill="9DB8D2"/>
          </w:tcPr>
          <w:p>
            <w:pPr>
              <w:spacing w:after="0"/>
              <w:rPr>
                <w:sz w:val="11"/>
                <w:szCs w:val="11"/>
                <w:color w:val="auto"/>
              </w:rPr>
            </w:pPr>
          </w:p>
        </w:tc>
        <w:tc>
          <w:tcPr>
            <w:tcW w:w="740" w:type="dxa"/>
            <w:vAlign w:val="bottom"/>
            <w:vMerge w:val="continue"/>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10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660" w:type="dxa"/>
            <w:vAlign w:val="bottom"/>
            <w:vMerge w:val="restart"/>
            <w:shd w:val="clear" w:color="auto" w:fill="9DB8D2"/>
          </w:tcPr>
          <w:p>
            <w:pPr>
              <w:jc w:val="center"/>
              <w:ind w:right="93"/>
              <w:spacing w:after="0"/>
              <w:rPr>
                <w:sz w:val="20"/>
                <w:szCs w:val="20"/>
                <w:color w:val="auto"/>
              </w:rPr>
            </w:pPr>
            <w:r>
              <w:rPr>
                <w:rFonts w:ascii="Arial" w:cs="Arial" w:eastAsia="Arial" w:hAnsi="Arial"/>
                <w:sz w:val="13"/>
                <w:szCs w:val="13"/>
                <w:b w:val="1"/>
                <w:bCs w:val="1"/>
                <w:color w:val="auto"/>
              </w:rPr>
              <w:t>Market</w:t>
            </w:r>
          </w:p>
        </w:tc>
        <w:tc>
          <w:tcPr>
            <w:tcW w:w="120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7"/>
              </w:rPr>
              <w:t>Plan Awards:</w:t>
            </w:r>
          </w:p>
        </w:tc>
        <w:tc>
          <w:tcPr>
            <w:tcW w:w="16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2060" w:type="dxa"/>
            <w:vAlign w:val="bottom"/>
            <w:shd w:val="clear" w:color="auto" w:fill="9DB8D2"/>
          </w:tcPr>
          <w:p>
            <w:pPr>
              <w:spacing w:after="0"/>
              <w:rPr>
                <w:sz w:val="11"/>
                <w:szCs w:val="11"/>
                <w:color w:val="auto"/>
              </w:rPr>
            </w:pPr>
          </w:p>
        </w:tc>
        <w:tc>
          <w:tcPr>
            <w:tcW w:w="16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260" w:type="dxa"/>
            <w:vAlign w:val="bottom"/>
            <w:shd w:val="clear" w:color="auto" w:fill="9DB8D2"/>
          </w:tcPr>
          <w:p>
            <w:pPr>
              <w:spacing w:after="0"/>
              <w:rPr>
                <w:sz w:val="11"/>
                <w:szCs w:val="11"/>
                <w:color w:val="auto"/>
              </w:rPr>
            </w:pPr>
          </w:p>
        </w:tc>
        <w:tc>
          <w:tcPr>
            <w:tcW w:w="1000" w:type="dxa"/>
            <w:vAlign w:val="bottom"/>
            <w:gridSpan w:val="2"/>
            <w:vMerge w:val="restart"/>
            <w:shd w:val="clear" w:color="auto" w:fill="9DB8D2"/>
          </w:tcPr>
          <w:p>
            <w:pPr>
              <w:jc w:val="center"/>
              <w:ind w:right="217"/>
              <w:spacing w:after="0"/>
              <w:rPr>
                <w:sz w:val="20"/>
                <w:szCs w:val="20"/>
                <w:color w:val="auto"/>
              </w:rPr>
            </w:pPr>
            <w:r>
              <w:rPr>
                <w:rFonts w:ascii="Arial" w:cs="Arial" w:eastAsia="Arial" w:hAnsi="Arial"/>
                <w:sz w:val="13"/>
                <w:szCs w:val="13"/>
                <w:b w:val="1"/>
                <w:bCs w:val="1"/>
                <w:color w:val="auto"/>
                <w:w w:val="98"/>
              </w:rPr>
              <w:t>Number of</w:t>
            </w:r>
          </w:p>
        </w:tc>
        <w:tc>
          <w:tcPr>
            <w:tcW w:w="220" w:type="dxa"/>
            <w:vAlign w:val="bottom"/>
            <w:shd w:val="clear" w:color="auto" w:fill="9DB8D2"/>
          </w:tcPr>
          <w:p>
            <w:pPr>
              <w:spacing w:after="0"/>
              <w:rPr>
                <w:sz w:val="11"/>
                <w:szCs w:val="11"/>
                <w:color w:val="auto"/>
              </w:rPr>
            </w:pPr>
          </w:p>
        </w:tc>
        <w:tc>
          <w:tcPr>
            <w:tcW w:w="74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9"/>
              </w:rPr>
              <w:t>Incentive</w:t>
            </w:r>
          </w:p>
        </w:tc>
        <w:tc>
          <w:tcPr>
            <w:tcW w:w="200" w:type="dxa"/>
            <w:vAlign w:val="bottom"/>
            <w:shd w:val="clear" w:color="auto" w:fill="9DB8D2"/>
          </w:tcPr>
          <w:p>
            <w:pPr>
              <w:spacing w:after="0"/>
              <w:rPr>
                <w:sz w:val="11"/>
                <w:szCs w:val="11"/>
                <w:color w:val="auto"/>
              </w:rPr>
            </w:pPr>
          </w:p>
        </w:tc>
        <w:tc>
          <w:tcPr>
            <w:tcW w:w="10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vMerge w:val="restart"/>
            <w:shd w:val="clear" w:color="auto" w:fill="9DB8D2"/>
          </w:tcPr>
          <w:p>
            <w:pPr>
              <w:jc w:val="center"/>
              <w:ind w:right="273"/>
              <w:spacing w:after="0"/>
              <w:rPr>
                <w:sz w:val="20"/>
                <w:szCs w:val="20"/>
                <w:color w:val="auto"/>
              </w:rPr>
            </w:pPr>
            <w:r>
              <w:rPr>
                <w:rFonts w:ascii="Arial" w:cs="Arial" w:eastAsia="Arial" w:hAnsi="Arial"/>
                <w:sz w:val="13"/>
                <w:szCs w:val="13"/>
                <w:b w:val="1"/>
                <w:bCs w:val="1"/>
                <w:color w:val="auto"/>
                <w:w w:val="93"/>
              </w:rPr>
              <w:t>Number</w:t>
            </w:r>
          </w:p>
        </w:tc>
        <w:tc>
          <w:tcPr>
            <w:tcW w:w="200" w:type="dxa"/>
            <w:vAlign w:val="bottom"/>
            <w:shd w:val="clear" w:color="auto" w:fill="9DB8D2"/>
          </w:tcPr>
          <w:p>
            <w:pPr>
              <w:spacing w:after="0"/>
              <w:rPr>
                <w:sz w:val="11"/>
                <w:szCs w:val="11"/>
                <w:color w:val="auto"/>
              </w:rPr>
            </w:pPr>
          </w:p>
        </w:tc>
        <w:tc>
          <w:tcPr>
            <w:tcW w:w="660" w:type="dxa"/>
            <w:vAlign w:val="bottom"/>
            <w:vMerge w:val="continue"/>
            <w:shd w:val="clear" w:color="auto" w:fill="9DB8D2"/>
          </w:tcPr>
          <w:p>
            <w:pPr>
              <w:spacing w:after="0"/>
              <w:rPr>
                <w:sz w:val="11"/>
                <w:szCs w:val="11"/>
                <w:color w:val="auto"/>
              </w:rPr>
            </w:pPr>
          </w:p>
        </w:tc>
        <w:tc>
          <w:tcPr>
            <w:tcW w:w="120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8"/>
              </w:rPr>
              <w:t>Number of</w:t>
            </w:r>
          </w:p>
        </w:tc>
        <w:tc>
          <w:tcPr>
            <w:tcW w:w="1060" w:type="dxa"/>
            <w:vAlign w:val="bottom"/>
            <w:gridSpan w:val="2"/>
            <w:shd w:val="clear" w:color="auto" w:fill="9DB8D2"/>
          </w:tcPr>
          <w:p>
            <w:pPr>
              <w:ind w:left="100"/>
              <w:spacing w:after="0" w:line="135" w:lineRule="exact"/>
              <w:rPr>
                <w:sz w:val="20"/>
                <w:szCs w:val="20"/>
                <w:color w:val="auto"/>
              </w:rPr>
            </w:pPr>
            <w:r>
              <w:rPr>
                <w:rFonts w:ascii="Arial" w:cs="Arial" w:eastAsia="Arial" w:hAnsi="Arial"/>
                <w:sz w:val="13"/>
                <w:szCs w:val="13"/>
                <w:b w:val="1"/>
                <w:bCs w:val="1"/>
                <w:color w:val="auto"/>
              </w:rPr>
              <w:t>Payout Value</w:t>
            </w:r>
          </w:p>
        </w:tc>
        <w:tc>
          <w:tcPr>
            <w:tcW w:w="0" w:type="dxa"/>
            <w:vAlign w:val="bottom"/>
          </w:tcPr>
          <w:p>
            <w:pPr>
              <w:spacing w:after="0"/>
              <w:rPr>
                <w:sz w:val="1"/>
                <w:szCs w:val="1"/>
                <w:color w:val="auto"/>
              </w:rPr>
            </w:pPr>
          </w:p>
        </w:tc>
      </w:tr>
      <w:tr>
        <w:trPr>
          <w:trHeight w:val="135"/>
        </w:trPr>
        <w:tc>
          <w:tcPr>
            <w:tcW w:w="2060" w:type="dxa"/>
            <w:vAlign w:val="bottom"/>
            <w:shd w:val="clear" w:color="auto" w:fill="9DB8D2"/>
          </w:tcPr>
          <w:p>
            <w:pPr>
              <w:spacing w:after="0"/>
              <w:rPr>
                <w:sz w:val="11"/>
                <w:szCs w:val="11"/>
                <w:color w:val="auto"/>
              </w:rPr>
            </w:pPr>
          </w:p>
        </w:tc>
        <w:tc>
          <w:tcPr>
            <w:tcW w:w="16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vMerge w:val="continue"/>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1000" w:type="dxa"/>
            <w:vAlign w:val="bottom"/>
            <w:gridSpan w:val="2"/>
            <w:vMerge w:val="continue"/>
            <w:shd w:val="clear" w:color="auto" w:fill="9DB8D2"/>
          </w:tcPr>
          <w:p>
            <w:pPr>
              <w:spacing w:after="0"/>
              <w:rPr>
                <w:sz w:val="11"/>
                <w:szCs w:val="11"/>
                <w:color w:val="auto"/>
              </w:rPr>
            </w:pPr>
          </w:p>
        </w:tc>
        <w:tc>
          <w:tcPr>
            <w:tcW w:w="960" w:type="dxa"/>
            <w:vAlign w:val="bottom"/>
            <w:gridSpan w:val="2"/>
            <w:shd w:val="clear" w:color="auto" w:fill="9DB8D2"/>
          </w:tcPr>
          <w:p>
            <w:pPr>
              <w:jc w:val="center"/>
              <w:ind w:left="97"/>
              <w:spacing w:after="0" w:line="135" w:lineRule="exact"/>
              <w:rPr>
                <w:sz w:val="20"/>
                <w:szCs w:val="20"/>
                <w:color w:val="auto"/>
              </w:rPr>
            </w:pPr>
            <w:r>
              <w:rPr>
                <w:rFonts w:ascii="Arial" w:cs="Arial" w:eastAsia="Arial" w:hAnsi="Arial"/>
                <w:sz w:val="13"/>
                <w:szCs w:val="13"/>
                <w:b w:val="1"/>
                <w:bCs w:val="1"/>
                <w:color w:val="auto"/>
                <w:w w:val="97"/>
              </w:rPr>
              <w:t>Plan Awards:</w:t>
            </w:r>
          </w:p>
        </w:tc>
        <w:tc>
          <w:tcPr>
            <w:tcW w:w="200" w:type="dxa"/>
            <w:vAlign w:val="bottom"/>
            <w:shd w:val="clear" w:color="auto" w:fill="9DB8D2"/>
          </w:tcPr>
          <w:p>
            <w:pPr>
              <w:spacing w:after="0"/>
              <w:rPr>
                <w:sz w:val="11"/>
                <w:szCs w:val="11"/>
                <w:color w:val="auto"/>
              </w:rPr>
            </w:pPr>
          </w:p>
        </w:tc>
        <w:tc>
          <w:tcPr>
            <w:tcW w:w="10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vMerge w:val="continue"/>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660" w:type="dxa"/>
            <w:vAlign w:val="bottom"/>
            <w:shd w:val="clear" w:color="auto" w:fill="9DB8D2"/>
          </w:tcPr>
          <w:p>
            <w:pPr>
              <w:jc w:val="center"/>
              <w:ind w:right="93"/>
              <w:spacing w:after="0" w:line="135" w:lineRule="exact"/>
              <w:rPr>
                <w:sz w:val="20"/>
                <w:szCs w:val="20"/>
                <w:color w:val="auto"/>
              </w:rPr>
            </w:pPr>
            <w:r>
              <w:rPr>
                <w:rFonts w:ascii="Arial" w:cs="Arial" w:eastAsia="Arial" w:hAnsi="Arial"/>
                <w:sz w:val="13"/>
                <w:szCs w:val="13"/>
                <w:b w:val="1"/>
                <w:bCs w:val="1"/>
                <w:color w:val="auto"/>
                <w:w w:val="97"/>
              </w:rPr>
              <w:t>Value</w:t>
            </w:r>
          </w:p>
        </w:tc>
        <w:tc>
          <w:tcPr>
            <w:tcW w:w="1200" w:type="dxa"/>
            <w:vAlign w:val="bottom"/>
            <w:shd w:val="clear" w:color="auto" w:fill="9DB8D2"/>
          </w:tcPr>
          <w:p>
            <w:pPr>
              <w:jc w:val="center"/>
              <w:ind w:right="154"/>
              <w:spacing w:after="0" w:line="135" w:lineRule="exact"/>
              <w:rPr>
                <w:sz w:val="20"/>
                <w:szCs w:val="20"/>
                <w:color w:val="auto"/>
              </w:rPr>
            </w:pPr>
            <w:r>
              <w:rPr>
                <w:rFonts w:ascii="Arial" w:cs="Arial" w:eastAsia="Arial" w:hAnsi="Arial"/>
                <w:sz w:val="13"/>
                <w:szCs w:val="13"/>
                <w:b w:val="1"/>
                <w:bCs w:val="1"/>
                <w:color w:val="auto"/>
                <w:w w:val="96"/>
              </w:rPr>
              <w:t>Unearned</w:t>
            </w:r>
          </w:p>
        </w:tc>
        <w:tc>
          <w:tcPr>
            <w:tcW w:w="1060" w:type="dxa"/>
            <w:vAlign w:val="bottom"/>
            <w:gridSpan w:val="2"/>
            <w:shd w:val="clear" w:color="auto" w:fill="9DB8D2"/>
          </w:tcPr>
          <w:p>
            <w:pPr>
              <w:ind w:left="120"/>
              <w:spacing w:after="0" w:line="135" w:lineRule="exact"/>
              <w:rPr>
                <w:sz w:val="20"/>
                <w:szCs w:val="20"/>
                <w:color w:val="auto"/>
              </w:rPr>
            </w:pPr>
            <w:r>
              <w:rPr>
                <w:rFonts w:ascii="Arial" w:cs="Arial" w:eastAsia="Arial" w:hAnsi="Arial"/>
                <w:sz w:val="13"/>
                <w:szCs w:val="13"/>
                <w:b w:val="1"/>
                <w:bCs w:val="1"/>
                <w:color w:val="auto"/>
              </w:rPr>
              <w:t>of Unearned</w:t>
            </w:r>
          </w:p>
        </w:tc>
        <w:tc>
          <w:tcPr>
            <w:tcW w:w="0" w:type="dxa"/>
            <w:vAlign w:val="bottom"/>
          </w:tcPr>
          <w:p>
            <w:pPr>
              <w:spacing w:after="0"/>
              <w:rPr>
                <w:sz w:val="1"/>
                <w:szCs w:val="1"/>
                <w:color w:val="auto"/>
              </w:rPr>
            </w:pPr>
          </w:p>
        </w:tc>
      </w:tr>
      <w:tr>
        <w:trPr>
          <w:trHeight w:val="135"/>
        </w:trPr>
        <w:tc>
          <w:tcPr>
            <w:tcW w:w="2060" w:type="dxa"/>
            <w:vAlign w:val="bottom"/>
            <w:shd w:val="clear" w:color="auto" w:fill="9DB8D2"/>
          </w:tcPr>
          <w:p>
            <w:pPr>
              <w:spacing w:after="0"/>
              <w:rPr>
                <w:sz w:val="11"/>
                <w:szCs w:val="11"/>
                <w:color w:val="auto"/>
              </w:rPr>
            </w:pPr>
          </w:p>
        </w:tc>
        <w:tc>
          <w:tcPr>
            <w:tcW w:w="16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9"/>
              </w:rPr>
              <w:t>Securities</w:t>
            </w:r>
          </w:p>
        </w:tc>
        <w:tc>
          <w:tcPr>
            <w:tcW w:w="260" w:type="dxa"/>
            <w:vAlign w:val="bottom"/>
            <w:shd w:val="clear" w:color="auto" w:fill="9DB8D2"/>
          </w:tcPr>
          <w:p>
            <w:pPr>
              <w:spacing w:after="0"/>
              <w:rPr>
                <w:sz w:val="11"/>
                <w:szCs w:val="11"/>
                <w:color w:val="auto"/>
              </w:rPr>
            </w:pPr>
          </w:p>
        </w:tc>
        <w:tc>
          <w:tcPr>
            <w:tcW w:w="1000" w:type="dxa"/>
            <w:vAlign w:val="bottom"/>
            <w:gridSpan w:val="2"/>
            <w:shd w:val="clear" w:color="auto" w:fill="9DB8D2"/>
          </w:tcPr>
          <w:p>
            <w:pPr>
              <w:jc w:val="center"/>
              <w:ind w:right="217"/>
              <w:spacing w:after="0" w:line="135" w:lineRule="exact"/>
              <w:rPr>
                <w:sz w:val="20"/>
                <w:szCs w:val="20"/>
                <w:color w:val="auto"/>
              </w:rPr>
            </w:pPr>
            <w:r>
              <w:rPr>
                <w:rFonts w:ascii="Arial" w:cs="Arial" w:eastAsia="Arial" w:hAnsi="Arial"/>
                <w:sz w:val="13"/>
                <w:szCs w:val="13"/>
                <w:b w:val="1"/>
                <w:bCs w:val="1"/>
                <w:color w:val="auto"/>
                <w:w w:val="96"/>
              </w:rPr>
              <w:t>Securities</w:t>
            </w:r>
          </w:p>
        </w:tc>
        <w:tc>
          <w:tcPr>
            <w:tcW w:w="220" w:type="dxa"/>
            <w:vAlign w:val="bottom"/>
            <w:shd w:val="clear" w:color="auto" w:fill="9DB8D2"/>
          </w:tcPr>
          <w:p>
            <w:pPr>
              <w:spacing w:after="0"/>
              <w:rPr>
                <w:sz w:val="11"/>
                <w:szCs w:val="11"/>
                <w:color w:val="auto"/>
              </w:rPr>
            </w:pPr>
          </w:p>
        </w:tc>
        <w:tc>
          <w:tcPr>
            <w:tcW w:w="74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200" w:type="dxa"/>
            <w:vAlign w:val="bottom"/>
            <w:shd w:val="clear" w:color="auto" w:fill="9DB8D2"/>
          </w:tcPr>
          <w:p>
            <w:pPr>
              <w:spacing w:after="0"/>
              <w:rPr>
                <w:sz w:val="11"/>
                <w:szCs w:val="11"/>
                <w:color w:val="auto"/>
              </w:rPr>
            </w:pPr>
          </w:p>
        </w:tc>
        <w:tc>
          <w:tcPr>
            <w:tcW w:w="10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273"/>
              <w:spacing w:after="0" w:line="135" w:lineRule="exact"/>
              <w:rPr>
                <w:sz w:val="20"/>
                <w:szCs w:val="20"/>
                <w:color w:val="auto"/>
              </w:rPr>
            </w:pPr>
            <w:r>
              <w:rPr>
                <w:rFonts w:ascii="Arial" w:cs="Arial" w:eastAsia="Arial" w:hAnsi="Arial"/>
                <w:sz w:val="13"/>
                <w:szCs w:val="13"/>
                <w:b w:val="1"/>
                <w:bCs w:val="1"/>
                <w:color w:val="auto"/>
                <w:w w:val="97"/>
              </w:rPr>
              <w:t>of Shares</w:t>
            </w:r>
          </w:p>
        </w:tc>
        <w:tc>
          <w:tcPr>
            <w:tcW w:w="86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of Shares</w:t>
            </w:r>
          </w:p>
        </w:tc>
        <w:tc>
          <w:tcPr>
            <w:tcW w:w="120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1060" w:type="dxa"/>
            <w:vAlign w:val="bottom"/>
            <w:gridSpan w:val="2"/>
            <w:shd w:val="clear" w:color="auto" w:fill="9DB8D2"/>
          </w:tcPr>
          <w:p>
            <w:pPr>
              <w:ind w:left="80"/>
              <w:spacing w:after="0" w:line="135" w:lineRule="exact"/>
              <w:rPr>
                <w:sz w:val="20"/>
                <w:szCs w:val="20"/>
                <w:color w:val="auto"/>
              </w:rPr>
            </w:pPr>
            <w:r>
              <w:rPr>
                <w:rFonts w:ascii="Arial" w:cs="Arial" w:eastAsia="Arial" w:hAnsi="Arial"/>
                <w:sz w:val="13"/>
                <w:szCs w:val="13"/>
                <w:b w:val="1"/>
                <w:bCs w:val="1"/>
                <w:color w:val="auto"/>
              </w:rPr>
              <w:t>Shares, Units,</w:t>
            </w:r>
          </w:p>
        </w:tc>
        <w:tc>
          <w:tcPr>
            <w:tcW w:w="0" w:type="dxa"/>
            <w:vAlign w:val="bottom"/>
          </w:tcPr>
          <w:p>
            <w:pPr>
              <w:spacing w:after="0"/>
              <w:rPr>
                <w:sz w:val="1"/>
                <w:szCs w:val="1"/>
                <w:color w:val="auto"/>
              </w:rPr>
            </w:pPr>
          </w:p>
        </w:tc>
      </w:tr>
      <w:tr>
        <w:trPr>
          <w:trHeight w:val="135"/>
        </w:trPr>
        <w:tc>
          <w:tcPr>
            <w:tcW w:w="2060" w:type="dxa"/>
            <w:vAlign w:val="bottom"/>
            <w:shd w:val="clear" w:color="auto" w:fill="9DB8D2"/>
          </w:tcPr>
          <w:p>
            <w:pPr>
              <w:spacing w:after="0"/>
              <w:rPr>
                <w:sz w:val="11"/>
                <w:szCs w:val="11"/>
                <w:color w:val="auto"/>
              </w:rPr>
            </w:pPr>
          </w:p>
        </w:tc>
        <w:tc>
          <w:tcPr>
            <w:tcW w:w="16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260" w:type="dxa"/>
            <w:vAlign w:val="bottom"/>
            <w:shd w:val="clear" w:color="auto" w:fill="9DB8D2"/>
          </w:tcPr>
          <w:p>
            <w:pPr>
              <w:spacing w:after="0"/>
              <w:rPr>
                <w:sz w:val="11"/>
                <w:szCs w:val="11"/>
                <w:color w:val="auto"/>
              </w:rPr>
            </w:pPr>
          </w:p>
        </w:tc>
        <w:tc>
          <w:tcPr>
            <w:tcW w:w="1000" w:type="dxa"/>
            <w:vAlign w:val="bottom"/>
            <w:gridSpan w:val="2"/>
            <w:shd w:val="clear" w:color="auto" w:fill="9DB8D2"/>
          </w:tcPr>
          <w:p>
            <w:pPr>
              <w:jc w:val="center"/>
              <w:ind w:right="197"/>
              <w:spacing w:after="0" w:line="135" w:lineRule="exact"/>
              <w:rPr>
                <w:sz w:val="20"/>
                <w:szCs w:val="20"/>
                <w:color w:val="auto"/>
              </w:rPr>
            </w:pPr>
            <w:r>
              <w:rPr>
                <w:rFonts w:ascii="Arial" w:cs="Arial" w:eastAsia="Arial" w:hAnsi="Arial"/>
                <w:sz w:val="13"/>
                <w:szCs w:val="13"/>
                <w:b w:val="1"/>
                <w:bCs w:val="1"/>
                <w:color w:val="auto"/>
                <w:w w:val="97"/>
              </w:rPr>
              <w:t>Underlying</w:t>
            </w:r>
          </w:p>
        </w:tc>
        <w:tc>
          <w:tcPr>
            <w:tcW w:w="220" w:type="dxa"/>
            <w:vAlign w:val="bottom"/>
            <w:shd w:val="clear" w:color="auto" w:fill="9DB8D2"/>
          </w:tcPr>
          <w:p>
            <w:pPr>
              <w:spacing w:after="0"/>
              <w:rPr>
                <w:sz w:val="11"/>
                <w:szCs w:val="11"/>
                <w:color w:val="auto"/>
              </w:rPr>
            </w:pPr>
          </w:p>
        </w:tc>
        <w:tc>
          <w:tcPr>
            <w:tcW w:w="74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200" w:type="dxa"/>
            <w:vAlign w:val="bottom"/>
            <w:shd w:val="clear" w:color="auto" w:fill="9DB8D2"/>
          </w:tcPr>
          <w:p>
            <w:pPr>
              <w:spacing w:after="0"/>
              <w:rPr>
                <w:sz w:val="11"/>
                <w:szCs w:val="11"/>
                <w:color w:val="auto"/>
              </w:rPr>
            </w:pPr>
          </w:p>
        </w:tc>
        <w:tc>
          <w:tcPr>
            <w:tcW w:w="640" w:type="dxa"/>
            <w:vAlign w:val="bottom"/>
            <w:gridSpan w:val="2"/>
            <w:vMerge w:val="restart"/>
            <w:shd w:val="clear" w:color="auto" w:fill="9DB8D2"/>
          </w:tcPr>
          <w:p>
            <w:pPr>
              <w:jc w:val="center"/>
              <w:ind w:right="53"/>
              <w:spacing w:after="0"/>
              <w:rPr>
                <w:sz w:val="20"/>
                <w:szCs w:val="20"/>
                <w:color w:val="auto"/>
              </w:rPr>
            </w:pPr>
            <w:r>
              <w:rPr>
                <w:rFonts w:ascii="Arial" w:cs="Arial" w:eastAsia="Arial" w:hAnsi="Arial"/>
                <w:sz w:val="13"/>
                <w:szCs w:val="13"/>
                <w:b w:val="1"/>
                <w:bCs w:val="1"/>
                <w:color w:val="auto"/>
                <w:w w:val="95"/>
              </w:rPr>
              <w:t>Option</w:t>
            </w:r>
          </w:p>
        </w:tc>
        <w:tc>
          <w:tcPr>
            <w:tcW w:w="78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273"/>
              <w:spacing w:after="0" w:line="135" w:lineRule="exact"/>
              <w:rPr>
                <w:sz w:val="20"/>
                <w:szCs w:val="20"/>
                <w:color w:val="auto"/>
              </w:rPr>
            </w:pPr>
            <w:r>
              <w:rPr>
                <w:rFonts w:ascii="Arial" w:cs="Arial" w:eastAsia="Arial" w:hAnsi="Arial"/>
                <w:sz w:val="13"/>
                <w:szCs w:val="13"/>
                <w:b w:val="1"/>
                <w:bCs w:val="1"/>
                <w:color w:val="auto"/>
                <w:w w:val="93"/>
              </w:rPr>
              <w:t>or Units</w:t>
            </w:r>
          </w:p>
        </w:tc>
        <w:tc>
          <w:tcPr>
            <w:tcW w:w="200" w:type="dxa"/>
            <w:vAlign w:val="bottom"/>
            <w:shd w:val="clear" w:color="auto" w:fill="9DB8D2"/>
          </w:tcPr>
          <w:p>
            <w:pPr>
              <w:spacing w:after="0"/>
              <w:rPr>
                <w:sz w:val="11"/>
                <w:szCs w:val="11"/>
                <w:color w:val="auto"/>
              </w:rPr>
            </w:pPr>
          </w:p>
        </w:tc>
        <w:tc>
          <w:tcPr>
            <w:tcW w:w="660" w:type="dxa"/>
            <w:vAlign w:val="bottom"/>
            <w:shd w:val="clear" w:color="auto" w:fill="9DB8D2"/>
          </w:tcPr>
          <w:p>
            <w:pPr>
              <w:jc w:val="center"/>
              <w:ind w:right="93"/>
              <w:spacing w:after="0" w:line="135" w:lineRule="exact"/>
              <w:rPr>
                <w:sz w:val="20"/>
                <w:szCs w:val="20"/>
                <w:color w:val="auto"/>
              </w:rPr>
            </w:pPr>
            <w:r>
              <w:rPr>
                <w:rFonts w:ascii="Arial" w:cs="Arial" w:eastAsia="Arial" w:hAnsi="Arial"/>
                <w:sz w:val="13"/>
                <w:szCs w:val="13"/>
                <w:b w:val="1"/>
                <w:bCs w:val="1"/>
                <w:color w:val="auto"/>
                <w:w w:val="93"/>
              </w:rPr>
              <w:t>or Units</w:t>
            </w:r>
          </w:p>
        </w:tc>
        <w:tc>
          <w:tcPr>
            <w:tcW w:w="1200" w:type="dxa"/>
            <w:vAlign w:val="bottom"/>
            <w:shd w:val="clear" w:color="auto" w:fill="9DB8D2"/>
          </w:tcPr>
          <w:p>
            <w:pPr>
              <w:jc w:val="center"/>
              <w:ind w:right="154"/>
              <w:spacing w:after="0" w:line="135" w:lineRule="exact"/>
              <w:rPr>
                <w:sz w:val="20"/>
                <w:szCs w:val="20"/>
                <w:color w:val="auto"/>
              </w:rPr>
            </w:pPr>
            <w:r>
              <w:rPr>
                <w:rFonts w:ascii="Arial" w:cs="Arial" w:eastAsia="Arial" w:hAnsi="Arial"/>
                <w:sz w:val="13"/>
                <w:szCs w:val="13"/>
                <w:b w:val="1"/>
                <w:bCs w:val="1"/>
                <w:color w:val="auto"/>
                <w:w w:val="97"/>
              </w:rPr>
              <w:t>or Other</w:t>
            </w:r>
          </w:p>
        </w:tc>
        <w:tc>
          <w:tcPr>
            <w:tcW w:w="16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73"/>
              <w:spacing w:after="0" w:line="135" w:lineRule="exact"/>
              <w:rPr>
                <w:sz w:val="20"/>
                <w:szCs w:val="20"/>
                <w:color w:val="auto"/>
              </w:rPr>
            </w:pPr>
            <w:r>
              <w:rPr>
                <w:rFonts w:ascii="Arial" w:cs="Arial" w:eastAsia="Arial" w:hAnsi="Arial"/>
                <w:sz w:val="13"/>
                <w:szCs w:val="13"/>
                <w:b w:val="1"/>
                <w:bCs w:val="1"/>
                <w:color w:val="auto"/>
                <w:w w:val="97"/>
              </w:rPr>
              <w:t>or Other</w:t>
            </w:r>
          </w:p>
        </w:tc>
        <w:tc>
          <w:tcPr>
            <w:tcW w:w="0" w:type="dxa"/>
            <w:vAlign w:val="bottom"/>
          </w:tcPr>
          <w:p>
            <w:pPr>
              <w:spacing w:after="0"/>
              <w:rPr>
                <w:sz w:val="1"/>
                <w:szCs w:val="1"/>
                <w:color w:val="auto"/>
              </w:rPr>
            </w:pPr>
          </w:p>
        </w:tc>
      </w:tr>
      <w:tr>
        <w:trPr>
          <w:trHeight w:val="135"/>
        </w:trPr>
        <w:tc>
          <w:tcPr>
            <w:tcW w:w="2060" w:type="dxa"/>
            <w:vAlign w:val="bottom"/>
            <w:shd w:val="clear" w:color="auto" w:fill="9DB8D2"/>
          </w:tcPr>
          <w:p>
            <w:pPr>
              <w:spacing w:after="0"/>
              <w:rPr>
                <w:sz w:val="11"/>
                <w:szCs w:val="11"/>
                <w:color w:val="auto"/>
              </w:rPr>
            </w:pPr>
          </w:p>
        </w:tc>
        <w:tc>
          <w:tcPr>
            <w:tcW w:w="920" w:type="dxa"/>
            <w:vAlign w:val="bottom"/>
            <w:gridSpan w:val="3"/>
            <w:shd w:val="clear" w:color="auto" w:fill="9DB8D2"/>
          </w:tcPr>
          <w:p>
            <w:pPr>
              <w:jc w:val="center"/>
              <w:ind w:left="77"/>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260" w:type="dxa"/>
            <w:vAlign w:val="bottom"/>
            <w:gridSpan w:val="3"/>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220" w:type="dxa"/>
            <w:vAlign w:val="bottom"/>
            <w:shd w:val="clear" w:color="auto" w:fill="9DB8D2"/>
          </w:tcPr>
          <w:p>
            <w:pPr>
              <w:spacing w:after="0"/>
              <w:rPr>
                <w:sz w:val="11"/>
                <w:szCs w:val="11"/>
                <w:color w:val="auto"/>
              </w:rPr>
            </w:pPr>
          </w:p>
        </w:tc>
        <w:tc>
          <w:tcPr>
            <w:tcW w:w="740" w:type="dxa"/>
            <w:vAlign w:val="bottom"/>
            <w:shd w:val="clear" w:color="auto" w:fill="9DB8D2"/>
          </w:tcPr>
          <w:p>
            <w:pPr>
              <w:jc w:val="center"/>
              <w:ind w:right="13"/>
              <w:spacing w:after="0" w:line="135" w:lineRule="exact"/>
              <w:rPr>
                <w:sz w:val="20"/>
                <w:szCs w:val="20"/>
                <w:color w:val="auto"/>
              </w:rPr>
            </w:pPr>
            <w:r>
              <w:rPr>
                <w:rFonts w:ascii="Arial" w:cs="Arial" w:eastAsia="Arial" w:hAnsi="Arial"/>
                <w:sz w:val="13"/>
                <w:szCs w:val="13"/>
                <w:b w:val="1"/>
                <w:bCs w:val="1"/>
                <w:color w:val="auto"/>
                <w:w w:val="97"/>
              </w:rPr>
              <w:t>Underlying</w:t>
            </w:r>
          </w:p>
        </w:tc>
        <w:tc>
          <w:tcPr>
            <w:tcW w:w="200" w:type="dxa"/>
            <w:vAlign w:val="bottom"/>
            <w:shd w:val="clear" w:color="auto" w:fill="9DB8D2"/>
          </w:tcPr>
          <w:p>
            <w:pPr>
              <w:spacing w:after="0"/>
              <w:rPr>
                <w:sz w:val="11"/>
                <w:szCs w:val="11"/>
                <w:color w:val="auto"/>
              </w:rPr>
            </w:pPr>
          </w:p>
        </w:tc>
        <w:tc>
          <w:tcPr>
            <w:tcW w:w="640" w:type="dxa"/>
            <w:vAlign w:val="bottom"/>
            <w:gridSpan w:val="2"/>
            <w:vMerge w:val="continue"/>
            <w:shd w:val="clear" w:color="auto" w:fill="9DB8D2"/>
          </w:tcPr>
          <w:p>
            <w:pPr>
              <w:spacing w:after="0"/>
              <w:rPr>
                <w:sz w:val="11"/>
                <w:szCs w:val="11"/>
                <w:color w:val="auto"/>
              </w:rPr>
            </w:pPr>
          </w:p>
        </w:tc>
        <w:tc>
          <w:tcPr>
            <w:tcW w:w="78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rPr>
              <w:t>Option</w:t>
            </w:r>
          </w:p>
        </w:tc>
        <w:tc>
          <w:tcPr>
            <w:tcW w:w="8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273"/>
              <w:spacing w:after="0" w:line="135" w:lineRule="exact"/>
              <w:rPr>
                <w:sz w:val="20"/>
                <w:szCs w:val="20"/>
                <w:color w:val="auto"/>
              </w:rPr>
            </w:pPr>
            <w:r>
              <w:rPr>
                <w:rFonts w:ascii="Arial" w:cs="Arial" w:eastAsia="Arial" w:hAnsi="Arial"/>
                <w:sz w:val="13"/>
                <w:szCs w:val="13"/>
                <w:b w:val="1"/>
                <w:bCs w:val="1"/>
                <w:color w:val="auto"/>
                <w:w w:val="97"/>
              </w:rPr>
              <w:t>of Stock</w:t>
            </w:r>
          </w:p>
        </w:tc>
        <w:tc>
          <w:tcPr>
            <w:tcW w:w="200" w:type="dxa"/>
            <w:vAlign w:val="bottom"/>
            <w:shd w:val="clear" w:color="auto" w:fill="9DB8D2"/>
          </w:tcPr>
          <w:p>
            <w:pPr>
              <w:spacing w:after="0"/>
              <w:rPr>
                <w:sz w:val="11"/>
                <w:szCs w:val="11"/>
                <w:color w:val="auto"/>
              </w:rPr>
            </w:pPr>
          </w:p>
        </w:tc>
        <w:tc>
          <w:tcPr>
            <w:tcW w:w="660" w:type="dxa"/>
            <w:vAlign w:val="bottom"/>
            <w:shd w:val="clear" w:color="auto" w:fill="9DB8D2"/>
          </w:tcPr>
          <w:p>
            <w:pPr>
              <w:jc w:val="center"/>
              <w:ind w:right="93"/>
              <w:spacing w:after="0" w:line="135" w:lineRule="exact"/>
              <w:rPr>
                <w:sz w:val="20"/>
                <w:szCs w:val="20"/>
                <w:color w:val="auto"/>
              </w:rPr>
            </w:pPr>
            <w:r>
              <w:rPr>
                <w:rFonts w:ascii="Arial" w:cs="Arial" w:eastAsia="Arial" w:hAnsi="Arial"/>
                <w:sz w:val="13"/>
                <w:szCs w:val="13"/>
                <w:b w:val="1"/>
                <w:bCs w:val="1"/>
                <w:color w:val="auto"/>
                <w:w w:val="97"/>
              </w:rPr>
              <w:t>of Stock</w:t>
            </w:r>
          </w:p>
        </w:tc>
        <w:tc>
          <w:tcPr>
            <w:tcW w:w="120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8"/>
              </w:rPr>
              <w:t>Rights</w:t>
            </w:r>
          </w:p>
        </w:tc>
        <w:tc>
          <w:tcPr>
            <w:tcW w:w="16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8"/>
              </w:rPr>
              <w:t>Rights</w:t>
            </w:r>
          </w:p>
        </w:tc>
        <w:tc>
          <w:tcPr>
            <w:tcW w:w="0" w:type="dxa"/>
            <w:vAlign w:val="bottom"/>
          </w:tcPr>
          <w:p>
            <w:pPr>
              <w:spacing w:after="0"/>
              <w:rPr>
                <w:sz w:val="1"/>
                <w:szCs w:val="1"/>
                <w:color w:val="auto"/>
              </w:rPr>
            </w:pPr>
          </w:p>
        </w:tc>
      </w:tr>
      <w:tr>
        <w:trPr>
          <w:trHeight w:val="135"/>
        </w:trPr>
        <w:tc>
          <w:tcPr>
            <w:tcW w:w="2060" w:type="dxa"/>
            <w:vAlign w:val="bottom"/>
            <w:vMerge w:val="restart"/>
            <w:shd w:val="clear" w:color="auto" w:fill="9DB8D2"/>
          </w:tcPr>
          <w:p>
            <w:pPr>
              <w:ind w:left="60"/>
              <w:spacing w:after="0"/>
              <w:rPr>
                <w:sz w:val="20"/>
                <w:szCs w:val="20"/>
                <w:color w:val="auto"/>
              </w:rPr>
            </w:pPr>
            <w:r>
              <w:rPr>
                <w:rFonts w:ascii="Arial" w:cs="Arial" w:eastAsia="Arial" w:hAnsi="Arial"/>
                <w:sz w:val="13"/>
                <w:szCs w:val="13"/>
                <w:b w:val="1"/>
                <w:bCs w:val="1"/>
                <w:color w:val="auto"/>
              </w:rPr>
              <w:t>Name &amp; Principal</w:t>
            </w:r>
          </w:p>
        </w:tc>
        <w:tc>
          <w:tcPr>
            <w:tcW w:w="16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3"/>
              </w:rPr>
              <w:t>Options</w:t>
            </w:r>
          </w:p>
        </w:tc>
        <w:tc>
          <w:tcPr>
            <w:tcW w:w="260" w:type="dxa"/>
            <w:vAlign w:val="bottom"/>
            <w:shd w:val="clear" w:color="auto" w:fill="9DB8D2"/>
          </w:tcPr>
          <w:p>
            <w:pPr>
              <w:spacing w:after="0"/>
              <w:rPr>
                <w:sz w:val="11"/>
                <w:szCs w:val="11"/>
                <w:color w:val="auto"/>
              </w:rPr>
            </w:pPr>
          </w:p>
        </w:tc>
        <w:tc>
          <w:tcPr>
            <w:tcW w:w="1000" w:type="dxa"/>
            <w:vAlign w:val="bottom"/>
            <w:gridSpan w:val="2"/>
            <w:shd w:val="clear" w:color="auto" w:fill="9DB8D2"/>
          </w:tcPr>
          <w:p>
            <w:pPr>
              <w:jc w:val="center"/>
              <w:ind w:right="217"/>
              <w:spacing w:after="0" w:line="135" w:lineRule="exact"/>
              <w:rPr>
                <w:sz w:val="20"/>
                <w:szCs w:val="20"/>
                <w:color w:val="auto"/>
              </w:rPr>
            </w:pPr>
            <w:r>
              <w:rPr>
                <w:rFonts w:ascii="Arial" w:cs="Arial" w:eastAsia="Arial" w:hAnsi="Arial"/>
                <w:sz w:val="13"/>
                <w:szCs w:val="13"/>
                <w:b w:val="1"/>
                <w:bCs w:val="1"/>
                <w:color w:val="auto"/>
                <w:w w:val="97"/>
              </w:rPr>
              <w:t>Options</w:t>
            </w:r>
          </w:p>
        </w:tc>
        <w:tc>
          <w:tcPr>
            <w:tcW w:w="960" w:type="dxa"/>
            <w:vAlign w:val="bottom"/>
            <w:gridSpan w:val="2"/>
            <w:shd w:val="clear" w:color="auto" w:fill="9DB8D2"/>
          </w:tcPr>
          <w:p>
            <w:pPr>
              <w:jc w:val="center"/>
              <w:ind w:left="97"/>
              <w:spacing w:after="0" w:line="135" w:lineRule="exact"/>
              <w:rPr>
                <w:sz w:val="20"/>
                <w:szCs w:val="20"/>
                <w:color w:val="auto"/>
              </w:rPr>
            </w:pPr>
            <w:r>
              <w:rPr>
                <w:rFonts w:ascii="Arial" w:cs="Arial" w:eastAsia="Arial" w:hAnsi="Arial"/>
                <w:sz w:val="13"/>
                <w:szCs w:val="13"/>
                <w:b w:val="1"/>
                <w:bCs w:val="1"/>
                <w:color w:val="auto"/>
                <w:w w:val="98"/>
              </w:rPr>
              <w:t>Unexercised</w:t>
            </w:r>
          </w:p>
        </w:tc>
        <w:tc>
          <w:tcPr>
            <w:tcW w:w="840" w:type="dxa"/>
            <w:vAlign w:val="bottom"/>
            <w:gridSpan w:val="3"/>
            <w:shd w:val="clear" w:color="auto" w:fill="9DB8D2"/>
          </w:tcPr>
          <w:p>
            <w:pPr>
              <w:ind w:left="200"/>
              <w:spacing w:after="0" w:line="135" w:lineRule="exact"/>
              <w:rPr>
                <w:sz w:val="20"/>
                <w:szCs w:val="20"/>
                <w:color w:val="auto"/>
              </w:rPr>
            </w:pPr>
            <w:r>
              <w:rPr>
                <w:rFonts w:ascii="Arial" w:cs="Arial" w:eastAsia="Arial" w:hAnsi="Arial"/>
                <w:sz w:val="13"/>
                <w:szCs w:val="13"/>
                <w:b w:val="1"/>
                <w:bCs w:val="1"/>
                <w:color w:val="auto"/>
              </w:rPr>
              <w:t>Exercise</w:t>
            </w:r>
          </w:p>
        </w:tc>
        <w:tc>
          <w:tcPr>
            <w:tcW w:w="780" w:type="dxa"/>
            <w:vAlign w:val="bottom"/>
            <w:vMerge w:val="continue"/>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273"/>
              <w:spacing w:after="0" w:line="135" w:lineRule="exact"/>
              <w:rPr>
                <w:sz w:val="20"/>
                <w:szCs w:val="20"/>
                <w:color w:val="auto"/>
              </w:rPr>
            </w:pPr>
            <w:r>
              <w:rPr>
                <w:rFonts w:ascii="Arial" w:cs="Arial" w:eastAsia="Arial" w:hAnsi="Arial"/>
                <w:sz w:val="13"/>
                <w:szCs w:val="13"/>
                <w:b w:val="1"/>
                <w:bCs w:val="1"/>
                <w:color w:val="auto"/>
                <w:w w:val="99"/>
              </w:rPr>
              <w:t>that Have</w:t>
            </w:r>
          </w:p>
        </w:tc>
        <w:tc>
          <w:tcPr>
            <w:tcW w:w="86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9"/>
              </w:rPr>
              <w:t>that Have</w:t>
            </w:r>
          </w:p>
        </w:tc>
        <w:tc>
          <w:tcPr>
            <w:tcW w:w="120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5"/>
              </w:rPr>
              <w:t>that Have</w:t>
            </w:r>
          </w:p>
        </w:tc>
        <w:tc>
          <w:tcPr>
            <w:tcW w:w="16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5"/>
              </w:rPr>
              <w:t>that Have</w:t>
            </w:r>
          </w:p>
        </w:tc>
        <w:tc>
          <w:tcPr>
            <w:tcW w:w="0" w:type="dxa"/>
            <w:vAlign w:val="bottom"/>
          </w:tcPr>
          <w:p>
            <w:pPr>
              <w:spacing w:after="0"/>
              <w:rPr>
                <w:sz w:val="1"/>
                <w:szCs w:val="1"/>
                <w:color w:val="auto"/>
              </w:rPr>
            </w:pPr>
          </w:p>
        </w:tc>
      </w:tr>
      <w:tr>
        <w:trPr>
          <w:trHeight w:val="135"/>
        </w:trPr>
        <w:tc>
          <w:tcPr>
            <w:tcW w:w="2060" w:type="dxa"/>
            <w:vAlign w:val="bottom"/>
            <w:vMerge w:val="continue"/>
            <w:shd w:val="clear" w:color="auto" w:fill="9DB8D2"/>
          </w:tcPr>
          <w:p>
            <w:pPr>
              <w:spacing w:after="0"/>
              <w:rPr>
                <w:sz w:val="11"/>
                <w:szCs w:val="11"/>
                <w:color w:val="auto"/>
              </w:rPr>
            </w:pPr>
          </w:p>
        </w:tc>
        <w:tc>
          <w:tcPr>
            <w:tcW w:w="920" w:type="dxa"/>
            <w:vAlign w:val="bottom"/>
            <w:gridSpan w:val="3"/>
            <w:shd w:val="clear" w:color="auto" w:fill="9DB8D2"/>
          </w:tcPr>
          <w:p>
            <w:pPr>
              <w:jc w:val="center"/>
              <w:ind w:left="77"/>
              <w:spacing w:after="0" w:line="135" w:lineRule="exact"/>
              <w:rPr>
                <w:sz w:val="20"/>
                <w:szCs w:val="20"/>
                <w:color w:val="auto"/>
              </w:rPr>
            </w:pPr>
            <w:r>
              <w:rPr>
                <w:rFonts w:ascii="Arial" w:cs="Arial" w:eastAsia="Arial" w:hAnsi="Arial"/>
                <w:sz w:val="13"/>
                <w:szCs w:val="13"/>
                <w:b w:val="1"/>
                <w:bCs w:val="1"/>
                <w:color w:val="auto"/>
                <w:w w:val="87"/>
              </w:rPr>
              <w:t>(#)</w:t>
            </w:r>
          </w:p>
        </w:tc>
        <w:tc>
          <w:tcPr>
            <w:tcW w:w="1060" w:type="dxa"/>
            <w:vAlign w:val="bottom"/>
            <w:gridSpan w:val="2"/>
            <w:shd w:val="clear" w:color="auto" w:fill="9DB8D2"/>
          </w:tcPr>
          <w:p>
            <w:pPr>
              <w:jc w:val="center"/>
              <w:ind w:left="114"/>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9DB8D2"/>
          </w:tcPr>
          <w:p>
            <w:pPr>
              <w:spacing w:after="0"/>
              <w:rPr>
                <w:sz w:val="11"/>
                <w:szCs w:val="11"/>
                <w:color w:val="auto"/>
              </w:rPr>
            </w:pPr>
          </w:p>
        </w:tc>
        <w:tc>
          <w:tcPr>
            <w:tcW w:w="220" w:type="dxa"/>
            <w:vAlign w:val="bottom"/>
            <w:shd w:val="clear" w:color="auto" w:fill="9DB8D2"/>
          </w:tcPr>
          <w:p>
            <w:pPr>
              <w:spacing w:after="0"/>
              <w:rPr>
                <w:sz w:val="11"/>
                <w:szCs w:val="11"/>
                <w:color w:val="auto"/>
              </w:rPr>
            </w:pPr>
          </w:p>
        </w:tc>
        <w:tc>
          <w:tcPr>
            <w:tcW w:w="740" w:type="dxa"/>
            <w:vAlign w:val="bottom"/>
            <w:shd w:val="clear" w:color="auto" w:fill="9DB8D2"/>
          </w:tcPr>
          <w:p>
            <w:pPr>
              <w:jc w:val="center"/>
              <w:ind w:right="13"/>
              <w:spacing w:after="0" w:line="135" w:lineRule="exact"/>
              <w:rPr>
                <w:sz w:val="20"/>
                <w:szCs w:val="20"/>
                <w:color w:val="auto"/>
              </w:rPr>
            </w:pPr>
            <w:r>
              <w:rPr>
                <w:rFonts w:ascii="Arial" w:cs="Arial" w:eastAsia="Arial" w:hAnsi="Arial"/>
                <w:sz w:val="13"/>
                <w:szCs w:val="13"/>
                <w:b w:val="1"/>
                <w:bCs w:val="1"/>
                <w:color w:val="auto"/>
                <w:w w:val="96"/>
              </w:rPr>
              <w:t>Unearned</w:t>
            </w:r>
          </w:p>
        </w:tc>
        <w:tc>
          <w:tcPr>
            <w:tcW w:w="200" w:type="dxa"/>
            <w:vAlign w:val="bottom"/>
            <w:shd w:val="clear" w:color="auto" w:fill="9DB8D2"/>
          </w:tcPr>
          <w:p>
            <w:pPr>
              <w:spacing w:after="0"/>
              <w:rPr>
                <w:sz w:val="11"/>
                <w:szCs w:val="11"/>
                <w:color w:val="auto"/>
              </w:rPr>
            </w:pPr>
          </w:p>
        </w:tc>
        <w:tc>
          <w:tcPr>
            <w:tcW w:w="100" w:type="dxa"/>
            <w:vAlign w:val="bottom"/>
            <w:shd w:val="clear" w:color="auto" w:fill="9DB8D2"/>
          </w:tcPr>
          <w:p>
            <w:pPr>
              <w:spacing w:after="0"/>
              <w:rPr>
                <w:sz w:val="11"/>
                <w:szCs w:val="11"/>
                <w:color w:val="auto"/>
              </w:rPr>
            </w:pPr>
          </w:p>
        </w:tc>
        <w:tc>
          <w:tcPr>
            <w:tcW w:w="54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rPr>
              <w:t>Price</w:t>
            </w:r>
          </w:p>
        </w:tc>
        <w:tc>
          <w:tcPr>
            <w:tcW w:w="78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Expiration</w:t>
            </w:r>
          </w:p>
        </w:tc>
        <w:tc>
          <w:tcPr>
            <w:tcW w:w="1080" w:type="dxa"/>
            <w:vAlign w:val="bottom"/>
            <w:gridSpan w:val="2"/>
            <w:shd w:val="clear" w:color="auto" w:fill="9DB8D2"/>
          </w:tcPr>
          <w:p>
            <w:pPr>
              <w:jc w:val="center"/>
              <w:ind w:right="193"/>
              <w:spacing w:after="0" w:line="135" w:lineRule="exact"/>
              <w:rPr>
                <w:sz w:val="20"/>
                <w:szCs w:val="20"/>
                <w:color w:val="auto"/>
              </w:rPr>
            </w:pPr>
            <w:r>
              <w:rPr>
                <w:rFonts w:ascii="Arial" w:cs="Arial" w:eastAsia="Arial" w:hAnsi="Arial"/>
                <w:sz w:val="13"/>
                <w:szCs w:val="13"/>
                <w:b w:val="1"/>
                <w:bCs w:val="1"/>
                <w:color w:val="auto"/>
                <w:w w:val="97"/>
              </w:rPr>
              <w:t>Not Vested</w:t>
            </w:r>
          </w:p>
        </w:tc>
        <w:tc>
          <w:tcPr>
            <w:tcW w:w="86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Not Vested</w:t>
            </w:r>
          </w:p>
        </w:tc>
        <w:tc>
          <w:tcPr>
            <w:tcW w:w="120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4"/>
              </w:rPr>
              <w:t>Not Vested</w:t>
            </w:r>
          </w:p>
        </w:tc>
        <w:tc>
          <w:tcPr>
            <w:tcW w:w="16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4"/>
              </w:rPr>
              <w:t>Not Vested</w:t>
            </w:r>
          </w:p>
        </w:tc>
        <w:tc>
          <w:tcPr>
            <w:tcW w:w="0" w:type="dxa"/>
            <w:vAlign w:val="bottom"/>
          </w:tcPr>
          <w:p>
            <w:pPr>
              <w:spacing w:after="0"/>
              <w:rPr>
                <w:sz w:val="1"/>
                <w:szCs w:val="1"/>
                <w:color w:val="auto"/>
              </w:rPr>
            </w:pPr>
          </w:p>
        </w:tc>
      </w:tr>
      <w:tr>
        <w:trPr>
          <w:trHeight w:val="173"/>
        </w:trPr>
        <w:tc>
          <w:tcPr>
            <w:tcW w:w="206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3"/>
                <w:szCs w:val="13"/>
                <w:b w:val="1"/>
                <w:bCs w:val="1"/>
                <w:color w:val="auto"/>
              </w:rPr>
              <w:t>Position</w:t>
            </w:r>
          </w:p>
        </w:tc>
        <w:tc>
          <w:tcPr>
            <w:tcW w:w="160" w:type="dxa"/>
            <w:vAlign w:val="bottom"/>
            <w:tcBorders>
              <w:bottom w:val="single" w:sz="8" w:color="auto"/>
            </w:tcBorders>
            <w:shd w:val="clear" w:color="auto" w:fill="9DB8D2"/>
          </w:tcPr>
          <w:p>
            <w:pPr>
              <w:spacing w:after="0"/>
              <w:rPr>
                <w:sz w:val="15"/>
                <w:szCs w:val="15"/>
                <w:color w:val="auto"/>
              </w:rPr>
            </w:pPr>
          </w:p>
        </w:tc>
        <w:tc>
          <w:tcPr>
            <w:tcW w:w="760" w:type="dxa"/>
            <w:vAlign w:val="bottom"/>
            <w:tcBorders>
              <w:bottom w:val="single" w:sz="8" w:color="auto"/>
            </w:tcBorders>
            <w:gridSpan w:val="2"/>
            <w:shd w:val="clear" w:color="auto" w:fill="9DB8D2"/>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260" w:type="dxa"/>
            <w:vAlign w:val="bottom"/>
            <w:tcBorders>
              <w:bottom w:val="single" w:sz="8" w:color="auto"/>
            </w:tcBorders>
            <w:gridSpan w:val="3"/>
            <w:shd w:val="clear" w:color="auto" w:fill="9DB8D2"/>
          </w:tcPr>
          <w:p>
            <w:pPr>
              <w:jc w:val="center"/>
              <w:spacing w:after="0"/>
              <w:rPr>
                <w:sz w:val="20"/>
                <w:szCs w:val="20"/>
                <w:color w:val="auto"/>
              </w:rPr>
            </w:pPr>
            <w:r>
              <w:rPr>
                <w:rFonts w:ascii="Arial" w:cs="Arial" w:eastAsia="Arial" w:hAnsi="Arial"/>
                <w:sz w:val="13"/>
                <w:szCs w:val="13"/>
                <w:b w:val="1"/>
                <w:bCs w:val="1"/>
                <w:color w:val="auto"/>
                <w:w w:val="97"/>
              </w:rPr>
              <w:t>Unexercisable</w:t>
            </w:r>
          </w:p>
        </w:tc>
        <w:tc>
          <w:tcPr>
            <w:tcW w:w="220" w:type="dxa"/>
            <w:vAlign w:val="bottom"/>
            <w:tcBorders>
              <w:bottom w:val="single" w:sz="8" w:color="auto"/>
            </w:tcBorders>
            <w:shd w:val="clear" w:color="auto" w:fill="9DB8D2"/>
          </w:tcPr>
          <w:p>
            <w:pPr>
              <w:spacing w:after="0"/>
              <w:rPr>
                <w:sz w:val="15"/>
                <w:szCs w:val="15"/>
                <w:color w:val="auto"/>
              </w:rPr>
            </w:pPr>
          </w:p>
        </w:tc>
        <w:tc>
          <w:tcPr>
            <w:tcW w:w="74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9"/>
              </w:rPr>
              <w:t>Options (#)</w:t>
            </w:r>
          </w:p>
        </w:tc>
        <w:tc>
          <w:tcPr>
            <w:tcW w:w="200" w:type="dxa"/>
            <w:vAlign w:val="bottom"/>
            <w:tcBorders>
              <w:bottom w:val="single" w:sz="8" w:color="auto"/>
            </w:tcBorders>
            <w:shd w:val="clear" w:color="auto" w:fill="9DB8D2"/>
          </w:tcPr>
          <w:p>
            <w:pPr>
              <w:spacing w:after="0"/>
              <w:rPr>
                <w:sz w:val="15"/>
                <w:szCs w:val="15"/>
                <w:color w:val="auto"/>
              </w:rPr>
            </w:pPr>
          </w:p>
        </w:tc>
        <w:tc>
          <w:tcPr>
            <w:tcW w:w="100" w:type="dxa"/>
            <w:vAlign w:val="bottom"/>
            <w:tcBorders>
              <w:bottom w:val="single" w:sz="8" w:color="auto"/>
            </w:tcBorders>
            <w:shd w:val="clear" w:color="auto" w:fill="9DB8D2"/>
          </w:tcPr>
          <w:p>
            <w:pPr>
              <w:spacing w:after="0"/>
              <w:rPr>
                <w:sz w:val="15"/>
                <w:szCs w:val="15"/>
                <w:color w:val="auto"/>
              </w:rPr>
            </w:pPr>
          </w:p>
        </w:tc>
        <w:tc>
          <w:tcPr>
            <w:tcW w:w="540" w:type="dxa"/>
            <w:vAlign w:val="bottom"/>
            <w:tcBorders>
              <w:bottom w:val="single" w:sz="8" w:color="auto"/>
            </w:tcBorders>
            <w:shd w:val="clear" w:color="auto" w:fill="9DB8D2"/>
          </w:tcPr>
          <w:p>
            <w:pPr>
              <w:jc w:val="center"/>
              <w:ind w:right="15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2"/>
              </w:rPr>
              <w:t>Date</w:t>
            </w:r>
          </w:p>
        </w:tc>
        <w:tc>
          <w:tcPr>
            <w:tcW w:w="1080" w:type="dxa"/>
            <w:vAlign w:val="bottom"/>
            <w:tcBorders>
              <w:bottom w:val="single" w:sz="8" w:color="auto"/>
            </w:tcBorders>
            <w:gridSpan w:val="2"/>
            <w:shd w:val="clear" w:color="auto" w:fill="9DB8D2"/>
          </w:tcPr>
          <w:p>
            <w:pPr>
              <w:jc w:val="center"/>
              <w:ind w:right="193"/>
              <w:spacing w:after="0"/>
              <w:rPr>
                <w:sz w:val="20"/>
                <w:szCs w:val="20"/>
                <w:color w:val="auto"/>
              </w:rPr>
            </w:pPr>
            <w:r>
              <w:rPr>
                <w:rFonts w:ascii="Arial" w:cs="Arial" w:eastAsia="Arial" w:hAnsi="Arial"/>
                <w:sz w:val="13"/>
                <w:szCs w:val="13"/>
                <w:b w:val="1"/>
                <w:bCs w:val="1"/>
                <w:color w:val="auto"/>
                <w:w w:val="94"/>
              </w:rPr>
              <w:t>(#)(1)</w:t>
            </w:r>
          </w:p>
        </w:tc>
        <w:tc>
          <w:tcPr>
            <w:tcW w:w="200" w:type="dxa"/>
            <w:vAlign w:val="bottom"/>
            <w:tcBorders>
              <w:bottom w:val="single" w:sz="8" w:color="auto"/>
            </w:tcBorders>
            <w:shd w:val="clear" w:color="auto" w:fill="9DB8D2"/>
          </w:tcPr>
          <w:p>
            <w:pPr>
              <w:spacing w:after="0"/>
              <w:rPr>
                <w:sz w:val="15"/>
                <w:szCs w:val="15"/>
                <w:color w:val="auto"/>
              </w:rPr>
            </w:pPr>
          </w:p>
        </w:tc>
        <w:tc>
          <w:tcPr>
            <w:tcW w:w="660" w:type="dxa"/>
            <w:vAlign w:val="bottom"/>
            <w:tcBorders>
              <w:bottom w:val="single" w:sz="8" w:color="auto"/>
            </w:tcBorders>
            <w:shd w:val="clear" w:color="auto" w:fill="9DB8D2"/>
          </w:tcPr>
          <w:p>
            <w:pPr>
              <w:jc w:val="center"/>
              <w:ind w:right="93"/>
              <w:spacing w:after="0"/>
              <w:rPr>
                <w:sz w:val="20"/>
                <w:szCs w:val="20"/>
                <w:color w:val="auto"/>
              </w:rPr>
            </w:pPr>
            <w:r>
              <w:rPr>
                <w:rFonts w:ascii="Arial" w:cs="Arial" w:eastAsia="Arial" w:hAnsi="Arial"/>
                <w:sz w:val="13"/>
                <w:szCs w:val="13"/>
                <w:b w:val="1"/>
                <w:bCs w:val="1"/>
                <w:color w:val="auto"/>
                <w:w w:val="94"/>
              </w:rPr>
              <w:t>($)(2)</w:t>
            </w:r>
          </w:p>
        </w:tc>
        <w:tc>
          <w:tcPr>
            <w:tcW w:w="1200" w:type="dxa"/>
            <w:vAlign w:val="bottom"/>
            <w:tcBorders>
              <w:bottom w:val="single" w:sz="8" w:color="auto"/>
            </w:tcBorders>
            <w:shd w:val="clear" w:color="auto" w:fill="9DB8D2"/>
          </w:tcPr>
          <w:p>
            <w:pPr>
              <w:jc w:val="center"/>
              <w:ind w:right="174"/>
              <w:spacing w:after="0"/>
              <w:rPr>
                <w:sz w:val="20"/>
                <w:szCs w:val="20"/>
                <w:color w:val="auto"/>
              </w:rPr>
            </w:pPr>
            <w:r>
              <w:rPr>
                <w:rFonts w:ascii="Arial" w:cs="Arial" w:eastAsia="Arial" w:hAnsi="Arial"/>
                <w:sz w:val="13"/>
                <w:szCs w:val="13"/>
                <w:b w:val="1"/>
                <w:bCs w:val="1"/>
                <w:color w:val="auto"/>
              </w:rPr>
              <w:t>(#)(3)</w:t>
            </w:r>
          </w:p>
        </w:tc>
        <w:tc>
          <w:tcPr>
            <w:tcW w:w="160" w:type="dxa"/>
            <w:vAlign w:val="bottom"/>
            <w:tcBorders>
              <w:bottom w:val="single" w:sz="8" w:color="auto"/>
            </w:tcBorders>
            <w:shd w:val="clear" w:color="auto" w:fill="9DB8D2"/>
          </w:tcPr>
          <w:p>
            <w:pPr>
              <w:spacing w:after="0"/>
              <w:rPr>
                <w:sz w:val="15"/>
                <w:szCs w:val="15"/>
                <w:color w:val="auto"/>
              </w:rPr>
            </w:pPr>
          </w:p>
        </w:tc>
        <w:tc>
          <w:tcPr>
            <w:tcW w:w="900" w:type="dxa"/>
            <w:vAlign w:val="bottom"/>
            <w:tcBorders>
              <w:bottom w:val="single" w:sz="8" w:color="auto"/>
            </w:tcBorders>
            <w:shd w:val="clear" w:color="auto" w:fill="9DB8D2"/>
          </w:tcPr>
          <w:p>
            <w:pPr>
              <w:jc w:val="center"/>
              <w:ind w:right="153"/>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125"/>
        </w:trPr>
        <w:tc>
          <w:tcPr>
            <w:tcW w:w="2060" w:type="dxa"/>
            <w:vAlign w:val="bottom"/>
            <w:shd w:val="clear" w:color="auto" w:fill="E6EDF3"/>
          </w:tcPr>
          <w:p>
            <w:pPr>
              <w:ind w:left="40"/>
              <w:spacing w:after="0" w:line="125" w:lineRule="exact"/>
              <w:rPr>
                <w:sz w:val="20"/>
                <w:szCs w:val="20"/>
                <w:color w:val="auto"/>
              </w:rPr>
            </w:pPr>
            <w:r>
              <w:rPr>
                <w:rFonts w:ascii="Arial" w:cs="Arial" w:eastAsia="Arial" w:hAnsi="Arial"/>
                <w:sz w:val="14"/>
                <w:szCs w:val="14"/>
                <w:color w:val="auto"/>
              </w:rPr>
              <w:t>Jonas Prising</w:t>
            </w:r>
          </w:p>
        </w:tc>
        <w:tc>
          <w:tcPr>
            <w:tcW w:w="160" w:type="dxa"/>
            <w:vAlign w:val="bottom"/>
            <w:shd w:val="clear" w:color="auto" w:fill="E6EDF3"/>
          </w:tcPr>
          <w:p>
            <w:pPr>
              <w:spacing w:after="0"/>
              <w:rPr>
                <w:sz w:val="10"/>
                <w:szCs w:val="10"/>
                <w:color w:val="auto"/>
              </w:rPr>
            </w:pPr>
          </w:p>
        </w:tc>
        <w:tc>
          <w:tcPr>
            <w:tcW w:w="760" w:type="dxa"/>
            <w:vAlign w:val="bottom"/>
            <w:gridSpan w:val="2"/>
            <w:shd w:val="clear" w:color="auto" w:fill="E6EDF3"/>
          </w:tcPr>
          <w:p>
            <w:pPr>
              <w:jc w:val="right"/>
              <w:ind w:right="93"/>
              <w:spacing w:after="0" w:line="125" w:lineRule="exact"/>
              <w:rPr>
                <w:sz w:val="20"/>
                <w:szCs w:val="20"/>
                <w:color w:val="auto"/>
              </w:rPr>
            </w:pPr>
            <w:r>
              <w:rPr>
                <w:rFonts w:ascii="Arial" w:cs="Arial" w:eastAsia="Arial" w:hAnsi="Arial"/>
                <w:sz w:val="14"/>
                <w:szCs w:val="14"/>
                <w:color w:val="auto"/>
              </w:rPr>
              <w:t>9,934</w:t>
            </w:r>
          </w:p>
        </w:tc>
        <w:tc>
          <w:tcPr>
            <w:tcW w:w="260" w:type="dxa"/>
            <w:vAlign w:val="bottom"/>
            <w:shd w:val="clear" w:color="auto" w:fill="E6EDF3"/>
          </w:tcPr>
          <w:p>
            <w:pPr>
              <w:spacing w:after="0"/>
              <w:rPr>
                <w:sz w:val="10"/>
                <w:szCs w:val="10"/>
                <w:color w:val="auto"/>
              </w:rPr>
            </w:pPr>
          </w:p>
        </w:tc>
        <w:tc>
          <w:tcPr>
            <w:tcW w:w="1000" w:type="dxa"/>
            <w:vAlign w:val="bottom"/>
            <w:gridSpan w:val="2"/>
            <w:shd w:val="clear" w:color="auto" w:fill="E6EDF3"/>
          </w:tcPr>
          <w:p>
            <w:pPr>
              <w:jc w:val="right"/>
              <w:ind w:right="137"/>
              <w:spacing w:after="0" w:line="125"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0"/>
                <w:szCs w:val="10"/>
                <w:color w:val="auto"/>
              </w:rPr>
            </w:pPr>
          </w:p>
        </w:tc>
        <w:tc>
          <w:tcPr>
            <w:tcW w:w="740" w:type="dxa"/>
            <w:vAlign w:val="bottom"/>
            <w:shd w:val="clear" w:color="auto" w:fill="E6EDF3"/>
          </w:tcPr>
          <w:p>
            <w:pPr>
              <w:jc w:val="center"/>
              <w:spacing w:after="0" w:line="125"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E6EDF3"/>
          </w:tcPr>
          <w:p>
            <w:pPr>
              <w:ind w:left="200"/>
              <w:spacing w:after="0" w:line="125"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line="125" w:lineRule="exact"/>
              <w:rPr>
                <w:sz w:val="20"/>
                <w:szCs w:val="20"/>
                <w:color w:val="auto"/>
              </w:rPr>
            </w:pPr>
            <w:r>
              <w:rPr>
                <w:rFonts w:ascii="Arial" w:cs="Arial" w:eastAsia="Arial" w:hAnsi="Arial"/>
                <w:sz w:val="14"/>
                <w:szCs w:val="14"/>
                <w:color w:val="auto"/>
              </w:rPr>
              <w:t>67.12</w:t>
            </w:r>
          </w:p>
        </w:tc>
        <w:tc>
          <w:tcPr>
            <w:tcW w:w="780" w:type="dxa"/>
            <w:vAlign w:val="bottom"/>
            <w:shd w:val="clear" w:color="auto" w:fill="E6EDF3"/>
          </w:tcPr>
          <w:p>
            <w:pPr>
              <w:jc w:val="right"/>
              <w:spacing w:after="0" w:line="125" w:lineRule="exact"/>
              <w:rPr>
                <w:sz w:val="20"/>
                <w:szCs w:val="20"/>
                <w:color w:val="auto"/>
              </w:rPr>
            </w:pPr>
            <w:r>
              <w:rPr>
                <w:rFonts w:ascii="Arial" w:cs="Arial" w:eastAsia="Arial" w:hAnsi="Arial"/>
                <w:sz w:val="14"/>
                <w:szCs w:val="14"/>
                <w:color w:val="auto"/>
              </w:rPr>
              <w:t>2/16/2021</w:t>
            </w:r>
          </w:p>
        </w:tc>
        <w:tc>
          <w:tcPr>
            <w:tcW w:w="80" w:type="dxa"/>
            <w:vAlign w:val="bottom"/>
            <w:shd w:val="clear" w:color="auto" w:fill="E6EDF3"/>
          </w:tcPr>
          <w:p>
            <w:pPr>
              <w:spacing w:after="0"/>
              <w:rPr>
                <w:sz w:val="10"/>
                <w:szCs w:val="10"/>
                <w:color w:val="auto"/>
              </w:rPr>
            </w:pPr>
          </w:p>
        </w:tc>
        <w:tc>
          <w:tcPr>
            <w:tcW w:w="1000" w:type="dxa"/>
            <w:vAlign w:val="bottom"/>
            <w:shd w:val="clear" w:color="auto" w:fill="E6EDF3"/>
          </w:tcPr>
          <w:p>
            <w:pPr>
              <w:jc w:val="right"/>
              <w:ind w:right="273"/>
              <w:spacing w:after="0" w:line="125"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0"/>
                <w:szCs w:val="10"/>
                <w:color w:val="auto"/>
              </w:rPr>
            </w:pPr>
          </w:p>
        </w:tc>
        <w:tc>
          <w:tcPr>
            <w:tcW w:w="660" w:type="dxa"/>
            <w:vAlign w:val="bottom"/>
            <w:shd w:val="clear" w:color="auto" w:fill="E6EDF3"/>
          </w:tcPr>
          <w:p>
            <w:pPr>
              <w:jc w:val="right"/>
              <w:spacing w:after="0" w:line="125"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25"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0"/>
                <w:szCs w:val="10"/>
                <w:color w:val="auto"/>
              </w:rPr>
            </w:pPr>
          </w:p>
        </w:tc>
        <w:tc>
          <w:tcPr>
            <w:tcW w:w="900" w:type="dxa"/>
            <w:vAlign w:val="bottom"/>
            <w:shd w:val="clear" w:color="auto" w:fill="E6EDF3"/>
          </w:tcPr>
          <w:p>
            <w:pPr>
              <w:jc w:val="right"/>
              <w:ind w:right="73"/>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60" w:type="dxa"/>
            <w:vAlign w:val="bottom"/>
            <w:shd w:val="clear" w:color="auto" w:fill="E6EDF3"/>
          </w:tcPr>
          <w:p>
            <w:pPr>
              <w:ind w:left="220"/>
              <w:spacing w:after="0"/>
              <w:rPr>
                <w:sz w:val="20"/>
                <w:szCs w:val="20"/>
                <w:color w:val="auto"/>
              </w:rPr>
            </w:pPr>
            <w:r>
              <w:rPr>
                <w:rFonts w:ascii="Arial" w:cs="Arial" w:eastAsia="Arial" w:hAnsi="Arial"/>
                <w:sz w:val="14"/>
                <w:szCs w:val="14"/>
                <w:i w:val="1"/>
                <w:iCs w:val="1"/>
                <w:color w:val="auto"/>
              </w:rPr>
              <w:t>CEO</w:t>
            </w:r>
          </w:p>
        </w:tc>
        <w:tc>
          <w:tcPr>
            <w:tcW w:w="160" w:type="dxa"/>
            <w:vAlign w:val="bottom"/>
            <w:shd w:val="clear" w:color="auto" w:fill="E6EDF3"/>
          </w:tcPr>
          <w:p>
            <w:pPr>
              <w:spacing w:after="0"/>
              <w:rPr>
                <w:sz w:val="14"/>
                <w:szCs w:val="14"/>
                <w:color w:val="auto"/>
              </w:rPr>
            </w:pPr>
          </w:p>
        </w:tc>
        <w:tc>
          <w:tcPr>
            <w:tcW w:w="40" w:type="dxa"/>
            <w:vAlign w:val="bottom"/>
            <w:shd w:val="clear" w:color="auto" w:fill="E6EDF3"/>
          </w:tcPr>
          <w:p>
            <w:pPr>
              <w:spacing w:after="0"/>
              <w:rPr>
                <w:sz w:val="14"/>
                <w:szCs w:val="14"/>
                <w:color w:val="auto"/>
              </w:rPr>
            </w:pPr>
          </w:p>
        </w:tc>
        <w:tc>
          <w:tcPr>
            <w:tcW w:w="720" w:type="dxa"/>
            <w:vAlign w:val="bottom"/>
            <w:shd w:val="clear" w:color="auto" w:fill="E6EDF3"/>
          </w:tcPr>
          <w:p>
            <w:pPr>
              <w:jc w:val="right"/>
              <w:ind w:right="93"/>
              <w:spacing w:after="0"/>
              <w:rPr>
                <w:sz w:val="20"/>
                <w:szCs w:val="20"/>
                <w:color w:val="auto"/>
              </w:rPr>
            </w:pPr>
            <w:r>
              <w:rPr>
                <w:rFonts w:ascii="Arial" w:cs="Arial" w:eastAsia="Arial" w:hAnsi="Arial"/>
                <w:sz w:val="14"/>
                <w:szCs w:val="14"/>
                <w:color w:val="auto"/>
              </w:rPr>
              <w:t>16,812</w:t>
            </w:r>
          </w:p>
        </w:tc>
        <w:tc>
          <w:tcPr>
            <w:tcW w:w="260" w:type="dxa"/>
            <w:vAlign w:val="bottom"/>
            <w:shd w:val="clear" w:color="auto" w:fill="E6EDF3"/>
          </w:tcPr>
          <w:p>
            <w:pPr>
              <w:spacing w:after="0"/>
              <w:rPr>
                <w:sz w:val="14"/>
                <w:szCs w:val="14"/>
                <w:color w:val="auto"/>
              </w:rPr>
            </w:pPr>
          </w:p>
        </w:tc>
        <w:tc>
          <w:tcPr>
            <w:tcW w:w="1000" w:type="dxa"/>
            <w:vAlign w:val="bottom"/>
            <w:gridSpan w:val="2"/>
            <w:shd w:val="clear" w:color="auto" w:fill="E6EDF3"/>
          </w:tcPr>
          <w:p>
            <w:pPr>
              <w:jc w:val="right"/>
              <w:ind w:right="137"/>
              <w:spacing w:after="0"/>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4"/>
                <w:szCs w:val="14"/>
                <w:color w:val="auto"/>
              </w:rPr>
            </w:pPr>
          </w:p>
        </w:tc>
        <w:tc>
          <w:tcPr>
            <w:tcW w:w="740" w:type="dxa"/>
            <w:vAlign w:val="bottom"/>
            <w:shd w:val="clear" w:color="auto" w:fill="E6EDF3"/>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E6EDF3"/>
          </w:tcPr>
          <w:p>
            <w:pPr>
              <w:ind w:lef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rPr>
                <w:sz w:val="20"/>
                <w:szCs w:val="20"/>
                <w:color w:val="auto"/>
              </w:rPr>
            </w:pPr>
            <w:r>
              <w:rPr>
                <w:rFonts w:ascii="Arial" w:cs="Arial" w:eastAsia="Arial" w:hAnsi="Arial"/>
                <w:sz w:val="14"/>
                <w:szCs w:val="14"/>
                <w:color w:val="auto"/>
              </w:rPr>
              <w:t>44.81</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2/15/2022</w:t>
            </w:r>
          </w:p>
        </w:tc>
        <w:tc>
          <w:tcPr>
            <w:tcW w:w="80" w:type="dxa"/>
            <w:vAlign w:val="bottom"/>
            <w:shd w:val="clear" w:color="auto" w:fill="E6EDF3"/>
          </w:tcPr>
          <w:p>
            <w:pPr>
              <w:spacing w:after="0"/>
              <w:rPr>
                <w:sz w:val="14"/>
                <w:szCs w:val="14"/>
                <w:color w:val="auto"/>
              </w:rPr>
            </w:pPr>
          </w:p>
        </w:tc>
        <w:tc>
          <w:tcPr>
            <w:tcW w:w="1000" w:type="dxa"/>
            <w:vAlign w:val="bottom"/>
            <w:shd w:val="clear" w:color="auto" w:fill="E6EDF3"/>
          </w:tcPr>
          <w:p>
            <w:pPr>
              <w:jc w:val="right"/>
              <w:ind w:right="273"/>
              <w:spacing w:after="0"/>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4"/>
                <w:szCs w:val="14"/>
                <w:color w:val="auto"/>
              </w:rPr>
            </w:pP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4"/>
                <w:szCs w:val="14"/>
                <w:color w:val="auto"/>
              </w:rPr>
            </w:pPr>
          </w:p>
        </w:tc>
        <w:tc>
          <w:tcPr>
            <w:tcW w:w="900" w:type="dxa"/>
            <w:vAlign w:val="bottom"/>
            <w:shd w:val="clear" w:color="auto" w:fill="E6EDF3"/>
          </w:tcPr>
          <w:p>
            <w:pPr>
              <w:jc w:val="right"/>
              <w:ind w:right="7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24,883</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52.55</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2/13/2023</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11,760</w:t>
            </w:r>
          </w:p>
        </w:tc>
        <w:tc>
          <w:tcPr>
            <w:tcW w:w="1260" w:type="dxa"/>
            <w:vAlign w:val="bottom"/>
            <w:gridSpan w:val="3"/>
            <w:shd w:val="clear" w:color="auto" w:fill="E6EDF3"/>
          </w:tcPr>
          <w:p>
            <w:pPr>
              <w:jc w:val="right"/>
              <w:spacing w:after="0" w:line="149" w:lineRule="exact"/>
              <w:rPr>
                <w:sz w:val="20"/>
                <w:szCs w:val="20"/>
                <w:color w:val="auto"/>
              </w:rPr>
            </w:pPr>
            <w:r>
              <w:rPr>
                <w:rFonts w:ascii="Arial" w:cs="Arial" w:eastAsia="Arial" w:hAnsi="Arial"/>
                <w:sz w:val="14"/>
                <w:szCs w:val="14"/>
                <w:color w:val="auto"/>
              </w:rPr>
              <w:t>3,921(4)</w:t>
            </w: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76.13</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2/11/2024</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19,882</w:t>
            </w:r>
          </w:p>
        </w:tc>
        <w:tc>
          <w:tcPr>
            <w:tcW w:w="1260" w:type="dxa"/>
            <w:vAlign w:val="bottom"/>
            <w:gridSpan w:val="3"/>
            <w:shd w:val="clear" w:color="auto" w:fill="E6EDF3"/>
          </w:tcPr>
          <w:p>
            <w:pPr>
              <w:jc w:val="right"/>
              <w:spacing w:after="0" w:line="149" w:lineRule="exact"/>
              <w:rPr>
                <w:sz w:val="20"/>
                <w:szCs w:val="20"/>
                <w:color w:val="auto"/>
              </w:rPr>
            </w:pPr>
            <w:r>
              <w:rPr>
                <w:rFonts w:ascii="Arial" w:cs="Arial" w:eastAsia="Arial" w:hAnsi="Arial"/>
                <w:sz w:val="14"/>
                <w:szCs w:val="14"/>
                <w:color w:val="auto"/>
              </w:rPr>
              <w:t>6,628(6)</w:t>
            </w: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82.24</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5/1/2024</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26,039</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26,039(5)</w:t>
            </w: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76.97</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2/10/2025</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6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40" w:type="dxa"/>
            <w:vAlign w:val="bottom"/>
            <w:shd w:val="clear" w:color="auto" w:fill="E6EDF3"/>
          </w:tcPr>
          <w:p>
            <w:pPr>
              <w:spacing w:after="0"/>
              <w:rPr>
                <w:sz w:val="14"/>
                <w:szCs w:val="14"/>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19,055</w:t>
            </w:r>
          </w:p>
        </w:tc>
        <w:tc>
          <w:tcPr>
            <w:tcW w:w="260" w:type="dxa"/>
            <w:vAlign w:val="bottom"/>
            <w:shd w:val="clear" w:color="auto" w:fill="E6EDF3"/>
          </w:tcPr>
          <w:p>
            <w:pPr>
              <w:spacing w:after="0"/>
              <w:rPr>
                <w:sz w:val="14"/>
                <w:szCs w:val="14"/>
                <w:color w:val="auto"/>
              </w:rPr>
            </w:pPr>
          </w:p>
        </w:tc>
        <w:tc>
          <w:tcPr>
            <w:tcW w:w="100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57,165(7)</w:t>
            </w:r>
          </w:p>
        </w:tc>
        <w:tc>
          <w:tcPr>
            <w:tcW w:w="220" w:type="dxa"/>
            <w:vAlign w:val="bottom"/>
            <w:shd w:val="clear" w:color="auto" w:fill="E6EDF3"/>
          </w:tcPr>
          <w:p>
            <w:pPr>
              <w:spacing w:after="0"/>
              <w:rPr>
                <w:sz w:val="14"/>
                <w:szCs w:val="14"/>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75.07</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2/16/2026</w:t>
            </w:r>
          </w:p>
        </w:tc>
        <w:tc>
          <w:tcPr>
            <w:tcW w:w="80" w:type="dxa"/>
            <w:vAlign w:val="bottom"/>
            <w:shd w:val="clear" w:color="auto" w:fill="E6EDF3"/>
          </w:tcPr>
          <w:p>
            <w:pPr>
              <w:spacing w:after="0"/>
              <w:rPr>
                <w:sz w:val="14"/>
                <w:szCs w:val="14"/>
                <w:color w:val="auto"/>
              </w:rPr>
            </w:pPr>
          </w:p>
        </w:tc>
        <w:tc>
          <w:tcPr>
            <w:tcW w:w="1000" w:type="dxa"/>
            <w:vAlign w:val="bottom"/>
            <w:shd w:val="clear" w:color="auto" w:fill="E6EDF3"/>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4"/>
                <w:szCs w:val="14"/>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4"/>
                <w:szCs w:val="14"/>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2060" w:type="dxa"/>
            <w:vAlign w:val="bottom"/>
            <w:shd w:val="clear" w:color="auto" w:fill="E6EDF3"/>
          </w:tcPr>
          <w:p>
            <w:pPr>
              <w:spacing w:after="0"/>
              <w:rPr>
                <w:sz w:val="11"/>
                <w:szCs w:val="11"/>
                <w:color w:val="auto"/>
              </w:rPr>
            </w:pPr>
          </w:p>
        </w:tc>
        <w:tc>
          <w:tcPr>
            <w:tcW w:w="160" w:type="dxa"/>
            <w:vAlign w:val="bottom"/>
            <w:shd w:val="clear" w:color="auto" w:fill="E6EDF3"/>
          </w:tcPr>
          <w:p>
            <w:pPr>
              <w:spacing w:after="0"/>
              <w:rPr>
                <w:sz w:val="11"/>
                <w:szCs w:val="11"/>
                <w:color w:val="auto"/>
              </w:rPr>
            </w:pPr>
          </w:p>
        </w:tc>
        <w:tc>
          <w:tcPr>
            <w:tcW w:w="40" w:type="dxa"/>
            <w:vAlign w:val="bottom"/>
            <w:shd w:val="clear" w:color="auto" w:fill="E6EDF3"/>
          </w:tcPr>
          <w:p>
            <w:pPr>
              <w:spacing w:after="0"/>
              <w:rPr>
                <w:sz w:val="11"/>
                <w:szCs w:val="11"/>
                <w:color w:val="auto"/>
              </w:rPr>
            </w:pPr>
          </w:p>
        </w:tc>
        <w:tc>
          <w:tcPr>
            <w:tcW w:w="720" w:type="dxa"/>
            <w:vAlign w:val="bottom"/>
            <w:shd w:val="clear" w:color="auto" w:fill="E6EDF3"/>
          </w:tcPr>
          <w:p>
            <w:pPr>
              <w:jc w:val="right"/>
              <w:ind w:right="93"/>
              <w:spacing w:after="0" w:line="132"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1"/>
                <w:szCs w:val="11"/>
                <w:color w:val="auto"/>
              </w:rPr>
            </w:pPr>
          </w:p>
        </w:tc>
        <w:tc>
          <w:tcPr>
            <w:tcW w:w="1000" w:type="dxa"/>
            <w:vAlign w:val="bottom"/>
            <w:gridSpan w:val="2"/>
          </w:tcPr>
          <w:p>
            <w:pPr>
              <w:jc w:val="right"/>
              <w:spacing w:after="0" w:line="132" w:lineRule="exact"/>
              <w:rPr>
                <w:sz w:val="20"/>
                <w:szCs w:val="20"/>
                <w:color w:val="auto"/>
              </w:rPr>
            </w:pPr>
            <w:r>
              <w:rPr>
                <w:rFonts w:ascii="Arial" w:cs="Arial" w:eastAsia="Arial" w:hAnsi="Arial"/>
                <w:sz w:val="14"/>
                <w:szCs w:val="14"/>
                <w:color w:val="auto"/>
              </w:rPr>
              <w:t>66,068(8)</w:t>
            </w:r>
          </w:p>
        </w:tc>
        <w:tc>
          <w:tcPr>
            <w:tcW w:w="220" w:type="dxa"/>
            <w:vAlign w:val="bottom"/>
          </w:tcPr>
          <w:p>
            <w:pPr>
              <w:spacing w:after="0"/>
              <w:rPr>
                <w:sz w:val="11"/>
                <w:szCs w:val="11"/>
                <w:color w:val="auto"/>
              </w:rPr>
            </w:pPr>
          </w:p>
        </w:tc>
        <w:tc>
          <w:tcPr>
            <w:tcW w:w="740" w:type="dxa"/>
            <w:vAlign w:val="bottom"/>
          </w:tcPr>
          <w:p>
            <w:pPr>
              <w:jc w:val="center"/>
              <w:spacing w:after="0" w:line="132" w:lineRule="exact"/>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00"/>
              <w:spacing w:after="0" w:line="13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53"/>
              <w:spacing w:after="0" w:line="132" w:lineRule="exact"/>
              <w:rPr>
                <w:sz w:val="20"/>
                <w:szCs w:val="20"/>
                <w:color w:val="auto"/>
              </w:rPr>
            </w:pPr>
            <w:r>
              <w:rPr>
                <w:rFonts w:ascii="Arial" w:cs="Arial" w:eastAsia="Arial" w:hAnsi="Arial"/>
                <w:sz w:val="14"/>
                <w:szCs w:val="14"/>
                <w:color w:val="auto"/>
              </w:rPr>
              <w:t>96.94</w:t>
            </w:r>
          </w:p>
        </w:tc>
        <w:tc>
          <w:tcPr>
            <w:tcW w:w="780" w:type="dxa"/>
            <w:vAlign w:val="bottom"/>
          </w:tcPr>
          <w:p>
            <w:pPr>
              <w:jc w:val="right"/>
              <w:spacing w:after="0" w:line="132" w:lineRule="exact"/>
              <w:rPr>
                <w:sz w:val="20"/>
                <w:szCs w:val="20"/>
                <w:color w:val="auto"/>
              </w:rPr>
            </w:pPr>
            <w:r>
              <w:rPr>
                <w:rFonts w:ascii="Arial" w:cs="Arial" w:eastAsia="Arial" w:hAnsi="Arial"/>
                <w:sz w:val="14"/>
                <w:szCs w:val="14"/>
                <w:color w:val="auto"/>
              </w:rPr>
              <w:t>2/9/2027</w:t>
            </w:r>
          </w:p>
        </w:tc>
        <w:tc>
          <w:tcPr>
            <w:tcW w:w="80" w:type="dxa"/>
            <w:vAlign w:val="bottom"/>
          </w:tcPr>
          <w:p>
            <w:pPr>
              <w:spacing w:after="0"/>
              <w:rPr>
                <w:sz w:val="11"/>
                <w:szCs w:val="11"/>
                <w:color w:val="auto"/>
              </w:rPr>
            </w:pPr>
          </w:p>
        </w:tc>
        <w:tc>
          <w:tcPr>
            <w:tcW w:w="1000" w:type="dxa"/>
            <w:vAlign w:val="bottom"/>
          </w:tcPr>
          <w:p>
            <w:pPr>
              <w:jc w:val="right"/>
              <w:ind w:right="273"/>
              <w:spacing w:after="0" w:line="13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34"/>
              <w:spacing w:after="0" w:line="13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tcPr>
          <w:p>
            <w:pPr>
              <w:jc w:val="right"/>
              <w:ind w:right="73"/>
              <w:spacing w:after="0" w:line="13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31,024(10)</w:t>
            </w:r>
          </w:p>
        </w:tc>
        <w:tc>
          <w:tcPr>
            <w:tcW w:w="86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$3,912,437</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113"/>
              <w:spacing w:after="0" w:line="149" w:lineRule="exact"/>
              <w:rPr>
                <w:sz w:val="20"/>
                <w:szCs w:val="20"/>
                <w:color w:val="auto"/>
              </w:rPr>
            </w:pPr>
            <w:r>
              <w:rPr>
                <w:rFonts w:ascii="Arial" w:cs="Arial" w:eastAsia="Arial" w:hAnsi="Arial"/>
                <w:sz w:val="14"/>
                <w:szCs w:val="14"/>
                <w:color w:val="auto"/>
              </w:rPr>
              <w:t>15,513(9)</w:t>
            </w:r>
          </w:p>
        </w:tc>
        <w:tc>
          <w:tcPr>
            <w:tcW w:w="86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$1,956,344</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20,761(12)</w:t>
            </w:r>
          </w:p>
        </w:tc>
        <w:tc>
          <w:tcPr>
            <w:tcW w:w="86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$2,618,170</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17,717(13)</w:t>
            </w:r>
          </w:p>
        </w:tc>
        <w:tc>
          <w:tcPr>
            <w:tcW w:w="86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$2,234,291</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61,552(15)</w:t>
            </w:r>
          </w:p>
        </w:tc>
        <w:tc>
          <w:tcPr>
            <w:tcW w:w="86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$7,762,323</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119,890(16)</w:t>
            </w:r>
          </w:p>
        </w:tc>
        <w:tc>
          <w:tcPr>
            <w:tcW w:w="160" w:type="dxa"/>
            <w:vAlign w:val="bottom"/>
            <w:shd w:val="clear" w:color="auto" w:fill="E6EDF3"/>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15,119,327</w:t>
            </w:r>
          </w:p>
        </w:tc>
        <w:tc>
          <w:tcPr>
            <w:tcW w:w="0" w:type="dxa"/>
            <w:vAlign w:val="bottom"/>
          </w:tcPr>
          <w:p>
            <w:pPr>
              <w:spacing w:after="0"/>
              <w:rPr>
                <w:sz w:val="1"/>
                <w:szCs w:val="1"/>
                <w:color w:val="auto"/>
              </w:rPr>
            </w:pPr>
          </w:p>
        </w:tc>
      </w:tr>
      <w:tr>
        <w:trPr>
          <w:trHeight w:val="165"/>
        </w:trPr>
        <w:tc>
          <w:tcPr>
            <w:tcW w:w="2060" w:type="dxa"/>
            <w:vAlign w:val="bottom"/>
            <w:tcBorders>
              <w:bottom w:val="single" w:sz="8" w:color="auto"/>
            </w:tcBorders>
            <w:shd w:val="clear" w:color="auto" w:fill="E6EDF3"/>
          </w:tcPr>
          <w:p>
            <w:pPr>
              <w:spacing w:after="0"/>
              <w:rPr>
                <w:sz w:val="14"/>
                <w:szCs w:val="14"/>
                <w:color w:val="auto"/>
              </w:rPr>
            </w:pPr>
          </w:p>
        </w:tc>
        <w:tc>
          <w:tcPr>
            <w:tcW w:w="160" w:type="dxa"/>
            <w:vAlign w:val="bottom"/>
            <w:tcBorders>
              <w:bottom w:val="single" w:sz="8" w:color="auto"/>
            </w:tcBorders>
            <w:shd w:val="clear" w:color="auto" w:fill="E6EDF3"/>
          </w:tcPr>
          <w:p>
            <w:pPr>
              <w:spacing w:after="0"/>
              <w:rPr>
                <w:sz w:val="14"/>
                <w:szCs w:val="14"/>
                <w:color w:val="auto"/>
              </w:rPr>
            </w:pPr>
          </w:p>
        </w:tc>
        <w:tc>
          <w:tcPr>
            <w:tcW w:w="40" w:type="dxa"/>
            <w:vAlign w:val="bottom"/>
            <w:tcBorders>
              <w:bottom w:val="single" w:sz="8" w:color="auto"/>
            </w:tcBorders>
            <w:shd w:val="clear" w:color="auto" w:fill="E6EDF3"/>
          </w:tcPr>
          <w:p>
            <w:pPr>
              <w:spacing w:after="0"/>
              <w:rPr>
                <w:sz w:val="14"/>
                <w:szCs w:val="14"/>
                <w:color w:val="auto"/>
              </w:rPr>
            </w:pPr>
          </w:p>
        </w:tc>
        <w:tc>
          <w:tcPr>
            <w:tcW w:w="720" w:type="dxa"/>
            <w:vAlign w:val="bottom"/>
            <w:tcBorders>
              <w:bottom w:val="single" w:sz="8" w:color="auto"/>
            </w:tcBorders>
            <w:shd w:val="clear" w:color="auto" w:fill="E6EDF3"/>
          </w:tcPr>
          <w:p>
            <w:pPr>
              <w:jc w:val="right"/>
              <w:ind w:right="9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6EDF3"/>
          </w:tcPr>
          <w:p>
            <w:pPr>
              <w:spacing w:after="0"/>
              <w:rPr>
                <w:sz w:val="14"/>
                <w:szCs w:val="14"/>
                <w:color w:val="auto"/>
              </w:rPr>
            </w:pPr>
          </w:p>
        </w:tc>
        <w:tc>
          <w:tcPr>
            <w:tcW w:w="100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6EDF3"/>
          </w:tcPr>
          <w:p>
            <w:pPr>
              <w:spacing w:after="0"/>
              <w:rPr>
                <w:sz w:val="14"/>
                <w:szCs w:val="14"/>
                <w:color w:val="auto"/>
              </w:rPr>
            </w:pPr>
          </w:p>
        </w:tc>
        <w:tc>
          <w:tcPr>
            <w:tcW w:w="74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auto"/>
            </w:tcBorders>
            <w:shd w:val="clear" w:color="auto" w:fill="E6EDF3"/>
          </w:tcPr>
          <w:p>
            <w:pPr>
              <w:spacing w:after="0"/>
              <w:rPr>
                <w:sz w:val="14"/>
                <w:szCs w:val="14"/>
                <w:color w:val="auto"/>
              </w:rPr>
            </w:pPr>
          </w:p>
        </w:tc>
        <w:tc>
          <w:tcPr>
            <w:tcW w:w="100" w:type="dxa"/>
            <w:vAlign w:val="bottom"/>
            <w:tcBorders>
              <w:bottom w:val="single" w:sz="8" w:color="auto"/>
            </w:tcBorders>
            <w:shd w:val="clear" w:color="auto" w:fill="E6EDF3"/>
          </w:tcPr>
          <w:p>
            <w:pPr>
              <w:spacing w:after="0"/>
              <w:rPr>
                <w:sz w:val="14"/>
                <w:szCs w:val="14"/>
                <w:color w:val="auto"/>
              </w:rPr>
            </w:pPr>
          </w:p>
        </w:tc>
        <w:tc>
          <w:tcPr>
            <w:tcW w:w="540" w:type="dxa"/>
            <w:vAlign w:val="bottom"/>
            <w:tcBorders>
              <w:bottom w:val="single" w:sz="8" w:color="auto"/>
            </w:tcBorders>
            <w:shd w:val="clear" w:color="auto" w:fill="E6EDF3"/>
          </w:tcPr>
          <w:p>
            <w:pPr>
              <w:jc w:val="right"/>
              <w:ind w:right="53"/>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E6EDF3"/>
          </w:tcPr>
          <w:p>
            <w:pPr>
              <w:spacing w:after="0"/>
              <w:rPr>
                <w:sz w:val="14"/>
                <w:szCs w:val="14"/>
                <w:color w:val="auto"/>
              </w:rPr>
            </w:pPr>
          </w:p>
        </w:tc>
        <w:tc>
          <w:tcPr>
            <w:tcW w:w="1000" w:type="dxa"/>
            <w:vAlign w:val="bottom"/>
            <w:tcBorders>
              <w:bottom w:val="single" w:sz="8" w:color="auto"/>
            </w:tcBorders>
            <w:shd w:val="clear" w:color="auto" w:fill="E6EDF3"/>
          </w:tcPr>
          <w:p>
            <w:pPr>
              <w:jc w:val="right"/>
              <w:ind w:right="273"/>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6EDF3"/>
          </w:tcPr>
          <w:p>
            <w:pPr>
              <w:spacing w:after="0"/>
              <w:rPr>
                <w:sz w:val="14"/>
                <w:szCs w:val="14"/>
                <w:color w:val="auto"/>
              </w:rPr>
            </w:pP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104,602(17)</w:t>
            </w:r>
          </w:p>
        </w:tc>
        <w:tc>
          <w:tcPr>
            <w:tcW w:w="16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E6EDF3"/>
          </w:tcPr>
          <w:p>
            <w:pPr>
              <w:jc w:val="right"/>
              <w:ind w:right="73"/>
              <w:spacing w:after="0"/>
              <w:rPr>
                <w:sz w:val="20"/>
                <w:szCs w:val="20"/>
                <w:color w:val="auto"/>
              </w:rPr>
            </w:pPr>
            <w:r>
              <w:rPr>
                <w:rFonts w:ascii="Arial" w:cs="Arial" w:eastAsia="Arial" w:hAnsi="Arial"/>
                <w:sz w:val="14"/>
                <w:szCs w:val="14"/>
                <w:color w:val="auto"/>
              </w:rPr>
              <w:t>13,191,358</w:t>
            </w:r>
          </w:p>
        </w:tc>
        <w:tc>
          <w:tcPr>
            <w:tcW w:w="0" w:type="dxa"/>
            <w:vAlign w:val="bottom"/>
          </w:tcPr>
          <w:p>
            <w:pPr>
              <w:spacing w:after="0"/>
              <w:rPr>
                <w:sz w:val="1"/>
                <w:szCs w:val="1"/>
                <w:color w:val="auto"/>
              </w:rPr>
            </w:pPr>
          </w:p>
        </w:tc>
      </w:tr>
      <w:tr>
        <w:trPr>
          <w:trHeight w:val="125"/>
        </w:trPr>
        <w:tc>
          <w:tcPr>
            <w:tcW w:w="2060" w:type="dxa"/>
            <w:vAlign w:val="bottom"/>
          </w:tcPr>
          <w:p>
            <w:pPr>
              <w:ind w:left="40"/>
              <w:spacing w:after="0" w:line="125" w:lineRule="exact"/>
              <w:rPr>
                <w:sz w:val="20"/>
                <w:szCs w:val="20"/>
                <w:color w:val="auto"/>
              </w:rPr>
            </w:pPr>
            <w:r>
              <w:rPr>
                <w:rFonts w:ascii="Arial" w:cs="Arial" w:eastAsia="Arial" w:hAnsi="Arial"/>
                <w:sz w:val="14"/>
                <w:szCs w:val="14"/>
                <w:color w:val="auto"/>
              </w:rPr>
              <w:t>John T. McGinnis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ind w:right="93"/>
              <w:spacing w:after="0" w:line="125" w:lineRule="exact"/>
              <w:rPr>
                <w:sz w:val="20"/>
                <w:szCs w:val="20"/>
                <w:color w:val="auto"/>
              </w:rPr>
            </w:pPr>
            <w:r>
              <w:rPr>
                <w:rFonts w:ascii="Arial" w:cs="Arial" w:eastAsia="Arial" w:hAnsi="Arial"/>
                <w:sz w:val="14"/>
                <w:szCs w:val="14"/>
                <w:color w:val="auto"/>
              </w:rPr>
              <w:t>5,081</w:t>
            </w:r>
          </w:p>
        </w:tc>
        <w:tc>
          <w:tcPr>
            <w:tcW w:w="260" w:type="dxa"/>
            <w:vAlign w:val="bottom"/>
          </w:tcPr>
          <w:p>
            <w:pPr>
              <w:spacing w:after="0"/>
              <w:rPr>
                <w:sz w:val="10"/>
                <w:szCs w:val="10"/>
                <w:color w:val="auto"/>
              </w:rPr>
            </w:pPr>
          </w:p>
        </w:tc>
        <w:tc>
          <w:tcPr>
            <w:tcW w:w="1000" w:type="dxa"/>
            <w:vAlign w:val="bottom"/>
            <w:gridSpan w:val="2"/>
          </w:tcPr>
          <w:p>
            <w:pPr>
              <w:jc w:val="right"/>
              <w:spacing w:after="0" w:line="125" w:lineRule="exact"/>
              <w:rPr>
                <w:sz w:val="20"/>
                <w:szCs w:val="20"/>
                <w:color w:val="auto"/>
              </w:rPr>
            </w:pPr>
            <w:r>
              <w:rPr>
                <w:rFonts w:ascii="Arial" w:cs="Arial" w:eastAsia="Arial" w:hAnsi="Arial"/>
                <w:sz w:val="14"/>
                <w:szCs w:val="14"/>
                <w:color w:val="auto"/>
              </w:rPr>
              <w:t>15,245(7)</w:t>
            </w:r>
          </w:p>
        </w:tc>
        <w:tc>
          <w:tcPr>
            <w:tcW w:w="22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00"/>
              <w:spacing w:after="0" w:line="125"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53"/>
              <w:spacing w:after="0" w:line="125" w:lineRule="exact"/>
              <w:rPr>
                <w:sz w:val="20"/>
                <w:szCs w:val="20"/>
                <w:color w:val="auto"/>
              </w:rPr>
            </w:pPr>
            <w:r>
              <w:rPr>
                <w:rFonts w:ascii="Arial" w:cs="Arial" w:eastAsia="Arial" w:hAnsi="Arial"/>
                <w:sz w:val="14"/>
                <w:szCs w:val="14"/>
                <w:color w:val="auto"/>
              </w:rPr>
              <w:t>75.07</w:t>
            </w:r>
          </w:p>
        </w:tc>
        <w:tc>
          <w:tcPr>
            <w:tcW w:w="780" w:type="dxa"/>
            <w:vAlign w:val="bottom"/>
          </w:tcPr>
          <w:p>
            <w:pPr>
              <w:jc w:val="right"/>
              <w:spacing w:after="0" w:line="125" w:lineRule="exact"/>
              <w:rPr>
                <w:sz w:val="20"/>
                <w:szCs w:val="20"/>
                <w:color w:val="auto"/>
              </w:rPr>
            </w:pPr>
            <w:r>
              <w:rPr>
                <w:rFonts w:ascii="Arial" w:cs="Arial" w:eastAsia="Arial" w:hAnsi="Arial"/>
                <w:sz w:val="14"/>
                <w:szCs w:val="14"/>
                <w:color w:val="auto"/>
              </w:rPr>
              <w:t>2/16/2026</w:t>
            </w:r>
          </w:p>
        </w:tc>
        <w:tc>
          <w:tcPr>
            <w:tcW w:w="80" w:type="dxa"/>
            <w:vAlign w:val="bottom"/>
          </w:tcPr>
          <w:p>
            <w:pPr>
              <w:spacing w:after="0"/>
              <w:rPr>
                <w:sz w:val="10"/>
                <w:szCs w:val="10"/>
                <w:color w:val="auto"/>
              </w:rPr>
            </w:pPr>
          </w:p>
        </w:tc>
        <w:tc>
          <w:tcPr>
            <w:tcW w:w="1000" w:type="dxa"/>
            <w:vAlign w:val="bottom"/>
          </w:tcPr>
          <w:p>
            <w:pPr>
              <w:jc w:val="right"/>
              <w:ind w:right="273"/>
              <w:spacing w:after="0" w:line="12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34"/>
              <w:spacing w:after="0" w:line="12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900" w:type="dxa"/>
            <w:vAlign w:val="bottom"/>
          </w:tcPr>
          <w:p>
            <w:pPr>
              <w:jc w:val="right"/>
              <w:ind w:right="73"/>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60" w:type="dxa"/>
            <w:vAlign w:val="bottom"/>
          </w:tcPr>
          <w:p>
            <w:pPr>
              <w:ind w:left="220"/>
              <w:spacing w:after="0"/>
              <w:rPr>
                <w:sz w:val="20"/>
                <w:szCs w:val="20"/>
                <w:color w:val="auto"/>
              </w:rPr>
            </w:pPr>
            <w:r>
              <w:rPr>
                <w:rFonts w:ascii="Arial" w:cs="Arial" w:eastAsia="Arial" w:hAnsi="Arial"/>
                <w:sz w:val="14"/>
                <w:szCs w:val="14"/>
                <w:i w:val="1"/>
                <w:iCs w:val="1"/>
                <w:color w:val="auto"/>
              </w:rPr>
              <w:t>CFO</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17,983(8)</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3"/>
              <w:spacing w:after="0"/>
              <w:rPr>
                <w:sz w:val="20"/>
                <w:szCs w:val="20"/>
                <w:color w:val="auto"/>
              </w:rPr>
            </w:pPr>
            <w:r>
              <w:rPr>
                <w:rFonts w:ascii="Arial" w:cs="Arial" w:eastAsia="Arial" w:hAnsi="Arial"/>
                <w:sz w:val="14"/>
                <w:szCs w:val="14"/>
                <w:color w:val="auto"/>
              </w:rPr>
              <w:t>96.94</w:t>
            </w:r>
          </w:p>
        </w:tc>
        <w:tc>
          <w:tcPr>
            <w:tcW w:w="780" w:type="dxa"/>
            <w:vAlign w:val="bottom"/>
          </w:tcPr>
          <w:p>
            <w:pPr>
              <w:jc w:val="right"/>
              <w:spacing w:after="0"/>
              <w:rPr>
                <w:sz w:val="20"/>
                <w:szCs w:val="20"/>
                <w:color w:val="auto"/>
              </w:rPr>
            </w:pPr>
            <w:r>
              <w:rPr>
                <w:rFonts w:ascii="Arial" w:cs="Arial" w:eastAsia="Arial" w:hAnsi="Arial"/>
                <w:sz w:val="14"/>
                <w:szCs w:val="14"/>
                <w:color w:val="auto"/>
              </w:rPr>
              <w:t>2/9/2027</w:t>
            </w:r>
          </w:p>
        </w:tc>
        <w:tc>
          <w:tcPr>
            <w:tcW w:w="8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34"/>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5,536(12)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698,145</w:t>
            </w:r>
          </w:p>
        </w:tc>
        <w:tc>
          <w:tcPr>
            <w:tcW w:w="120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4,823(13)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608,229</w:t>
            </w:r>
          </w:p>
        </w:tc>
        <w:tc>
          <w:tcPr>
            <w:tcW w:w="120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13,840(14)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$1,745,362</w:t>
            </w:r>
          </w:p>
        </w:tc>
        <w:tc>
          <w:tcPr>
            <w:tcW w:w="120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31,972(16)</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4,031,989</w:t>
            </w:r>
          </w:p>
        </w:tc>
        <w:tc>
          <w:tcPr>
            <w:tcW w:w="0" w:type="dxa"/>
            <w:vAlign w:val="bottom"/>
          </w:tcPr>
          <w:p>
            <w:pPr>
              <w:spacing w:after="0"/>
              <w:rPr>
                <w:sz w:val="1"/>
                <w:szCs w:val="1"/>
                <w:color w:val="auto"/>
              </w:rPr>
            </w:pPr>
          </w:p>
        </w:tc>
      </w:tr>
      <w:tr>
        <w:trPr>
          <w:trHeight w:val="165"/>
        </w:trPr>
        <w:tc>
          <w:tcPr>
            <w:tcW w:w="2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28,472(17)</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3,590,604</w:t>
            </w:r>
          </w:p>
        </w:tc>
        <w:tc>
          <w:tcPr>
            <w:tcW w:w="0" w:type="dxa"/>
            <w:vAlign w:val="bottom"/>
          </w:tcPr>
          <w:p>
            <w:pPr>
              <w:spacing w:after="0"/>
              <w:rPr>
                <w:sz w:val="1"/>
                <w:szCs w:val="1"/>
                <w:color w:val="auto"/>
              </w:rPr>
            </w:pPr>
          </w:p>
        </w:tc>
      </w:tr>
      <w:tr>
        <w:trPr>
          <w:trHeight w:val="125"/>
        </w:trPr>
        <w:tc>
          <w:tcPr>
            <w:tcW w:w="2060" w:type="dxa"/>
            <w:vAlign w:val="bottom"/>
            <w:shd w:val="clear" w:color="auto" w:fill="E6EDF3"/>
          </w:tcPr>
          <w:p>
            <w:pPr>
              <w:ind w:left="40"/>
              <w:spacing w:after="0" w:line="125" w:lineRule="exact"/>
              <w:rPr>
                <w:sz w:val="20"/>
                <w:szCs w:val="20"/>
                <w:color w:val="auto"/>
              </w:rPr>
            </w:pPr>
            <w:r>
              <w:rPr>
                <w:rFonts w:ascii="Arial" w:cs="Arial" w:eastAsia="Arial" w:hAnsi="Arial"/>
                <w:sz w:val="14"/>
                <w:szCs w:val="14"/>
                <w:color w:val="auto"/>
              </w:rPr>
              <w:t>Darryl Green</w:t>
            </w:r>
          </w:p>
        </w:tc>
        <w:tc>
          <w:tcPr>
            <w:tcW w:w="160" w:type="dxa"/>
            <w:vAlign w:val="bottom"/>
            <w:shd w:val="clear" w:color="auto" w:fill="E6EDF3"/>
          </w:tcPr>
          <w:p>
            <w:pPr>
              <w:spacing w:after="0"/>
              <w:rPr>
                <w:sz w:val="10"/>
                <w:szCs w:val="10"/>
                <w:color w:val="auto"/>
              </w:rPr>
            </w:pPr>
          </w:p>
        </w:tc>
        <w:tc>
          <w:tcPr>
            <w:tcW w:w="40" w:type="dxa"/>
            <w:vAlign w:val="bottom"/>
            <w:shd w:val="clear" w:color="auto" w:fill="E6EDF3"/>
          </w:tcPr>
          <w:p>
            <w:pPr>
              <w:spacing w:after="0"/>
              <w:rPr>
                <w:sz w:val="10"/>
                <w:szCs w:val="10"/>
                <w:color w:val="auto"/>
              </w:rPr>
            </w:pPr>
          </w:p>
        </w:tc>
        <w:tc>
          <w:tcPr>
            <w:tcW w:w="720" w:type="dxa"/>
            <w:vAlign w:val="bottom"/>
            <w:shd w:val="clear" w:color="auto" w:fill="E6EDF3"/>
          </w:tcPr>
          <w:p>
            <w:pPr>
              <w:jc w:val="right"/>
              <w:ind w:right="93"/>
              <w:spacing w:after="0" w:line="125"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E6EDF3"/>
          </w:tcPr>
          <w:p>
            <w:pPr>
              <w:jc w:val="right"/>
              <w:spacing w:after="0" w:line="125" w:lineRule="exact"/>
              <w:rPr>
                <w:sz w:val="20"/>
                <w:szCs w:val="20"/>
                <w:color w:val="auto"/>
              </w:rPr>
            </w:pPr>
            <w:r>
              <w:rPr>
                <w:rFonts w:ascii="Arial" w:cs="Arial" w:eastAsia="Arial" w:hAnsi="Arial"/>
                <w:sz w:val="14"/>
                <w:szCs w:val="14"/>
                <w:color w:val="auto"/>
              </w:rPr>
              <w:t>3,921(4)</w:t>
            </w:r>
          </w:p>
        </w:tc>
        <w:tc>
          <w:tcPr>
            <w:tcW w:w="220" w:type="dxa"/>
            <w:vAlign w:val="bottom"/>
            <w:shd w:val="clear" w:color="auto" w:fill="E6EDF3"/>
          </w:tcPr>
          <w:p>
            <w:pPr>
              <w:spacing w:after="0"/>
              <w:rPr>
                <w:sz w:val="10"/>
                <w:szCs w:val="10"/>
                <w:color w:val="auto"/>
              </w:rPr>
            </w:pPr>
          </w:p>
        </w:tc>
        <w:tc>
          <w:tcPr>
            <w:tcW w:w="740" w:type="dxa"/>
            <w:vAlign w:val="bottom"/>
            <w:shd w:val="clear" w:color="auto" w:fill="E6EDF3"/>
          </w:tcPr>
          <w:p>
            <w:pPr>
              <w:jc w:val="center"/>
              <w:spacing w:after="0" w:line="125"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E6EDF3"/>
          </w:tcPr>
          <w:p>
            <w:pPr>
              <w:ind w:left="200"/>
              <w:spacing w:after="0" w:line="125"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line="125" w:lineRule="exact"/>
              <w:rPr>
                <w:sz w:val="20"/>
                <w:szCs w:val="20"/>
                <w:color w:val="auto"/>
              </w:rPr>
            </w:pPr>
            <w:r>
              <w:rPr>
                <w:rFonts w:ascii="Arial" w:cs="Arial" w:eastAsia="Arial" w:hAnsi="Arial"/>
                <w:sz w:val="14"/>
                <w:szCs w:val="14"/>
                <w:color w:val="auto"/>
              </w:rPr>
              <w:t>76.13</w:t>
            </w:r>
          </w:p>
        </w:tc>
        <w:tc>
          <w:tcPr>
            <w:tcW w:w="780" w:type="dxa"/>
            <w:vAlign w:val="bottom"/>
            <w:shd w:val="clear" w:color="auto" w:fill="E6EDF3"/>
          </w:tcPr>
          <w:p>
            <w:pPr>
              <w:jc w:val="right"/>
              <w:spacing w:after="0" w:line="125" w:lineRule="exact"/>
              <w:rPr>
                <w:sz w:val="20"/>
                <w:szCs w:val="20"/>
                <w:color w:val="auto"/>
              </w:rPr>
            </w:pPr>
            <w:r>
              <w:rPr>
                <w:rFonts w:ascii="Arial" w:cs="Arial" w:eastAsia="Arial" w:hAnsi="Arial"/>
                <w:sz w:val="14"/>
                <w:szCs w:val="14"/>
                <w:color w:val="auto"/>
              </w:rPr>
              <w:t>2/11/2024</w:t>
            </w:r>
          </w:p>
        </w:tc>
        <w:tc>
          <w:tcPr>
            <w:tcW w:w="80" w:type="dxa"/>
            <w:vAlign w:val="bottom"/>
            <w:shd w:val="clear" w:color="auto" w:fill="E6EDF3"/>
          </w:tcPr>
          <w:p>
            <w:pPr>
              <w:spacing w:after="0"/>
              <w:rPr>
                <w:sz w:val="10"/>
                <w:szCs w:val="10"/>
                <w:color w:val="auto"/>
              </w:rPr>
            </w:pPr>
          </w:p>
        </w:tc>
        <w:tc>
          <w:tcPr>
            <w:tcW w:w="1000" w:type="dxa"/>
            <w:vAlign w:val="bottom"/>
            <w:shd w:val="clear" w:color="auto" w:fill="E6EDF3"/>
          </w:tcPr>
          <w:p>
            <w:pPr>
              <w:jc w:val="right"/>
              <w:ind w:right="273"/>
              <w:spacing w:after="0" w:line="125"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0"/>
                <w:szCs w:val="10"/>
                <w:color w:val="auto"/>
              </w:rPr>
            </w:pPr>
          </w:p>
        </w:tc>
        <w:tc>
          <w:tcPr>
            <w:tcW w:w="660" w:type="dxa"/>
            <w:vAlign w:val="bottom"/>
            <w:shd w:val="clear" w:color="auto" w:fill="E6EDF3"/>
          </w:tcPr>
          <w:p>
            <w:pPr>
              <w:jc w:val="right"/>
              <w:spacing w:after="0" w:line="125"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25"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0"/>
                <w:szCs w:val="10"/>
                <w:color w:val="auto"/>
              </w:rPr>
            </w:pPr>
          </w:p>
        </w:tc>
        <w:tc>
          <w:tcPr>
            <w:tcW w:w="900" w:type="dxa"/>
            <w:vAlign w:val="bottom"/>
            <w:shd w:val="clear" w:color="auto" w:fill="E6EDF3"/>
          </w:tcPr>
          <w:p>
            <w:pPr>
              <w:jc w:val="right"/>
              <w:ind w:right="73"/>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60" w:type="dxa"/>
            <w:vAlign w:val="bottom"/>
            <w:shd w:val="clear" w:color="auto" w:fill="E6EDF3"/>
          </w:tcPr>
          <w:p>
            <w:pPr>
              <w:ind w:left="220"/>
              <w:spacing w:after="0"/>
              <w:rPr>
                <w:sz w:val="20"/>
                <w:szCs w:val="20"/>
                <w:color w:val="auto"/>
              </w:rPr>
            </w:pPr>
            <w:r>
              <w:rPr>
                <w:rFonts w:ascii="Arial" w:cs="Arial" w:eastAsia="Arial" w:hAnsi="Arial"/>
                <w:sz w:val="14"/>
                <w:szCs w:val="14"/>
                <w:i w:val="1"/>
                <w:iCs w:val="1"/>
                <w:color w:val="auto"/>
              </w:rPr>
              <w:t>President &amp; COO</w:t>
            </w:r>
          </w:p>
        </w:tc>
        <w:tc>
          <w:tcPr>
            <w:tcW w:w="160" w:type="dxa"/>
            <w:vAlign w:val="bottom"/>
            <w:shd w:val="clear" w:color="auto" w:fill="E6EDF3"/>
          </w:tcPr>
          <w:p>
            <w:pPr>
              <w:spacing w:after="0"/>
              <w:rPr>
                <w:sz w:val="14"/>
                <w:szCs w:val="14"/>
                <w:color w:val="auto"/>
              </w:rPr>
            </w:pPr>
          </w:p>
        </w:tc>
        <w:tc>
          <w:tcPr>
            <w:tcW w:w="40" w:type="dxa"/>
            <w:vAlign w:val="bottom"/>
            <w:shd w:val="clear" w:color="auto" w:fill="E6EDF3"/>
          </w:tcPr>
          <w:p>
            <w:pPr>
              <w:spacing w:after="0"/>
              <w:rPr>
                <w:sz w:val="14"/>
                <w:szCs w:val="14"/>
                <w:color w:val="auto"/>
              </w:rPr>
            </w:pPr>
          </w:p>
        </w:tc>
        <w:tc>
          <w:tcPr>
            <w:tcW w:w="720" w:type="dxa"/>
            <w:vAlign w:val="bottom"/>
            <w:shd w:val="clear" w:color="auto" w:fill="E6EDF3"/>
          </w:tcPr>
          <w:p>
            <w:pPr>
              <w:jc w:val="right"/>
              <w:ind w:right="93"/>
              <w:spacing w:after="0"/>
              <w:rPr>
                <w:sz w:val="20"/>
                <w:szCs w:val="20"/>
                <w:color w:val="auto"/>
              </w:rPr>
            </w:pPr>
            <w:r>
              <w:rPr>
                <w:rFonts w:ascii="Arial" w:cs="Arial" w:eastAsia="Arial" w:hAnsi="Arial"/>
                <w:sz w:val="14"/>
                <w:szCs w:val="14"/>
                <w:color w:val="auto"/>
              </w:rPr>
              <w:t>5,316</w:t>
            </w:r>
          </w:p>
        </w:tc>
        <w:tc>
          <w:tcPr>
            <w:tcW w:w="1260" w:type="dxa"/>
            <w:vAlign w:val="bottom"/>
            <w:gridSpan w:val="3"/>
            <w:shd w:val="clear" w:color="auto" w:fill="E6EDF3"/>
          </w:tcPr>
          <w:p>
            <w:pPr>
              <w:jc w:val="right"/>
              <w:spacing w:after="0"/>
              <w:rPr>
                <w:sz w:val="20"/>
                <w:szCs w:val="20"/>
                <w:color w:val="auto"/>
              </w:rPr>
            </w:pPr>
            <w:r>
              <w:rPr>
                <w:rFonts w:ascii="Arial" w:cs="Arial" w:eastAsia="Arial" w:hAnsi="Arial"/>
                <w:sz w:val="14"/>
                <w:szCs w:val="14"/>
                <w:color w:val="auto"/>
              </w:rPr>
              <w:t>2,762(6)</w:t>
            </w:r>
          </w:p>
        </w:tc>
        <w:tc>
          <w:tcPr>
            <w:tcW w:w="220" w:type="dxa"/>
            <w:vAlign w:val="bottom"/>
            <w:shd w:val="clear" w:color="auto" w:fill="E6EDF3"/>
          </w:tcPr>
          <w:p>
            <w:pPr>
              <w:spacing w:after="0"/>
              <w:rPr>
                <w:sz w:val="14"/>
                <w:szCs w:val="14"/>
                <w:color w:val="auto"/>
              </w:rPr>
            </w:pPr>
          </w:p>
        </w:tc>
        <w:tc>
          <w:tcPr>
            <w:tcW w:w="740" w:type="dxa"/>
            <w:vAlign w:val="bottom"/>
            <w:shd w:val="clear" w:color="auto" w:fill="E6EDF3"/>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E6EDF3"/>
          </w:tcPr>
          <w:p>
            <w:pPr>
              <w:ind w:lef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rPr>
                <w:sz w:val="20"/>
                <w:szCs w:val="20"/>
                <w:color w:val="auto"/>
              </w:rPr>
            </w:pPr>
            <w:r>
              <w:rPr>
                <w:rFonts w:ascii="Arial" w:cs="Arial" w:eastAsia="Arial" w:hAnsi="Arial"/>
                <w:sz w:val="14"/>
                <w:szCs w:val="14"/>
                <w:color w:val="auto"/>
              </w:rPr>
              <w:t>82.24</w:t>
            </w:r>
          </w:p>
        </w:tc>
        <w:tc>
          <w:tcPr>
            <w:tcW w:w="7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5/1/2024</w:t>
            </w:r>
          </w:p>
        </w:tc>
        <w:tc>
          <w:tcPr>
            <w:tcW w:w="80" w:type="dxa"/>
            <w:vAlign w:val="bottom"/>
            <w:shd w:val="clear" w:color="auto" w:fill="E6EDF3"/>
          </w:tcPr>
          <w:p>
            <w:pPr>
              <w:spacing w:after="0"/>
              <w:rPr>
                <w:sz w:val="14"/>
                <w:szCs w:val="14"/>
                <w:color w:val="auto"/>
              </w:rPr>
            </w:pPr>
          </w:p>
        </w:tc>
        <w:tc>
          <w:tcPr>
            <w:tcW w:w="1000" w:type="dxa"/>
            <w:vAlign w:val="bottom"/>
            <w:shd w:val="clear" w:color="auto" w:fill="E6EDF3"/>
          </w:tcPr>
          <w:p>
            <w:pPr>
              <w:jc w:val="right"/>
              <w:ind w:right="273"/>
              <w:spacing w:after="0"/>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4"/>
                <w:szCs w:val="14"/>
                <w:color w:val="auto"/>
              </w:rPr>
            </w:pP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4"/>
                <w:szCs w:val="14"/>
                <w:color w:val="auto"/>
              </w:rPr>
            </w:pPr>
          </w:p>
        </w:tc>
        <w:tc>
          <w:tcPr>
            <w:tcW w:w="900" w:type="dxa"/>
            <w:vAlign w:val="bottom"/>
            <w:shd w:val="clear" w:color="auto" w:fill="E6EDF3"/>
          </w:tcPr>
          <w:p>
            <w:pPr>
              <w:jc w:val="right"/>
              <w:ind w:right="7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E6EDF3"/>
          </w:tcPr>
          <w:p>
            <w:pPr>
              <w:jc w:val="right"/>
              <w:spacing w:after="0" w:line="149" w:lineRule="exact"/>
              <w:rPr>
                <w:sz w:val="20"/>
                <w:szCs w:val="20"/>
                <w:color w:val="auto"/>
              </w:rPr>
            </w:pPr>
            <w:r>
              <w:rPr>
                <w:rFonts w:ascii="Arial" w:cs="Arial" w:eastAsia="Arial" w:hAnsi="Arial"/>
                <w:sz w:val="14"/>
                <w:szCs w:val="14"/>
                <w:color w:val="auto"/>
              </w:rPr>
              <w:t>16,159(5)</w:t>
            </w: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76.97</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2/10/2025</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E6EDF3"/>
          </w:tcPr>
          <w:p>
            <w:pPr>
              <w:jc w:val="right"/>
              <w:spacing w:after="0" w:line="149" w:lineRule="exact"/>
              <w:rPr>
                <w:sz w:val="20"/>
                <w:szCs w:val="20"/>
                <w:color w:val="auto"/>
              </w:rPr>
            </w:pPr>
            <w:r>
              <w:rPr>
                <w:rFonts w:ascii="Arial" w:cs="Arial" w:eastAsia="Arial" w:hAnsi="Arial"/>
                <w:sz w:val="14"/>
                <w:szCs w:val="14"/>
                <w:color w:val="auto"/>
              </w:rPr>
              <w:t>26,678(7)</w:t>
            </w: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75.07</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2/16/2026</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E6EDF3"/>
          </w:tcPr>
          <w:p>
            <w:pPr>
              <w:jc w:val="right"/>
              <w:spacing w:after="0" w:line="149" w:lineRule="exact"/>
              <w:rPr>
                <w:sz w:val="20"/>
                <w:szCs w:val="20"/>
                <w:color w:val="auto"/>
              </w:rPr>
            </w:pPr>
            <w:r>
              <w:rPr>
                <w:rFonts w:ascii="Arial" w:cs="Arial" w:eastAsia="Arial" w:hAnsi="Arial"/>
                <w:sz w:val="14"/>
                <w:szCs w:val="14"/>
                <w:color w:val="auto"/>
              </w:rPr>
              <w:t>29,711(8)</w:t>
            </w: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E6EDF3"/>
          </w:tcPr>
          <w:p>
            <w:pPr>
              <w:ind w:lef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96.94</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2/9/2027</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113"/>
              <w:spacing w:after="0" w:line="149" w:lineRule="exact"/>
              <w:rPr>
                <w:sz w:val="20"/>
                <w:szCs w:val="20"/>
                <w:color w:val="auto"/>
              </w:rPr>
            </w:pPr>
            <w:r>
              <w:rPr>
                <w:rFonts w:ascii="Arial" w:cs="Arial" w:eastAsia="Arial" w:hAnsi="Arial"/>
                <w:sz w:val="14"/>
                <w:szCs w:val="14"/>
                <w:color w:val="auto"/>
              </w:rPr>
              <w:t>9,198(9)</w:t>
            </w:r>
          </w:p>
        </w:tc>
        <w:tc>
          <w:tcPr>
            <w:tcW w:w="86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$1,159,960</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9,256(12)</w:t>
            </w:r>
          </w:p>
        </w:tc>
        <w:tc>
          <w:tcPr>
            <w:tcW w:w="86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$1,167,274</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7,612(13)</w:t>
            </w:r>
          </w:p>
        </w:tc>
        <w:tc>
          <w:tcPr>
            <w:tcW w:w="2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959,949</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38,198(15)</w:t>
            </w:r>
          </w:p>
        </w:tc>
        <w:tc>
          <w:tcPr>
            <w:tcW w:w="86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$4,817,150</w:t>
            </w:r>
          </w:p>
        </w:tc>
        <w:tc>
          <w:tcPr>
            <w:tcW w:w="120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E6EDF3"/>
          </w:tcPr>
          <w:p>
            <w:pPr>
              <w:spacing w:after="0"/>
              <w:rPr>
                <w:sz w:val="12"/>
                <w:szCs w:val="12"/>
                <w:color w:val="auto"/>
              </w:rPr>
            </w:pPr>
          </w:p>
        </w:tc>
        <w:tc>
          <w:tcPr>
            <w:tcW w:w="16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72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220" w:type="dxa"/>
            <w:vAlign w:val="bottom"/>
            <w:shd w:val="clear" w:color="auto" w:fill="E6EDF3"/>
          </w:tcPr>
          <w:p>
            <w:pPr>
              <w:spacing w:after="0"/>
              <w:rPr>
                <w:sz w:val="12"/>
                <w:szCs w:val="12"/>
                <w:color w:val="auto"/>
              </w:rPr>
            </w:pPr>
          </w:p>
        </w:tc>
        <w:tc>
          <w:tcPr>
            <w:tcW w:w="740" w:type="dxa"/>
            <w:vAlign w:val="bottom"/>
            <w:shd w:val="clear" w:color="auto" w:fill="E6EDF3"/>
          </w:tcPr>
          <w:p>
            <w:pPr>
              <w:jc w:val="center"/>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E6EDF3"/>
          </w:tcPr>
          <w:p>
            <w:pPr>
              <w:spacing w:after="0"/>
              <w:rPr>
                <w:sz w:val="12"/>
                <w:szCs w:val="12"/>
                <w:color w:val="auto"/>
              </w:rPr>
            </w:pPr>
          </w:p>
        </w:tc>
        <w:tc>
          <w:tcPr>
            <w:tcW w:w="10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55,948(16)</w:t>
            </w:r>
          </w:p>
        </w:tc>
        <w:tc>
          <w:tcPr>
            <w:tcW w:w="160" w:type="dxa"/>
            <w:vAlign w:val="bottom"/>
            <w:shd w:val="clear" w:color="auto" w:fill="E6EDF3"/>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7,055,602</w:t>
            </w:r>
          </w:p>
        </w:tc>
        <w:tc>
          <w:tcPr>
            <w:tcW w:w="0" w:type="dxa"/>
            <w:vAlign w:val="bottom"/>
          </w:tcPr>
          <w:p>
            <w:pPr>
              <w:spacing w:after="0"/>
              <w:rPr>
                <w:sz w:val="1"/>
                <w:szCs w:val="1"/>
                <w:color w:val="auto"/>
              </w:rPr>
            </w:pPr>
          </w:p>
        </w:tc>
      </w:tr>
      <w:tr>
        <w:trPr>
          <w:trHeight w:val="165"/>
        </w:trPr>
        <w:tc>
          <w:tcPr>
            <w:tcW w:w="2060" w:type="dxa"/>
            <w:vAlign w:val="bottom"/>
            <w:tcBorders>
              <w:bottom w:val="single" w:sz="8" w:color="auto"/>
            </w:tcBorders>
            <w:shd w:val="clear" w:color="auto" w:fill="E6EDF3"/>
          </w:tcPr>
          <w:p>
            <w:pPr>
              <w:spacing w:after="0"/>
              <w:rPr>
                <w:sz w:val="14"/>
                <w:szCs w:val="14"/>
                <w:color w:val="auto"/>
              </w:rPr>
            </w:pPr>
          </w:p>
        </w:tc>
        <w:tc>
          <w:tcPr>
            <w:tcW w:w="160" w:type="dxa"/>
            <w:vAlign w:val="bottom"/>
            <w:tcBorders>
              <w:bottom w:val="single" w:sz="8" w:color="auto"/>
            </w:tcBorders>
            <w:shd w:val="clear" w:color="auto" w:fill="E6EDF3"/>
          </w:tcPr>
          <w:p>
            <w:pPr>
              <w:spacing w:after="0"/>
              <w:rPr>
                <w:sz w:val="14"/>
                <w:szCs w:val="14"/>
                <w:color w:val="auto"/>
              </w:rPr>
            </w:pPr>
          </w:p>
        </w:tc>
        <w:tc>
          <w:tcPr>
            <w:tcW w:w="40" w:type="dxa"/>
            <w:vAlign w:val="bottom"/>
            <w:tcBorders>
              <w:bottom w:val="single" w:sz="8" w:color="auto"/>
            </w:tcBorders>
            <w:shd w:val="clear" w:color="auto" w:fill="E6EDF3"/>
          </w:tcPr>
          <w:p>
            <w:pPr>
              <w:spacing w:after="0"/>
              <w:rPr>
                <w:sz w:val="14"/>
                <w:szCs w:val="14"/>
                <w:color w:val="auto"/>
              </w:rPr>
            </w:pPr>
          </w:p>
        </w:tc>
        <w:tc>
          <w:tcPr>
            <w:tcW w:w="720" w:type="dxa"/>
            <w:vAlign w:val="bottom"/>
            <w:tcBorders>
              <w:bottom w:val="single" w:sz="8" w:color="auto"/>
            </w:tcBorders>
            <w:shd w:val="clear" w:color="auto" w:fill="E6EDF3"/>
          </w:tcPr>
          <w:p>
            <w:pPr>
              <w:jc w:val="right"/>
              <w:ind w:right="9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6EDF3"/>
          </w:tcPr>
          <w:p>
            <w:pPr>
              <w:spacing w:after="0"/>
              <w:rPr>
                <w:sz w:val="14"/>
                <w:szCs w:val="14"/>
                <w:color w:val="auto"/>
              </w:rPr>
            </w:pPr>
          </w:p>
        </w:tc>
        <w:tc>
          <w:tcPr>
            <w:tcW w:w="8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6EDF3"/>
          </w:tcPr>
          <w:p>
            <w:pPr>
              <w:spacing w:after="0"/>
              <w:rPr>
                <w:sz w:val="14"/>
                <w:szCs w:val="14"/>
                <w:color w:val="auto"/>
              </w:rPr>
            </w:pPr>
          </w:p>
        </w:tc>
        <w:tc>
          <w:tcPr>
            <w:tcW w:w="220" w:type="dxa"/>
            <w:vAlign w:val="bottom"/>
            <w:tcBorders>
              <w:bottom w:val="single" w:sz="8" w:color="auto"/>
            </w:tcBorders>
            <w:shd w:val="clear" w:color="auto" w:fill="E6EDF3"/>
          </w:tcPr>
          <w:p>
            <w:pPr>
              <w:spacing w:after="0"/>
              <w:rPr>
                <w:sz w:val="14"/>
                <w:szCs w:val="14"/>
                <w:color w:val="auto"/>
              </w:rPr>
            </w:pPr>
          </w:p>
        </w:tc>
        <w:tc>
          <w:tcPr>
            <w:tcW w:w="74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auto"/>
            </w:tcBorders>
            <w:shd w:val="clear" w:color="auto" w:fill="E6EDF3"/>
          </w:tcPr>
          <w:p>
            <w:pPr>
              <w:spacing w:after="0"/>
              <w:rPr>
                <w:sz w:val="14"/>
                <w:szCs w:val="14"/>
                <w:color w:val="auto"/>
              </w:rPr>
            </w:pPr>
          </w:p>
        </w:tc>
        <w:tc>
          <w:tcPr>
            <w:tcW w:w="100" w:type="dxa"/>
            <w:vAlign w:val="bottom"/>
            <w:tcBorders>
              <w:bottom w:val="single" w:sz="8" w:color="auto"/>
            </w:tcBorders>
            <w:shd w:val="clear" w:color="auto" w:fill="E6EDF3"/>
          </w:tcPr>
          <w:p>
            <w:pPr>
              <w:spacing w:after="0"/>
              <w:rPr>
                <w:sz w:val="14"/>
                <w:szCs w:val="14"/>
                <w:color w:val="auto"/>
              </w:rPr>
            </w:pPr>
          </w:p>
        </w:tc>
        <w:tc>
          <w:tcPr>
            <w:tcW w:w="540" w:type="dxa"/>
            <w:vAlign w:val="bottom"/>
            <w:tcBorders>
              <w:bottom w:val="single" w:sz="8" w:color="auto"/>
            </w:tcBorders>
            <w:shd w:val="clear" w:color="auto" w:fill="E6EDF3"/>
          </w:tcPr>
          <w:p>
            <w:pPr>
              <w:jc w:val="right"/>
              <w:ind w:right="53"/>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E6EDF3"/>
          </w:tcPr>
          <w:p>
            <w:pPr>
              <w:spacing w:after="0"/>
              <w:rPr>
                <w:sz w:val="14"/>
                <w:szCs w:val="14"/>
                <w:color w:val="auto"/>
              </w:rPr>
            </w:pPr>
          </w:p>
        </w:tc>
        <w:tc>
          <w:tcPr>
            <w:tcW w:w="1000" w:type="dxa"/>
            <w:vAlign w:val="bottom"/>
            <w:tcBorders>
              <w:bottom w:val="single" w:sz="8" w:color="auto"/>
            </w:tcBorders>
            <w:shd w:val="clear" w:color="auto" w:fill="E6EDF3"/>
          </w:tcPr>
          <w:p>
            <w:pPr>
              <w:jc w:val="right"/>
              <w:ind w:right="273"/>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6EDF3"/>
          </w:tcPr>
          <w:p>
            <w:pPr>
              <w:spacing w:after="0"/>
              <w:rPr>
                <w:sz w:val="14"/>
                <w:szCs w:val="14"/>
                <w:color w:val="auto"/>
              </w:rPr>
            </w:pP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47,040(17)</w:t>
            </w:r>
          </w:p>
        </w:tc>
        <w:tc>
          <w:tcPr>
            <w:tcW w:w="16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E6EDF3"/>
          </w:tcPr>
          <w:p>
            <w:pPr>
              <w:jc w:val="right"/>
              <w:ind w:right="73"/>
              <w:spacing w:after="0"/>
              <w:rPr>
                <w:sz w:val="20"/>
                <w:szCs w:val="20"/>
                <w:color w:val="auto"/>
              </w:rPr>
            </w:pPr>
            <w:r>
              <w:rPr>
                <w:rFonts w:ascii="Arial" w:cs="Arial" w:eastAsia="Arial" w:hAnsi="Arial"/>
                <w:sz w:val="14"/>
                <w:szCs w:val="14"/>
                <w:color w:val="auto"/>
              </w:rPr>
              <w:t>5,932,214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-2589530</wp:posOffset>
            </wp:positionV>
            <wp:extent cx="4931410" cy="8489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31410" cy="848995"/>
                    </a:xfrm>
                    <a:prstGeom prst="rect">
                      <a:avLst/>
                    </a:prstGeom>
                    <a:noFill/>
                  </pic:spPr>
                </pic:pic>
              </a:graphicData>
            </a:graphic>
          </wp:anchor>
        </w:drawing>
      </w:r>
    </w:p>
    <w:p>
      <w:pPr>
        <w:spacing w:after="0" w:line="94"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59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00" w:lineRule="exact"/>
        <w:rPr>
          <w:sz w:val="20"/>
          <w:szCs w:val="20"/>
          <w:color w:val="auto"/>
        </w:rPr>
      </w:pPr>
    </w:p>
    <w:p>
      <w:pPr>
        <w:spacing w:after="0" w:line="285" w:lineRule="exact"/>
        <w:rPr>
          <w:sz w:val="20"/>
          <w:szCs w:val="20"/>
          <w:color w:val="auto"/>
        </w:rPr>
      </w:pPr>
    </w:p>
    <w:tbl>
      <w:tblPr>
        <w:tblLayout w:type="fixed"/>
        <w:tblInd w:w="220" w:type="dxa"/>
        <w:tblCellMar>
          <w:top w:w="0" w:type="dxa"/>
          <w:left w:w="0" w:type="dxa"/>
          <w:bottom w:w="0" w:type="dxa"/>
          <w:right w:w="0" w:type="dxa"/>
        </w:tblCellMar>
      </w:tblPr>
      <w:tr>
        <w:trPr>
          <w:trHeight w:val="243"/>
        </w:trPr>
        <w:tc>
          <w:tcPr>
            <w:tcW w:w="1820" w:type="dxa"/>
            <w:vAlign w:val="bottom"/>
            <w:tcBorders>
              <w:top w:val="single" w:sz="8" w:color="auto"/>
              <w:bottom w:val="single" w:sz="8" w:color="9DB8D2"/>
            </w:tcBorders>
            <w:shd w:val="clear" w:color="auto" w:fill="9DB8D2"/>
          </w:tcPr>
          <w:p>
            <w:pPr>
              <w:spacing w:after="0"/>
              <w:rPr>
                <w:sz w:val="21"/>
                <w:szCs w:val="21"/>
                <w:color w:val="auto"/>
              </w:rPr>
            </w:pPr>
          </w:p>
        </w:tc>
        <w:tc>
          <w:tcPr>
            <w:tcW w:w="200" w:type="dxa"/>
            <w:vAlign w:val="bottom"/>
            <w:tcBorders>
              <w:top w:val="single" w:sz="8" w:color="auto"/>
              <w:bottom w:val="single" w:sz="8" w:color="9DB8D2"/>
            </w:tcBorders>
            <w:shd w:val="clear" w:color="auto" w:fill="9DB8D2"/>
          </w:tcPr>
          <w:p>
            <w:pPr>
              <w:spacing w:after="0"/>
              <w:rPr>
                <w:sz w:val="21"/>
                <w:szCs w:val="21"/>
                <w:color w:val="auto"/>
              </w:rPr>
            </w:pPr>
          </w:p>
        </w:tc>
        <w:tc>
          <w:tcPr>
            <w:tcW w:w="60" w:type="dxa"/>
            <w:vAlign w:val="bottom"/>
            <w:tcBorders>
              <w:top w:val="single" w:sz="8" w:color="auto"/>
              <w:bottom w:val="single" w:sz="8" w:color="auto"/>
            </w:tcBorders>
            <w:shd w:val="clear" w:color="auto" w:fill="9DB8D2"/>
          </w:tcPr>
          <w:p>
            <w:pPr>
              <w:spacing w:after="0"/>
              <w:rPr>
                <w:sz w:val="21"/>
                <w:szCs w:val="21"/>
                <w:color w:val="auto"/>
              </w:rPr>
            </w:pPr>
          </w:p>
        </w:tc>
        <w:tc>
          <w:tcPr>
            <w:tcW w:w="700" w:type="dxa"/>
            <w:vAlign w:val="bottom"/>
            <w:tcBorders>
              <w:top w:val="single" w:sz="8" w:color="auto"/>
              <w:bottom w:val="single" w:sz="8" w:color="auto"/>
            </w:tcBorders>
            <w:shd w:val="clear" w:color="auto" w:fill="9DB8D2"/>
          </w:tcPr>
          <w:p>
            <w:pPr>
              <w:spacing w:after="0"/>
              <w:rPr>
                <w:sz w:val="21"/>
                <w:szCs w:val="21"/>
                <w:color w:val="auto"/>
              </w:rPr>
            </w:pPr>
          </w:p>
        </w:tc>
        <w:tc>
          <w:tcPr>
            <w:tcW w:w="280" w:type="dxa"/>
            <w:vAlign w:val="bottom"/>
            <w:tcBorders>
              <w:top w:val="single" w:sz="8" w:color="auto"/>
              <w:bottom w:val="single" w:sz="8" w:color="auto"/>
            </w:tcBorders>
            <w:shd w:val="clear" w:color="auto" w:fill="9DB8D2"/>
          </w:tcPr>
          <w:p>
            <w:pPr>
              <w:spacing w:after="0"/>
              <w:rPr>
                <w:sz w:val="21"/>
                <w:szCs w:val="21"/>
                <w:color w:val="auto"/>
              </w:rPr>
            </w:pPr>
          </w:p>
        </w:tc>
        <w:tc>
          <w:tcPr>
            <w:tcW w:w="800" w:type="dxa"/>
            <w:vAlign w:val="bottom"/>
            <w:tcBorders>
              <w:top w:val="single" w:sz="8" w:color="auto"/>
              <w:bottom w:val="single" w:sz="8" w:color="auto"/>
            </w:tcBorders>
            <w:shd w:val="clear" w:color="auto" w:fill="9DB8D2"/>
          </w:tcPr>
          <w:p>
            <w:pPr>
              <w:spacing w:after="0"/>
              <w:rPr>
                <w:sz w:val="21"/>
                <w:szCs w:val="21"/>
                <w:color w:val="auto"/>
              </w:rPr>
            </w:pPr>
          </w:p>
        </w:tc>
        <w:tc>
          <w:tcPr>
            <w:tcW w:w="1300" w:type="dxa"/>
            <w:vAlign w:val="bottom"/>
            <w:tcBorders>
              <w:top w:val="single" w:sz="8" w:color="auto"/>
              <w:bottom w:val="single" w:sz="8" w:color="auto"/>
            </w:tcBorders>
            <w:gridSpan w:val="3"/>
            <w:shd w:val="clear" w:color="auto" w:fill="9DB8D2"/>
          </w:tcPr>
          <w:p>
            <w:pPr>
              <w:ind w:left="40"/>
              <w:spacing w:after="0"/>
              <w:rPr>
                <w:sz w:val="20"/>
                <w:szCs w:val="20"/>
                <w:color w:val="auto"/>
              </w:rPr>
            </w:pPr>
            <w:r>
              <w:rPr>
                <w:rFonts w:ascii="Arial" w:cs="Arial" w:eastAsia="Arial" w:hAnsi="Arial"/>
                <w:sz w:val="13"/>
                <w:szCs w:val="13"/>
                <w:b w:val="1"/>
                <w:bCs w:val="1"/>
                <w:color w:val="auto"/>
              </w:rPr>
              <w:t>Option Awards</w:t>
            </w:r>
          </w:p>
        </w:tc>
        <w:tc>
          <w:tcPr>
            <w:tcW w:w="220" w:type="dxa"/>
            <w:vAlign w:val="bottom"/>
            <w:tcBorders>
              <w:top w:val="single" w:sz="8" w:color="auto"/>
              <w:bottom w:val="single" w:sz="8" w:color="auto"/>
            </w:tcBorders>
            <w:shd w:val="clear" w:color="auto" w:fill="9DB8D2"/>
          </w:tcPr>
          <w:p>
            <w:pPr>
              <w:spacing w:after="0"/>
              <w:rPr>
                <w:sz w:val="21"/>
                <w:szCs w:val="21"/>
                <w:color w:val="auto"/>
              </w:rPr>
            </w:pPr>
          </w:p>
        </w:tc>
        <w:tc>
          <w:tcPr>
            <w:tcW w:w="540" w:type="dxa"/>
            <w:vAlign w:val="bottom"/>
            <w:tcBorders>
              <w:top w:val="single" w:sz="8" w:color="auto"/>
              <w:bottom w:val="single" w:sz="8" w:color="auto"/>
            </w:tcBorders>
            <w:shd w:val="clear" w:color="auto" w:fill="9DB8D2"/>
          </w:tcPr>
          <w:p>
            <w:pPr>
              <w:spacing w:after="0"/>
              <w:rPr>
                <w:sz w:val="21"/>
                <w:szCs w:val="21"/>
                <w:color w:val="auto"/>
              </w:rPr>
            </w:pPr>
          </w:p>
        </w:tc>
        <w:tc>
          <w:tcPr>
            <w:tcW w:w="800" w:type="dxa"/>
            <w:vAlign w:val="bottom"/>
            <w:tcBorders>
              <w:top w:val="single" w:sz="8" w:color="auto"/>
              <w:bottom w:val="single" w:sz="8" w:color="auto"/>
            </w:tcBorders>
            <w:shd w:val="clear" w:color="auto" w:fill="9DB8D2"/>
          </w:tcPr>
          <w:p>
            <w:pPr>
              <w:spacing w:after="0"/>
              <w:rPr>
                <w:sz w:val="21"/>
                <w:szCs w:val="21"/>
                <w:color w:val="auto"/>
              </w:rPr>
            </w:pPr>
          </w:p>
        </w:tc>
        <w:tc>
          <w:tcPr>
            <w:tcW w:w="120" w:type="dxa"/>
            <w:vAlign w:val="bottom"/>
            <w:tcBorders>
              <w:top w:val="single" w:sz="8" w:color="auto"/>
              <w:bottom w:val="single" w:sz="8" w:color="9DB8D2"/>
            </w:tcBorders>
            <w:shd w:val="clear" w:color="auto" w:fill="9DB8D2"/>
          </w:tcPr>
          <w:p>
            <w:pPr>
              <w:spacing w:after="0"/>
              <w:rPr>
                <w:sz w:val="21"/>
                <w:szCs w:val="21"/>
                <w:color w:val="auto"/>
              </w:rPr>
            </w:pPr>
          </w:p>
        </w:tc>
        <w:tc>
          <w:tcPr>
            <w:tcW w:w="1000" w:type="dxa"/>
            <w:vAlign w:val="bottom"/>
            <w:tcBorders>
              <w:top w:val="single" w:sz="8" w:color="auto"/>
              <w:bottom w:val="single" w:sz="8" w:color="auto"/>
            </w:tcBorders>
            <w:shd w:val="clear" w:color="auto" w:fill="9DB8D2"/>
          </w:tcPr>
          <w:p>
            <w:pPr>
              <w:spacing w:after="0"/>
              <w:rPr>
                <w:sz w:val="21"/>
                <w:szCs w:val="21"/>
                <w:color w:val="auto"/>
              </w:rPr>
            </w:pPr>
          </w:p>
        </w:tc>
        <w:tc>
          <w:tcPr>
            <w:tcW w:w="220" w:type="dxa"/>
            <w:vAlign w:val="bottom"/>
            <w:tcBorders>
              <w:top w:val="single" w:sz="8" w:color="auto"/>
              <w:bottom w:val="single" w:sz="8" w:color="auto"/>
            </w:tcBorders>
            <w:shd w:val="clear" w:color="auto" w:fill="9DB8D2"/>
          </w:tcPr>
          <w:p>
            <w:pPr>
              <w:spacing w:after="0"/>
              <w:rPr>
                <w:sz w:val="21"/>
                <w:szCs w:val="21"/>
                <w:color w:val="auto"/>
              </w:rPr>
            </w:pPr>
          </w:p>
        </w:tc>
        <w:tc>
          <w:tcPr>
            <w:tcW w:w="1900" w:type="dxa"/>
            <w:vAlign w:val="bottom"/>
            <w:tcBorders>
              <w:top w:val="single" w:sz="8" w:color="auto"/>
              <w:bottom w:val="single" w:sz="8" w:color="auto"/>
            </w:tcBorders>
            <w:gridSpan w:val="2"/>
            <w:shd w:val="clear" w:color="auto" w:fill="9DB8D2"/>
          </w:tcPr>
          <w:p>
            <w:pPr>
              <w:jc w:val="right"/>
              <w:ind w:right="614"/>
              <w:spacing w:after="0"/>
              <w:rPr>
                <w:sz w:val="20"/>
                <w:szCs w:val="20"/>
                <w:color w:val="auto"/>
              </w:rPr>
            </w:pPr>
            <w:r>
              <w:rPr>
                <w:rFonts w:ascii="Arial" w:cs="Arial" w:eastAsia="Arial" w:hAnsi="Arial"/>
                <w:sz w:val="13"/>
                <w:szCs w:val="13"/>
                <w:b w:val="1"/>
                <w:bCs w:val="1"/>
                <w:color w:val="auto"/>
              </w:rPr>
              <w:t>Stock Awards</w:t>
            </w:r>
          </w:p>
        </w:tc>
        <w:tc>
          <w:tcPr>
            <w:tcW w:w="180" w:type="dxa"/>
            <w:vAlign w:val="bottom"/>
            <w:tcBorders>
              <w:top w:val="single" w:sz="8" w:color="auto"/>
              <w:bottom w:val="single" w:sz="8" w:color="auto"/>
            </w:tcBorders>
            <w:shd w:val="clear" w:color="auto" w:fill="9DB8D2"/>
          </w:tcPr>
          <w:p>
            <w:pPr>
              <w:spacing w:after="0"/>
              <w:rPr>
                <w:sz w:val="21"/>
                <w:szCs w:val="21"/>
                <w:color w:val="auto"/>
              </w:rPr>
            </w:pPr>
          </w:p>
        </w:tc>
        <w:tc>
          <w:tcPr>
            <w:tcW w:w="880" w:type="dxa"/>
            <w:vAlign w:val="bottom"/>
            <w:tcBorders>
              <w:top w:val="single" w:sz="8" w:color="auto"/>
              <w:bottom w:val="single" w:sz="8" w:color="auto"/>
            </w:tcBorders>
            <w:shd w:val="clear" w:color="auto" w:fill="9DB8D2"/>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820" w:type="dxa"/>
            <w:vAlign w:val="bottom"/>
            <w:shd w:val="clear" w:color="auto" w:fill="9DB8D2"/>
          </w:tcPr>
          <w:p>
            <w:pPr>
              <w:spacing w:after="0"/>
              <w:rPr>
                <w:sz w:val="17"/>
                <w:szCs w:val="17"/>
                <w:color w:val="auto"/>
              </w:rPr>
            </w:pPr>
          </w:p>
        </w:tc>
        <w:tc>
          <w:tcPr>
            <w:tcW w:w="200" w:type="dxa"/>
            <w:vAlign w:val="bottom"/>
            <w:shd w:val="clear" w:color="auto" w:fill="9DB8D2"/>
          </w:tcPr>
          <w:p>
            <w:pPr>
              <w:spacing w:after="0"/>
              <w:rPr>
                <w:sz w:val="17"/>
                <w:szCs w:val="17"/>
                <w:color w:val="auto"/>
              </w:rPr>
            </w:pPr>
          </w:p>
        </w:tc>
        <w:tc>
          <w:tcPr>
            <w:tcW w:w="60" w:type="dxa"/>
            <w:vAlign w:val="bottom"/>
            <w:shd w:val="clear" w:color="auto" w:fill="9DB8D2"/>
          </w:tcPr>
          <w:p>
            <w:pPr>
              <w:spacing w:after="0"/>
              <w:rPr>
                <w:sz w:val="17"/>
                <w:szCs w:val="17"/>
                <w:color w:val="auto"/>
              </w:rPr>
            </w:pPr>
          </w:p>
        </w:tc>
        <w:tc>
          <w:tcPr>
            <w:tcW w:w="700" w:type="dxa"/>
            <w:vAlign w:val="bottom"/>
            <w:shd w:val="clear" w:color="auto" w:fill="9DB8D2"/>
          </w:tcPr>
          <w:p>
            <w:pPr>
              <w:spacing w:after="0"/>
              <w:rPr>
                <w:sz w:val="17"/>
                <w:szCs w:val="17"/>
                <w:color w:val="auto"/>
              </w:rPr>
            </w:pPr>
          </w:p>
        </w:tc>
        <w:tc>
          <w:tcPr>
            <w:tcW w:w="280" w:type="dxa"/>
            <w:vAlign w:val="bottom"/>
            <w:shd w:val="clear" w:color="auto" w:fill="9DB8D2"/>
          </w:tcPr>
          <w:p>
            <w:pPr>
              <w:spacing w:after="0"/>
              <w:rPr>
                <w:sz w:val="17"/>
                <w:szCs w:val="17"/>
                <w:color w:val="auto"/>
              </w:rPr>
            </w:pPr>
          </w:p>
        </w:tc>
        <w:tc>
          <w:tcPr>
            <w:tcW w:w="800" w:type="dxa"/>
            <w:vAlign w:val="bottom"/>
            <w:shd w:val="clear" w:color="auto" w:fill="9DB8D2"/>
          </w:tcPr>
          <w:p>
            <w:pPr>
              <w:spacing w:after="0"/>
              <w:rPr>
                <w:sz w:val="17"/>
                <w:szCs w:val="17"/>
                <w:color w:val="auto"/>
              </w:rPr>
            </w:pPr>
          </w:p>
        </w:tc>
        <w:tc>
          <w:tcPr>
            <w:tcW w:w="200" w:type="dxa"/>
            <w:vAlign w:val="bottom"/>
            <w:shd w:val="clear" w:color="auto" w:fill="9DB8D2"/>
          </w:tcPr>
          <w:p>
            <w:pPr>
              <w:spacing w:after="0"/>
              <w:rPr>
                <w:sz w:val="17"/>
                <w:szCs w:val="17"/>
                <w:color w:val="auto"/>
              </w:rPr>
            </w:pPr>
          </w:p>
        </w:tc>
        <w:tc>
          <w:tcPr>
            <w:tcW w:w="260" w:type="dxa"/>
            <w:vAlign w:val="bottom"/>
            <w:shd w:val="clear" w:color="auto" w:fill="9DB8D2"/>
          </w:tcPr>
          <w:p>
            <w:pPr>
              <w:spacing w:after="0"/>
              <w:rPr>
                <w:sz w:val="17"/>
                <w:szCs w:val="17"/>
                <w:color w:val="auto"/>
              </w:rPr>
            </w:pPr>
          </w:p>
        </w:tc>
        <w:tc>
          <w:tcPr>
            <w:tcW w:w="840" w:type="dxa"/>
            <w:vAlign w:val="bottom"/>
            <w:shd w:val="clear" w:color="auto" w:fill="9DB8D2"/>
          </w:tcPr>
          <w:p>
            <w:pPr>
              <w:spacing w:after="0"/>
              <w:rPr>
                <w:sz w:val="17"/>
                <w:szCs w:val="17"/>
                <w:color w:val="auto"/>
              </w:rPr>
            </w:pPr>
          </w:p>
        </w:tc>
        <w:tc>
          <w:tcPr>
            <w:tcW w:w="220" w:type="dxa"/>
            <w:vAlign w:val="bottom"/>
            <w:shd w:val="clear" w:color="auto" w:fill="9DB8D2"/>
          </w:tcPr>
          <w:p>
            <w:pPr>
              <w:spacing w:after="0"/>
              <w:rPr>
                <w:sz w:val="17"/>
                <w:szCs w:val="17"/>
                <w:color w:val="auto"/>
              </w:rPr>
            </w:pPr>
          </w:p>
        </w:tc>
        <w:tc>
          <w:tcPr>
            <w:tcW w:w="540" w:type="dxa"/>
            <w:vAlign w:val="bottom"/>
            <w:shd w:val="clear" w:color="auto" w:fill="9DB8D2"/>
          </w:tcPr>
          <w:p>
            <w:pPr>
              <w:spacing w:after="0"/>
              <w:rPr>
                <w:sz w:val="17"/>
                <w:szCs w:val="17"/>
                <w:color w:val="auto"/>
              </w:rPr>
            </w:pPr>
          </w:p>
        </w:tc>
        <w:tc>
          <w:tcPr>
            <w:tcW w:w="800" w:type="dxa"/>
            <w:vAlign w:val="bottom"/>
            <w:shd w:val="clear" w:color="auto" w:fill="9DB8D2"/>
          </w:tcPr>
          <w:p>
            <w:pPr>
              <w:spacing w:after="0"/>
              <w:rPr>
                <w:sz w:val="17"/>
                <w:szCs w:val="17"/>
                <w:color w:val="auto"/>
              </w:rPr>
            </w:pPr>
          </w:p>
        </w:tc>
        <w:tc>
          <w:tcPr>
            <w:tcW w:w="120" w:type="dxa"/>
            <w:vAlign w:val="bottom"/>
            <w:shd w:val="clear" w:color="auto" w:fill="9DB8D2"/>
          </w:tcPr>
          <w:p>
            <w:pPr>
              <w:spacing w:after="0"/>
              <w:rPr>
                <w:sz w:val="17"/>
                <w:szCs w:val="17"/>
                <w:color w:val="auto"/>
              </w:rPr>
            </w:pPr>
          </w:p>
        </w:tc>
        <w:tc>
          <w:tcPr>
            <w:tcW w:w="1000" w:type="dxa"/>
            <w:vAlign w:val="bottom"/>
            <w:shd w:val="clear" w:color="auto" w:fill="9DB8D2"/>
          </w:tcPr>
          <w:p>
            <w:pPr>
              <w:spacing w:after="0"/>
              <w:rPr>
                <w:sz w:val="17"/>
                <w:szCs w:val="17"/>
                <w:color w:val="auto"/>
              </w:rPr>
            </w:pPr>
          </w:p>
        </w:tc>
        <w:tc>
          <w:tcPr>
            <w:tcW w:w="220" w:type="dxa"/>
            <w:vAlign w:val="bottom"/>
            <w:shd w:val="clear" w:color="auto" w:fill="9DB8D2"/>
          </w:tcPr>
          <w:p>
            <w:pPr>
              <w:spacing w:after="0"/>
              <w:rPr>
                <w:sz w:val="17"/>
                <w:szCs w:val="17"/>
                <w:color w:val="auto"/>
              </w:rPr>
            </w:pPr>
          </w:p>
        </w:tc>
        <w:tc>
          <w:tcPr>
            <w:tcW w:w="680" w:type="dxa"/>
            <w:vAlign w:val="bottom"/>
            <w:shd w:val="clear" w:color="auto" w:fill="9DB8D2"/>
          </w:tcPr>
          <w:p>
            <w:pPr>
              <w:spacing w:after="0"/>
              <w:rPr>
                <w:sz w:val="17"/>
                <w:szCs w:val="17"/>
                <w:color w:val="auto"/>
              </w:rPr>
            </w:pPr>
          </w:p>
        </w:tc>
        <w:tc>
          <w:tcPr>
            <w:tcW w:w="1220" w:type="dxa"/>
            <w:vAlign w:val="bottom"/>
            <w:vMerge w:val="restart"/>
            <w:shd w:val="clear" w:color="auto" w:fill="9DB8D2"/>
          </w:tcPr>
          <w:p>
            <w:pPr>
              <w:jc w:val="center"/>
              <w:ind w:right="174"/>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shd w:val="clear" w:color="auto" w:fill="9DB8D2"/>
          </w:tcPr>
          <w:p>
            <w:pPr>
              <w:spacing w:after="0"/>
              <w:rPr>
                <w:sz w:val="17"/>
                <w:szCs w:val="17"/>
                <w:color w:val="auto"/>
              </w:rPr>
            </w:pPr>
          </w:p>
        </w:tc>
        <w:tc>
          <w:tcPr>
            <w:tcW w:w="880" w:type="dxa"/>
            <w:vAlign w:val="bottom"/>
            <w:shd w:val="clear" w:color="auto" w:fill="9DB8D2"/>
          </w:tcPr>
          <w:p>
            <w:pPr>
              <w:jc w:val="center"/>
              <w:ind w:right="154"/>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35"/>
        </w:trPr>
        <w:tc>
          <w:tcPr>
            <w:tcW w:w="182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28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840" w:type="dxa"/>
            <w:vAlign w:val="bottom"/>
            <w:shd w:val="clear" w:color="auto" w:fill="9DB8D2"/>
          </w:tcPr>
          <w:p>
            <w:pPr>
              <w:spacing w:after="0"/>
              <w:rPr>
                <w:sz w:val="11"/>
                <w:szCs w:val="11"/>
                <w:color w:val="auto"/>
              </w:rPr>
            </w:pPr>
          </w:p>
        </w:tc>
        <w:tc>
          <w:tcPr>
            <w:tcW w:w="22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220" w:type="dxa"/>
            <w:vAlign w:val="bottom"/>
            <w:shd w:val="clear" w:color="auto" w:fill="9DB8D2"/>
          </w:tcPr>
          <w:p>
            <w:pPr>
              <w:spacing w:after="0"/>
              <w:rPr>
                <w:sz w:val="11"/>
                <w:szCs w:val="11"/>
                <w:color w:val="auto"/>
              </w:rPr>
            </w:pPr>
          </w:p>
        </w:tc>
        <w:tc>
          <w:tcPr>
            <w:tcW w:w="680" w:type="dxa"/>
            <w:vAlign w:val="bottom"/>
            <w:shd w:val="clear" w:color="auto" w:fill="9DB8D2"/>
          </w:tcPr>
          <w:p>
            <w:pPr>
              <w:spacing w:after="0"/>
              <w:rPr>
                <w:sz w:val="11"/>
                <w:szCs w:val="11"/>
                <w:color w:val="auto"/>
              </w:rPr>
            </w:pPr>
          </w:p>
        </w:tc>
        <w:tc>
          <w:tcPr>
            <w:tcW w:w="1220" w:type="dxa"/>
            <w:vAlign w:val="bottom"/>
            <w:vMerge w:val="continue"/>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4"/>
              <w:spacing w:after="0" w:line="135" w:lineRule="exact"/>
              <w:rPr>
                <w:sz w:val="20"/>
                <w:szCs w:val="20"/>
                <w:color w:val="auto"/>
              </w:rPr>
            </w:pPr>
            <w:r>
              <w:rPr>
                <w:rFonts w:ascii="Arial" w:cs="Arial" w:eastAsia="Arial" w:hAnsi="Arial"/>
                <w:sz w:val="13"/>
                <w:szCs w:val="13"/>
                <w:b w:val="1"/>
                <w:bCs w:val="1"/>
                <w:color w:val="auto"/>
                <w:w w:val="95"/>
              </w:rPr>
              <w:t>Incentive</w:t>
            </w:r>
          </w:p>
        </w:tc>
        <w:tc>
          <w:tcPr>
            <w:tcW w:w="0" w:type="dxa"/>
            <w:vAlign w:val="bottom"/>
          </w:tcPr>
          <w:p>
            <w:pPr>
              <w:spacing w:after="0"/>
              <w:rPr>
                <w:sz w:val="1"/>
                <w:szCs w:val="1"/>
                <w:color w:val="auto"/>
              </w:rPr>
            </w:pPr>
          </w:p>
        </w:tc>
      </w:tr>
      <w:tr>
        <w:trPr>
          <w:trHeight w:val="135"/>
        </w:trPr>
        <w:tc>
          <w:tcPr>
            <w:tcW w:w="182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28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840" w:type="dxa"/>
            <w:vAlign w:val="bottom"/>
            <w:vMerge w:val="restart"/>
            <w:shd w:val="clear" w:color="auto" w:fill="9DB8D2"/>
          </w:tcPr>
          <w:p>
            <w:pPr>
              <w:jc w:val="center"/>
              <w:ind w:right="114"/>
              <w:spacing w:after="0"/>
              <w:rPr>
                <w:sz w:val="20"/>
                <w:szCs w:val="20"/>
                <w:color w:val="auto"/>
              </w:rPr>
            </w:pPr>
            <w:r>
              <w:rPr>
                <w:rFonts w:ascii="Arial" w:cs="Arial" w:eastAsia="Arial" w:hAnsi="Arial"/>
                <w:sz w:val="13"/>
                <w:szCs w:val="13"/>
                <w:b w:val="1"/>
                <w:bCs w:val="1"/>
                <w:color w:val="auto"/>
                <w:w w:val="95"/>
              </w:rPr>
              <w:t>Equity</w:t>
            </w:r>
          </w:p>
        </w:tc>
        <w:tc>
          <w:tcPr>
            <w:tcW w:w="22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220" w:type="dxa"/>
            <w:vAlign w:val="bottom"/>
            <w:shd w:val="clear" w:color="auto" w:fill="9DB8D2"/>
          </w:tcPr>
          <w:p>
            <w:pPr>
              <w:spacing w:after="0"/>
              <w:rPr>
                <w:sz w:val="11"/>
                <w:szCs w:val="11"/>
                <w:color w:val="auto"/>
              </w:rPr>
            </w:pPr>
          </w:p>
        </w:tc>
        <w:tc>
          <w:tcPr>
            <w:tcW w:w="680" w:type="dxa"/>
            <w:vAlign w:val="bottom"/>
            <w:shd w:val="clear" w:color="auto" w:fill="9DB8D2"/>
          </w:tcPr>
          <w:p>
            <w:pPr>
              <w:spacing w:after="0"/>
              <w:rPr>
                <w:sz w:val="11"/>
                <w:szCs w:val="11"/>
                <w:color w:val="auto"/>
              </w:rPr>
            </w:pP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5"/>
              </w:rPr>
              <w:t>Incentive</w:t>
            </w:r>
          </w:p>
        </w:tc>
        <w:tc>
          <w:tcPr>
            <w:tcW w:w="1060" w:type="dxa"/>
            <w:vAlign w:val="bottom"/>
            <w:gridSpan w:val="2"/>
            <w:shd w:val="clear" w:color="auto" w:fill="9DB8D2"/>
          </w:tcPr>
          <w:p>
            <w:pPr>
              <w:ind w:left="120"/>
              <w:spacing w:after="0" w:line="135" w:lineRule="exact"/>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35"/>
        </w:trPr>
        <w:tc>
          <w:tcPr>
            <w:tcW w:w="182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28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840" w:type="dxa"/>
            <w:vAlign w:val="bottom"/>
            <w:vMerge w:val="continue"/>
            <w:shd w:val="clear" w:color="auto" w:fill="9DB8D2"/>
          </w:tcPr>
          <w:p>
            <w:pPr>
              <w:spacing w:after="0"/>
              <w:rPr>
                <w:sz w:val="11"/>
                <w:szCs w:val="11"/>
                <w:color w:val="auto"/>
              </w:rPr>
            </w:pPr>
          </w:p>
        </w:tc>
        <w:tc>
          <w:tcPr>
            <w:tcW w:w="22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220" w:type="dxa"/>
            <w:vAlign w:val="bottom"/>
            <w:shd w:val="clear" w:color="auto" w:fill="9DB8D2"/>
          </w:tcPr>
          <w:p>
            <w:pPr>
              <w:spacing w:after="0"/>
              <w:rPr>
                <w:sz w:val="11"/>
                <w:szCs w:val="11"/>
                <w:color w:val="auto"/>
              </w:rPr>
            </w:pPr>
          </w:p>
        </w:tc>
        <w:tc>
          <w:tcPr>
            <w:tcW w:w="680" w:type="dxa"/>
            <w:vAlign w:val="bottom"/>
            <w:vMerge w:val="restart"/>
            <w:shd w:val="clear" w:color="auto" w:fill="9DB8D2"/>
          </w:tcPr>
          <w:p>
            <w:pPr>
              <w:jc w:val="center"/>
              <w:ind w:right="113"/>
              <w:spacing w:after="0"/>
              <w:rPr>
                <w:sz w:val="20"/>
                <w:szCs w:val="20"/>
                <w:color w:val="auto"/>
              </w:rPr>
            </w:pPr>
            <w:r>
              <w:rPr>
                <w:rFonts w:ascii="Arial" w:cs="Arial" w:eastAsia="Arial" w:hAnsi="Arial"/>
                <w:sz w:val="13"/>
                <w:szCs w:val="13"/>
                <w:b w:val="1"/>
                <w:bCs w:val="1"/>
                <w:color w:val="auto"/>
              </w:rPr>
              <w:t>Market</w:t>
            </w: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4"/>
              </w:rPr>
              <w:t>Plan Awards:</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4"/>
              <w:spacing w:after="0" w:line="135" w:lineRule="exact"/>
              <w:rPr>
                <w:sz w:val="20"/>
                <w:szCs w:val="20"/>
                <w:color w:val="auto"/>
              </w:rPr>
            </w:pPr>
            <w:r>
              <w:rPr>
                <w:rFonts w:ascii="Arial" w:cs="Arial" w:eastAsia="Arial" w:hAnsi="Arial"/>
                <w:sz w:val="13"/>
                <w:szCs w:val="13"/>
                <w:b w:val="1"/>
                <w:bCs w:val="1"/>
                <w:color w:val="auto"/>
                <w:w w:val="99"/>
              </w:rPr>
              <w:t>Market or</w:t>
            </w:r>
          </w:p>
        </w:tc>
        <w:tc>
          <w:tcPr>
            <w:tcW w:w="0" w:type="dxa"/>
            <w:vAlign w:val="bottom"/>
          </w:tcPr>
          <w:p>
            <w:pPr>
              <w:spacing w:after="0"/>
              <w:rPr>
                <w:sz w:val="1"/>
                <w:szCs w:val="1"/>
                <w:color w:val="auto"/>
              </w:rPr>
            </w:pPr>
          </w:p>
        </w:tc>
      </w:tr>
      <w:tr>
        <w:trPr>
          <w:trHeight w:val="135"/>
        </w:trPr>
        <w:tc>
          <w:tcPr>
            <w:tcW w:w="182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vMerge w:val="restart"/>
            <w:shd w:val="clear" w:color="auto" w:fill="9DB8D2"/>
          </w:tcPr>
          <w:p>
            <w:pPr>
              <w:jc w:val="center"/>
              <w:ind w:right="13"/>
              <w:spacing w:after="0"/>
              <w:rPr>
                <w:sz w:val="20"/>
                <w:szCs w:val="20"/>
                <w:color w:val="auto"/>
              </w:rPr>
            </w:pPr>
            <w:r>
              <w:rPr>
                <w:rFonts w:ascii="Arial" w:cs="Arial" w:eastAsia="Arial" w:hAnsi="Arial"/>
                <w:sz w:val="13"/>
                <w:szCs w:val="13"/>
                <w:b w:val="1"/>
                <w:bCs w:val="1"/>
                <w:color w:val="auto"/>
                <w:w w:val="95"/>
              </w:rPr>
              <w:t>Number of</w:t>
            </w:r>
          </w:p>
        </w:tc>
        <w:tc>
          <w:tcPr>
            <w:tcW w:w="280" w:type="dxa"/>
            <w:vAlign w:val="bottom"/>
            <w:shd w:val="clear" w:color="auto" w:fill="9DB8D2"/>
          </w:tcPr>
          <w:p>
            <w:pPr>
              <w:spacing w:after="0"/>
              <w:rPr>
                <w:sz w:val="11"/>
                <w:szCs w:val="11"/>
                <w:color w:val="auto"/>
              </w:rPr>
            </w:pPr>
          </w:p>
        </w:tc>
        <w:tc>
          <w:tcPr>
            <w:tcW w:w="1000" w:type="dxa"/>
            <w:vAlign w:val="bottom"/>
            <w:gridSpan w:val="2"/>
            <w:vMerge w:val="restart"/>
            <w:shd w:val="clear" w:color="auto" w:fill="9DB8D2"/>
          </w:tcPr>
          <w:p>
            <w:pPr>
              <w:jc w:val="center"/>
              <w:ind w:right="197"/>
              <w:spacing w:after="0"/>
              <w:rPr>
                <w:sz w:val="20"/>
                <w:szCs w:val="20"/>
                <w:color w:val="auto"/>
              </w:rPr>
            </w:pPr>
            <w:r>
              <w:rPr>
                <w:rFonts w:ascii="Arial" w:cs="Arial" w:eastAsia="Arial" w:hAnsi="Arial"/>
                <w:sz w:val="13"/>
                <w:szCs w:val="13"/>
                <w:b w:val="1"/>
                <w:bCs w:val="1"/>
                <w:color w:val="auto"/>
                <w:w w:val="95"/>
              </w:rPr>
              <w:t>Number of</w:t>
            </w:r>
          </w:p>
        </w:tc>
        <w:tc>
          <w:tcPr>
            <w:tcW w:w="260" w:type="dxa"/>
            <w:vAlign w:val="bottom"/>
            <w:shd w:val="clear" w:color="auto" w:fill="9DB8D2"/>
          </w:tcPr>
          <w:p>
            <w:pPr>
              <w:spacing w:after="0"/>
              <w:rPr>
                <w:sz w:val="11"/>
                <w:szCs w:val="11"/>
                <w:color w:val="auto"/>
              </w:rPr>
            </w:pPr>
          </w:p>
        </w:tc>
        <w:tc>
          <w:tcPr>
            <w:tcW w:w="840" w:type="dxa"/>
            <w:vAlign w:val="bottom"/>
            <w:shd w:val="clear" w:color="auto" w:fill="9DB8D2"/>
          </w:tcPr>
          <w:p>
            <w:pPr>
              <w:jc w:val="center"/>
              <w:ind w:right="114"/>
              <w:spacing w:after="0" w:line="135" w:lineRule="exact"/>
              <w:rPr>
                <w:sz w:val="20"/>
                <w:szCs w:val="20"/>
                <w:color w:val="auto"/>
              </w:rPr>
            </w:pPr>
            <w:r>
              <w:rPr>
                <w:rFonts w:ascii="Arial" w:cs="Arial" w:eastAsia="Arial" w:hAnsi="Arial"/>
                <w:sz w:val="13"/>
                <w:szCs w:val="13"/>
                <w:b w:val="1"/>
                <w:bCs w:val="1"/>
                <w:color w:val="auto"/>
                <w:w w:val="95"/>
              </w:rPr>
              <w:t>Incentive</w:t>
            </w:r>
          </w:p>
        </w:tc>
        <w:tc>
          <w:tcPr>
            <w:tcW w:w="22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vMerge w:val="restart"/>
            <w:shd w:val="clear" w:color="auto" w:fill="9DB8D2"/>
          </w:tcPr>
          <w:p>
            <w:pPr>
              <w:jc w:val="center"/>
              <w:ind w:right="294"/>
              <w:spacing w:after="0"/>
              <w:rPr>
                <w:sz w:val="20"/>
                <w:szCs w:val="20"/>
                <w:color w:val="auto"/>
              </w:rPr>
            </w:pPr>
            <w:r>
              <w:rPr>
                <w:rFonts w:ascii="Arial" w:cs="Arial" w:eastAsia="Arial" w:hAnsi="Arial"/>
                <w:sz w:val="13"/>
                <w:szCs w:val="13"/>
                <w:b w:val="1"/>
                <w:bCs w:val="1"/>
                <w:color w:val="auto"/>
                <w:w w:val="97"/>
              </w:rPr>
              <w:t>Number</w:t>
            </w:r>
          </w:p>
        </w:tc>
        <w:tc>
          <w:tcPr>
            <w:tcW w:w="220" w:type="dxa"/>
            <w:vAlign w:val="bottom"/>
            <w:shd w:val="clear" w:color="auto" w:fill="9DB8D2"/>
          </w:tcPr>
          <w:p>
            <w:pPr>
              <w:spacing w:after="0"/>
              <w:rPr>
                <w:sz w:val="11"/>
                <w:szCs w:val="11"/>
                <w:color w:val="auto"/>
              </w:rPr>
            </w:pPr>
          </w:p>
        </w:tc>
        <w:tc>
          <w:tcPr>
            <w:tcW w:w="680" w:type="dxa"/>
            <w:vAlign w:val="bottom"/>
            <w:vMerge w:val="continue"/>
            <w:shd w:val="clear" w:color="auto" w:fill="9DB8D2"/>
          </w:tcPr>
          <w:p>
            <w:pPr>
              <w:spacing w:after="0"/>
              <w:rPr>
                <w:sz w:val="11"/>
                <w:szCs w:val="11"/>
                <w:color w:val="auto"/>
              </w:rPr>
            </w:pP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5"/>
              </w:rPr>
              <w:t>Number of</w:t>
            </w:r>
          </w:p>
        </w:tc>
        <w:tc>
          <w:tcPr>
            <w:tcW w:w="1060" w:type="dxa"/>
            <w:vAlign w:val="bottom"/>
            <w:gridSpan w:val="2"/>
            <w:shd w:val="clear" w:color="auto" w:fill="9DB8D2"/>
          </w:tcPr>
          <w:p>
            <w:pPr>
              <w:ind w:left="120"/>
              <w:spacing w:after="0" w:line="135" w:lineRule="exact"/>
              <w:rPr>
                <w:sz w:val="20"/>
                <w:szCs w:val="20"/>
                <w:color w:val="auto"/>
              </w:rPr>
            </w:pPr>
            <w:r>
              <w:rPr>
                <w:rFonts w:ascii="Arial" w:cs="Arial" w:eastAsia="Arial" w:hAnsi="Arial"/>
                <w:sz w:val="13"/>
                <w:szCs w:val="13"/>
                <w:b w:val="1"/>
                <w:bCs w:val="1"/>
                <w:color w:val="auto"/>
              </w:rPr>
              <w:t>Payout Value</w:t>
            </w:r>
          </w:p>
        </w:tc>
        <w:tc>
          <w:tcPr>
            <w:tcW w:w="0" w:type="dxa"/>
            <w:vAlign w:val="bottom"/>
          </w:tcPr>
          <w:p>
            <w:pPr>
              <w:spacing w:after="0"/>
              <w:rPr>
                <w:sz w:val="1"/>
                <w:szCs w:val="1"/>
                <w:color w:val="auto"/>
              </w:rPr>
            </w:pPr>
          </w:p>
        </w:tc>
      </w:tr>
      <w:tr>
        <w:trPr>
          <w:trHeight w:val="135"/>
        </w:trPr>
        <w:tc>
          <w:tcPr>
            <w:tcW w:w="182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vMerge w:val="continue"/>
            <w:shd w:val="clear" w:color="auto" w:fill="9DB8D2"/>
          </w:tcPr>
          <w:p>
            <w:pPr>
              <w:spacing w:after="0"/>
              <w:rPr>
                <w:sz w:val="11"/>
                <w:szCs w:val="11"/>
                <w:color w:val="auto"/>
              </w:rPr>
            </w:pPr>
          </w:p>
        </w:tc>
        <w:tc>
          <w:tcPr>
            <w:tcW w:w="280" w:type="dxa"/>
            <w:vAlign w:val="bottom"/>
            <w:shd w:val="clear" w:color="auto" w:fill="9DB8D2"/>
          </w:tcPr>
          <w:p>
            <w:pPr>
              <w:spacing w:after="0"/>
              <w:rPr>
                <w:sz w:val="11"/>
                <w:szCs w:val="11"/>
                <w:color w:val="auto"/>
              </w:rPr>
            </w:pPr>
          </w:p>
        </w:tc>
        <w:tc>
          <w:tcPr>
            <w:tcW w:w="1000" w:type="dxa"/>
            <w:vAlign w:val="bottom"/>
            <w:gridSpan w:val="2"/>
            <w:vMerge w:val="continue"/>
            <w:shd w:val="clear" w:color="auto" w:fill="9DB8D2"/>
          </w:tcPr>
          <w:p>
            <w:pPr>
              <w:spacing w:after="0"/>
              <w:rPr>
                <w:sz w:val="11"/>
                <w:szCs w:val="11"/>
                <w:color w:val="auto"/>
              </w:rPr>
            </w:pPr>
          </w:p>
        </w:tc>
        <w:tc>
          <w:tcPr>
            <w:tcW w:w="1100" w:type="dxa"/>
            <w:vAlign w:val="bottom"/>
            <w:gridSpan w:val="2"/>
            <w:shd w:val="clear" w:color="auto" w:fill="9DB8D2"/>
          </w:tcPr>
          <w:p>
            <w:pPr>
              <w:jc w:val="center"/>
              <w:ind w:left="17"/>
              <w:spacing w:after="0" w:line="135" w:lineRule="exact"/>
              <w:rPr>
                <w:sz w:val="20"/>
                <w:szCs w:val="20"/>
                <w:color w:val="auto"/>
              </w:rPr>
            </w:pPr>
            <w:r>
              <w:rPr>
                <w:rFonts w:ascii="Arial" w:cs="Arial" w:eastAsia="Arial" w:hAnsi="Arial"/>
                <w:sz w:val="13"/>
                <w:szCs w:val="13"/>
                <w:b w:val="1"/>
                <w:bCs w:val="1"/>
                <w:color w:val="auto"/>
                <w:w w:val="94"/>
              </w:rPr>
              <w:t>Plan Awards:</w:t>
            </w:r>
          </w:p>
        </w:tc>
        <w:tc>
          <w:tcPr>
            <w:tcW w:w="22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vMerge w:val="continue"/>
            <w:shd w:val="clear" w:color="auto" w:fill="9DB8D2"/>
          </w:tcPr>
          <w:p>
            <w:pPr>
              <w:spacing w:after="0"/>
              <w:rPr>
                <w:sz w:val="11"/>
                <w:szCs w:val="11"/>
                <w:color w:val="auto"/>
              </w:rPr>
            </w:pPr>
          </w:p>
        </w:tc>
        <w:tc>
          <w:tcPr>
            <w:tcW w:w="220" w:type="dxa"/>
            <w:vAlign w:val="bottom"/>
            <w:shd w:val="clear" w:color="auto" w:fill="9DB8D2"/>
          </w:tcPr>
          <w:p>
            <w:pPr>
              <w:spacing w:after="0"/>
              <w:rPr>
                <w:sz w:val="11"/>
                <w:szCs w:val="11"/>
                <w:color w:val="auto"/>
              </w:rPr>
            </w:pPr>
          </w:p>
        </w:tc>
        <w:tc>
          <w:tcPr>
            <w:tcW w:w="680" w:type="dxa"/>
            <w:vAlign w:val="bottom"/>
            <w:shd w:val="clear" w:color="auto" w:fill="9DB8D2"/>
          </w:tcPr>
          <w:p>
            <w:pPr>
              <w:jc w:val="center"/>
              <w:ind w:right="113"/>
              <w:spacing w:after="0" w:line="135" w:lineRule="exact"/>
              <w:rPr>
                <w:sz w:val="20"/>
                <w:szCs w:val="20"/>
                <w:color w:val="auto"/>
              </w:rPr>
            </w:pPr>
            <w:r>
              <w:rPr>
                <w:rFonts w:ascii="Arial" w:cs="Arial" w:eastAsia="Arial" w:hAnsi="Arial"/>
                <w:sz w:val="13"/>
                <w:szCs w:val="13"/>
                <w:b w:val="1"/>
                <w:bCs w:val="1"/>
                <w:color w:val="auto"/>
                <w:w w:val="97"/>
              </w:rPr>
              <w:t>Value</w:t>
            </w: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6"/>
              </w:rPr>
              <w:t>Unearned</w:t>
            </w:r>
          </w:p>
        </w:tc>
        <w:tc>
          <w:tcPr>
            <w:tcW w:w="106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of Unearned</w:t>
            </w:r>
          </w:p>
        </w:tc>
        <w:tc>
          <w:tcPr>
            <w:tcW w:w="0" w:type="dxa"/>
            <w:vAlign w:val="bottom"/>
          </w:tcPr>
          <w:p>
            <w:pPr>
              <w:spacing w:after="0"/>
              <w:rPr>
                <w:sz w:val="1"/>
                <w:szCs w:val="1"/>
                <w:color w:val="auto"/>
              </w:rPr>
            </w:pPr>
          </w:p>
        </w:tc>
      </w:tr>
      <w:tr>
        <w:trPr>
          <w:trHeight w:val="135"/>
        </w:trPr>
        <w:tc>
          <w:tcPr>
            <w:tcW w:w="182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shd w:val="clear" w:color="auto" w:fill="9DB8D2"/>
          </w:tcPr>
          <w:p>
            <w:pPr>
              <w:jc w:val="center"/>
              <w:ind w:right="33"/>
              <w:spacing w:after="0" w:line="135" w:lineRule="exact"/>
              <w:rPr>
                <w:sz w:val="20"/>
                <w:szCs w:val="20"/>
                <w:color w:val="auto"/>
              </w:rPr>
            </w:pPr>
            <w:r>
              <w:rPr>
                <w:rFonts w:ascii="Arial" w:cs="Arial" w:eastAsia="Arial" w:hAnsi="Arial"/>
                <w:sz w:val="13"/>
                <w:szCs w:val="13"/>
                <w:b w:val="1"/>
                <w:bCs w:val="1"/>
                <w:color w:val="auto"/>
                <w:w w:val="96"/>
              </w:rPr>
              <w:t>Securities</w:t>
            </w:r>
          </w:p>
        </w:tc>
        <w:tc>
          <w:tcPr>
            <w:tcW w:w="280" w:type="dxa"/>
            <w:vAlign w:val="bottom"/>
            <w:shd w:val="clear" w:color="auto" w:fill="9DB8D2"/>
          </w:tcPr>
          <w:p>
            <w:pPr>
              <w:spacing w:after="0"/>
              <w:rPr>
                <w:sz w:val="11"/>
                <w:szCs w:val="11"/>
                <w:color w:val="auto"/>
              </w:rPr>
            </w:pPr>
          </w:p>
        </w:tc>
        <w:tc>
          <w:tcPr>
            <w:tcW w:w="1000" w:type="dxa"/>
            <w:vAlign w:val="bottom"/>
            <w:gridSpan w:val="2"/>
            <w:shd w:val="clear" w:color="auto" w:fill="9DB8D2"/>
          </w:tcPr>
          <w:p>
            <w:pPr>
              <w:jc w:val="center"/>
              <w:ind w:right="217"/>
              <w:spacing w:after="0" w:line="135" w:lineRule="exact"/>
              <w:rPr>
                <w:sz w:val="20"/>
                <w:szCs w:val="20"/>
                <w:color w:val="auto"/>
              </w:rPr>
            </w:pPr>
            <w:r>
              <w:rPr>
                <w:rFonts w:ascii="Arial" w:cs="Arial" w:eastAsia="Arial" w:hAnsi="Arial"/>
                <w:sz w:val="13"/>
                <w:szCs w:val="13"/>
                <w:b w:val="1"/>
                <w:bCs w:val="1"/>
                <w:color w:val="auto"/>
                <w:w w:val="96"/>
              </w:rPr>
              <w:t>Securities</w:t>
            </w:r>
          </w:p>
        </w:tc>
        <w:tc>
          <w:tcPr>
            <w:tcW w:w="260" w:type="dxa"/>
            <w:vAlign w:val="bottom"/>
            <w:shd w:val="clear" w:color="auto" w:fill="9DB8D2"/>
          </w:tcPr>
          <w:p>
            <w:pPr>
              <w:spacing w:after="0"/>
              <w:rPr>
                <w:sz w:val="11"/>
                <w:szCs w:val="11"/>
                <w:color w:val="auto"/>
              </w:rPr>
            </w:pPr>
          </w:p>
        </w:tc>
        <w:tc>
          <w:tcPr>
            <w:tcW w:w="840" w:type="dxa"/>
            <w:vAlign w:val="bottom"/>
            <w:shd w:val="clear" w:color="auto" w:fill="9DB8D2"/>
          </w:tcPr>
          <w:p>
            <w:pPr>
              <w:jc w:val="center"/>
              <w:ind w:right="114"/>
              <w:spacing w:after="0" w:line="135" w:lineRule="exact"/>
              <w:rPr>
                <w:sz w:val="20"/>
                <w:szCs w:val="20"/>
                <w:color w:val="auto"/>
              </w:rPr>
            </w:pPr>
            <w:r>
              <w:rPr>
                <w:rFonts w:ascii="Arial" w:cs="Arial" w:eastAsia="Arial" w:hAnsi="Arial"/>
                <w:sz w:val="13"/>
                <w:szCs w:val="13"/>
                <w:b w:val="1"/>
                <w:bCs w:val="1"/>
                <w:color w:val="auto"/>
                <w:w w:val="95"/>
              </w:rPr>
              <w:t>Number of</w:t>
            </w:r>
          </w:p>
        </w:tc>
        <w:tc>
          <w:tcPr>
            <w:tcW w:w="22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294"/>
              <w:spacing w:after="0" w:line="135" w:lineRule="exact"/>
              <w:rPr>
                <w:sz w:val="20"/>
                <w:szCs w:val="20"/>
                <w:color w:val="auto"/>
              </w:rPr>
            </w:pPr>
            <w:r>
              <w:rPr>
                <w:rFonts w:ascii="Arial" w:cs="Arial" w:eastAsia="Arial" w:hAnsi="Arial"/>
                <w:sz w:val="13"/>
                <w:szCs w:val="13"/>
                <w:b w:val="1"/>
                <w:bCs w:val="1"/>
                <w:color w:val="auto"/>
                <w:w w:val="94"/>
              </w:rPr>
              <w:t>of Shares</w:t>
            </w:r>
          </w:p>
        </w:tc>
        <w:tc>
          <w:tcPr>
            <w:tcW w:w="90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of Shares</w:t>
            </w:r>
          </w:p>
        </w:tc>
        <w:tc>
          <w:tcPr>
            <w:tcW w:w="1220" w:type="dxa"/>
            <w:vAlign w:val="bottom"/>
            <w:shd w:val="clear" w:color="auto" w:fill="9DB8D2"/>
          </w:tcPr>
          <w:p>
            <w:pPr>
              <w:jc w:val="center"/>
              <w:ind w:right="194"/>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106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0" w:type="dxa"/>
            <w:vAlign w:val="bottom"/>
          </w:tcPr>
          <w:p>
            <w:pPr>
              <w:spacing w:after="0"/>
              <w:rPr>
                <w:sz w:val="1"/>
                <w:szCs w:val="1"/>
                <w:color w:val="auto"/>
              </w:rPr>
            </w:pPr>
          </w:p>
        </w:tc>
      </w:tr>
      <w:tr>
        <w:trPr>
          <w:trHeight w:val="135"/>
        </w:trPr>
        <w:tc>
          <w:tcPr>
            <w:tcW w:w="182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76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280" w:type="dxa"/>
            <w:vAlign w:val="bottom"/>
            <w:shd w:val="clear" w:color="auto" w:fill="9DB8D2"/>
          </w:tcPr>
          <w:p>
            <w:pPr>
              <w:spacing w:after="0"/>
              <w:rPr>
                <w:sz w:val="11"/>
                <w:szCs w:val="11"/>
                <w:color w:val="auto"/>
              </w:rPr>
            </w:pPr>
          </w:p>
        </w:tc>
        <w:tc>
          <w:tcPr>
            <w:tcW w:w="1000" w:type="dxa"/>
            <w:vAlign w:val="bottom"/>
            <w:gridSpan w:val="2"/>
            <w:shd w:val="clear" w:color="auto" w:fill="9DB8D2"/>
          </w:tcPr>
          <w:p>
            <w:pPr>
              <w:jc w:val="center"/>
              <w:ind w:right="197"/>
              <w:spacing w:after="0" w:line="135" w:lineRule="exact"/>
              <w:rPr>
                <w:sz w:val="20"/>
                <w:szCs w:val="20"/>
                <w:color w:val="auto"/>
              </w:rPr>
            </w:pPr>
            <w:r>
              <w:rPr>
                <w:rFonts w:ascii="Arial" w:cs="Arial" w:eastAsia="Arial" w:hAnsi="Arial"/>
                <w:sz w:val="13"/>
                <w:szCs w:val="13"/>
                <w:b w:val="1"/>
                <w:bCs w:val="1"/>
                <w:color w:val="auto"/>
                <w:w w:val="97"/>
              </w:rPr>
              <w:t>Underlying</w:t>
            </w:r>
          </w:p>
        </w:tc>
        <w:tc>
          <w:tcPr>
            <w:tcW w:w="260" w:type="dxa"/>
            <w:vAlign w:val="bottom"/>
            <w:shd w:val="clear" w:color="auto" w:fill="9DB8D2"/>
          </w:tcPr>
          <w:p>
            <w:pPr>
              <w:spacing w:after="0"/>
              <w:rPr>
                <w:sz w:val="11"/>
                <w:szCs w:val="11"/>
                <w:color w:val="auto"/>
              </w:rPr>
            </w:pPr>
          </w:p>
        </w:tc>
        <w:tc>
          <w:tcPr>
            <w:tcW w:w="840" w:type="dxa"/>
            <w:vAlign w:val="bottom"/>
            <w:shd w:val="clear" w:color="auto" w:fill="9DB8D2"/>
          </w:tcPr>
          <w:p>
            <w:pPr>
              <w:jc w:val="center"/>
              <w:ind w:right="114"/>
              <w:spacing w:after="0" w:line="135" w:lineRule="exact"/>
              <w:rPr>
                <w:sz w:val="20"/>
                <w:szCs w:val="20"/>
                <w:color w:val="auto"/>
              </w:rPr>
            </w:pPr>
            <w:r>
              <w:rPr>
                <w:rFonts w:ascii="Arial" w:cs="Arial" w:eastAsia="Arial" w:hAnsi="Arial"/>
                <w:sz w:val="13"/>
                <w:szCs w:val="13"/>
                <w:b w:val="1"/>
                <w:bCs w:val="1"/>
                <w:color w:val="auto"/>
                <w:w w:val="99"/>
              </w:rPr>
              <w:t>Securities</w:t>
            </w:r>
          </w:p>
        </w:tc>
        <w:tc>
          <w:tcPr>
            <w:tcW w:w="760" w:type="dxa"/>
            <w:vAlign w:val="bottom"/>
            <w:gridSpan w:val="2"/>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5"/>
              </w:rPr>
              <w:t>Option</w:t>
            </w:r>
          </w:p>
        </w:tc>
        <w:tc>
          <w:tcPr>
            <w:tcW w:w="80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294"/>
              <w:spacing w:after="0" w:line="135" w:lineRule="exact"/>
              <w:rPr>
                <w:sz w:val="20"/>
                <w:szCs w:val="20"/>
                <w:color w:val="auto"/>
              </w:rPr>
            </w:pPr>
            <w:r>
              <w:rPr>
                <w:rFonts w:ascii="Arial" w:cs="Arial" w:eastAsia="Arial" w:hAnsi="Arial"/>
                <w:sz w:val="13"/>
                <w:szCs w:val="13"/>
                <w:b w:val="1"/>
                <w:bCs w:val="1"/>
                <w:color w:val="auto"/>
                <w:w w:val="97"/>
              </w:rPr>
              <w:t>or Units</w:t>
            </w:r>
          </w:p>
        </w:tc>
        <w:tc>
          <w:tcPr>
            <w:tcW w:w="220" w:type="dxa"/>
            <w:vAlign w:val="bottom"/>
            <w:shd w:val="clear" w:color="auto" w:fill="9DB8D2"/>
          </w:tcPr>
          <w:p>
            <w:pPr>
              <w:spacing w:after="0"/>
              <w:rPr>
                <w:sz w:val="11"/>
                <w:szCs w:val="11"/>
                <w:color w:val="auto"/>
              </w:rPr>
            </w:pPr>
          </w:p>
        </w:tc>
        <w:tc>
          <w:tcPr>
            <w:tcW w:w="680" w:type="dxa"/>
            <w:vAlign w:val="bottom"/>
            <w:shd w:val="clear" w:color="auto" w:fill="9DB8D2"/>
          </w:tcPr>
          <w:p>
            <w:pPr>
              <w:jc w:val="center"/>
              <w:ind w:right="113"/>
              <w:spacing w:after="0" w:line="135" w:lineRule="exact"/>
              <w:rPr>
                <w:sz w:val="20"/>
                <w:szCs w:val="20"/>
                <w:color w:val="auto"/>
              </w:rPr>
            </w:pPr>
            <w:r>
              <w:rPr>
                <w:rFonts w:ascii="Arial" w:cs="Arial" w:eastAsia="Arial" w:hAnsi="Arial"/>
                <w:sz w:val="13"/>
                <w:szCs w:val="13"/>
                <w:b w:val="1"/>
                <w:bCs w:val="1"/>
                <w:color w:val="auto"/>
                <w:w w:val="93"/>
              </w:rPr>
              <w:t>or Units</w:t>
            </w: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7"/>
              </w:rPr>
              <w:t>or Other</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4"/>
              <w:spacing w:after="0" w:line="135" w:lineRule="exact"/>
              <w:rPr>
                <w:sz w:val="20"/>
                <w:szCs w:val="20"/>
                <w:color w:val="auto"/>
              </w:rPr>
            </w:pPr>
            <w:r>
              <w:rPr>
                <w:rFonts w:ascii="Arial" w:cs="Arial" w:eastAsia="Arial" w:hAnsi="Arial"/>
                <w:sz w:val="13"/>
                <w:szCs w:val="13"/>
                <w:b w:val="1"/>
                <w:bCs w:val="1"/>
                <w:color w:val="auto"/>
                <w:w w:val="97"/>
              </w:rPr>
              <w:t>or Other</w:t>
            </w:r>
          </w:p>
        </w:tc>
        <w:tc>
          <w:tcPr>
            <w:tcW w:w="0" w:type="dxa"/>
            <w:vAlign w:val="bottom"/>
          </w:tcPr>
          <w:p>
            <w:pPr>
              <w:spacing w:after="0"/>
              <w:rPr>
                <w:sz w:val="1"/>
                <w:szCs w:val="1"/>
                <w:color w:val="auto"/>
              </w:rPr>
            </w:pPr>
          </w:p>
        </w:tc>
      </w:tr>
      <w:tr>
        <w:trPr>
          <w:trHeight w:val="135"/>
        </w:trPr>
        <w:tc>
          <w:tcPr>
            <w:tcW w:w="1820" w:type="dxa"/>
            <w:vAlign w:val="bottom"/>
            <w:shd w:val="clear" w:color="auto" w:fill="9DB8D2"/>
          </w:tcPr>
          <w:p>
            <w:pPr>
              <w:spacing w:after="0"/>
              <w:rPr>
                <w:sz w:val="11"/>
                <w:szCs w:val="11"/>
                <w:color w:val="auto"/>
              </w:rPr>
            </w:pPr>
          </w:p>
        </w:tc>
        <w:tc>
          <w:tcPr>
            <w:tcW w:w="960" w:type="dxa"/>
            <w:vAlign w:val="bottom"/>
            <w:gridSpan w:val="3"/>
            <w:shd w:val="clear" w:color="auto" w:fill="9DB8D2"/>
          </w:tcPr>
          <w:p>
            <w:pPr>
              <w:jc w:val="center"/>
              <w:ind w:left="117"/>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280" w:type="dxa"/>
            <w:vAlign w:val="bottom"/>
            <w:gridSpan w:val="3"/>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260" w:type="dxa"/>
            <w:vAlign w:val="bottom"/>
            <w:shd w:val="clear" w:color="auto" w:fill="9DB8D2"/>
          </w:tcPr>
          <w:p>
            <w:pPr>
              <w:spacing w:after="0"/>
              <w:rPr>
                <w:sz w:val="11"/>
                <w:szCs w:val="11"/>
                <w:color w:val="auto"/>
              </w:rPr>
            </w:pPr>
          </w:p>
        </w:tc>
        <w:tc>
          <w:tcPr>
            <w:tcW w:w="840" w:type="dxa"/>
            <w:vAlign w:val="bottom"/>
            <w:shd w:val="clear" w:color="auto" w:fill="9DB8D2"/>
          </w:tcPr>
          <w:p>
            <w:pPr>
              <w:jc w:val="center"/>
              <w:ind w:right="114"/>
              <w:spacing w:after="0" w:line="135" w:lineRule="exact"/>
              <w:rPr>
                <w:sz w:val="20"/>
                <w:szCs w:val="20"/>
                <w:color w:val="auto"/>
              </w:rPr>
            </w:pPr>
            <w:r>
              <w:rPr>
                <w:rFonts w:ascii="Arial" w:cs="Arial" w:eastAsia="Arial" w:hAnsi="Arial"/>
                <w:sz w:val="13"/>
                <w:szCs w:val="13"/>
                <w:b w:val="1"/>
                <w:bCs w:val="1"/>
                <w:color w:val="auto"/>
                <w:w w:val="97"/>
              </w:rPr>
              <w:t>Underlying</w:t>
            </w:r>
          </w:p>
        </w:tc>
        <w:tc>
          <w:tcPr>
            <w:tcW w:w="760" w:type="dxa"/>
            <w:vAlign w:val="bottom"/>
            <w:gridSpan w:val="2"/>
            <w:vMerge w:val="continue"/>
            <w:shd w:val="clear" w:color="auto" w:fill="9DB8D2"/>
          </w:tcPr>
          <w:p>
            <w:pPr>
              <w:spacing w:after="0"/>
              <w:rPr>
                <w:sz w:val="11"/>
                <w:szCs w:val="11"/>
                <w:color w:val="auto"/>
              </w:rPr>
            </w:pPr>
          </w:p>
        </w:tc>
        <w:tc>
          <w:tcPr>
            <w:tcW w:w="800" w:type="dxa"/>
            <w:vAlign w:val="bottom"/>
            <w:vMerge w:val="restart"/>
            <w:shd w:val="clear" w:color="auto" w:fill="9DB8D2"/>
          </w:tcPr>
          <w:p>
            <w:pPr>
              <w:jc w:val="center"/>
              <w:ind w:left="13"/>
              <w:spacing w:after="0"/>
              <w:rPr>
                <w:sz w:val="20"/>
                <w:szCs w:val="20"/>
                <w:color w:val="auto"/>
              </w:rPr>
            </w:pPr>
            <w:r>
              <w:rPr>
                <w:rFonts w:ascii="Arial" w:cs="Arial" w:eastAsia="Arial" w:hAnsi="Arial"/>
                <w:sz w:val="13"/>
                <w:szCs w:val="13"/>
                <w:b w:val="1"/>
                <w:bCs w:val="1"/>
                <w:color w:val="auto"/>
                <w:w w:val="95"/>
              </w:rPr>
              <w:t>Option</w:t>
            </w:r>
          </w:p>
        </w:tc>
        <w:tc>
          <w:tcPr>
            <w:tcW w:w="12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274"/>
              <w:spacing w:after="0" w:line="135" w:lineRule="exact"/>
              <w:rPr>
                <w:sz w:val="20"/>
                <w:szCs w:val="20"/>
                <w:color w:val="auto"/>
              </w:rPr>
            </w:pPr>
            <w:r>
              <w:rPr>
                <w:rFonts w:ascii="Arial" w:cs="Arial" w:eastAsia="Arial" w:hAnsi="Arial"/>
                <w:sz w:val="13"/>
                <w:szCs w:val="13"/>
                <w:b w:val="1"/>
                <w:bCs w:val="1"/>
                <w:color w:val="auto"/>
                <w:w w:val="97"/>
              </w:rPr>
              <w:t>of Stock</w:t>
            </w:r>
          </w:p>
        </w:tc>
        <w:tc>
          <w:tcPr>
            <w:tcW w:w="220" w:type="dxa"/>
            <w:vAlign w:val="bottom"/>
            <w:shd w:val="clear" w:color="auto" w:fill="9DB8D2"/>
          </w:tcPr>
          <w:p>
            <w:pPr>
              <w:spacing w:after="0"/>
              <w:rPr>
                <w:sz w:val="11"/>
                <w:szCs w:val="11"/>
                <w:color w:val="auto"/>
              </w:rPr>
            </w:pPr>
          </w:p>
        </w:tc>
        <w:tc>
          <w:tcPr>
            <w:tcW w:w="680" w:type="dxa"/>
            <w:vAlign w:val="bottom"/>
            <w:shd w:val="clear" w:color="auto" w:fill="9DB8D2"/>
          </w:tcPr>
          <w:p>
            <w:pPr>
              <w:jc w:val="center"/>
              <w:ind w:right="113"/>
              <w:spacing w:after="0" w:line="135" w:lineRule="exact"/>
              <w:rPr>
                <w:sz w:val="20"/>
                <w:szCs w:val="20"/>
                <w:color w:val="auto"/>
              </w:rPr>
            </w:pPr>
            <w:r>
              <w:rPr>
                <w:rFonts w:ascii="Arial" w:cs="Arial" w:eastAsia="Arial" w:hAnsi="Arial"/>
                <w:sz w:val="13"/>
                <w:szCs w:val="13"/>
                <w:b w:val="1"/>
                <w:bCs w:val="1"/>
                <w:color w:val="auto"/>
                <w:w w:val="97"/>
              </w:rPr>
              <w:t>of Stock</w:t>
            </w: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3"/>
              </w:rPr>
              <w:t>Rights</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4"/>
              <w:spacing w:after="0" w:line="135" w:lineRule="exact"/>
              <w:rPr>
                <w:sz w:val="20"/>
                <w:szCs w:val="20"/>
                <w:color w:val="auto"/>
              </w:rPr>
            </w:pPr>
            <w:r>
              <w:rPr>
                <w:rFonts w:ascii="Arial" w:cs="Arial" w:eastAsia="Arial" w:hAnsi="Arial"/>
                <w:sz w:val="13"/>
                <w:szCs w:val="13"/>
                <w:b w:val="1"/>
                <w:bCs w:val="1"/>
                <w:color w:val="auto"/>
                <w:w w:val="93"/>
              </w:rPr>
              <w:t>Rights</w:t>
            </w:r>
          </w:p>
        </w:tc>
        <w:tc>
          <w:tcPr>
            <w:tcW w:w="0" w:type="dxa"/>
            <w:vAlign w:val="bottom"/>
          </w:tcPr>
          <w:p>
            <w:pPr>
              <w:spacing w:after="0"/>
              <w:rPr>
                <w:sz w:val="1"/>
                <w:szCs w:val="1"/>
                <w:color w:val="auto"/>
              </w:rPr>
            </w:pPr>
          </w:p>
        </w:tc>
      </w:tr>
      <w:tr>
        <w:trPr>
          <w:trHeight w:val="135"/>
        </w:trPr>
        <w:tc>
          <w:tcPr>
            <w:tcW w:w="1820" w:type="dxa"/>
            <w:vAlign w:val="bottom"/>
            <w:vMerge w:val="restart"/>
            <w:shd w:val="clear" w:color="auto" w:fill="9DB8D2"/>
          </w:tcPr>
          <w:p>
            <w:pPr>
              <w:ind w:left="60"/>
              <w:spacing w:after="0"/>
              <w:rPr>
                <w:sz w:val="20"/>
                <w:szCs w:val="20"/>
                <w:color w:val="auto"/>
              </w:rPr>
            </w:pPr>
            <w:r>
              <w:rPr>
                <w:rFonts w:ascii="Arial" w:cs="Arial" w:eastAsia="Arial" w:hAnsi="Arial"/>
                <w:sz w:val="13"/>
                <w:szCs w:val="13"/>
                <w:b w:val="1"/>
                <w:bCs w:val="1"/>
                <w:color w:val="auto"/>
              </w:rPr>
              <w:t>Name &amp; Principal</w:t>
            </w:r>
          </w:p>
        </w:tc>
        <w:tc>
          <w:tcPr>
            <w:tcW w:w="2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shd w:val="clear" w:color="auto" w:fill="9DB8D2"/>
          </w:tcPr>
          <w:p>
            <w:pPr>
              <w:jc w:val="center"/>
              <w:ind w:right="33"/>
              <w:spacing w:after="0" w:line="135" w:lineRule="exact"/>
              <w:rPr>
                <w:sz w:val="20"/>
                <w:szCs w:val="20"/>
                <w:color w:val="auto"/>
              </w:rPr>
            </w:pPr>
            <w:r>
              <w:rPr>
                <w:rFonts w:ascii="Arial" w:cs="Arial" w:eastAsia="Arial" w:hAnsi="Arial"/>
                <w:sz w:val="13"/>
                <w:szCs w:val="13"/>
                <w:b w:val="1"/>
                <w:bCs w:val="1"/>
                <w:color w:val="auto"/>
                <w:w w:val="97"/>
              </w:rPr>
              <w:t>Options</w:t>
            </w:r>
          </w:p>
        </w:tc>
        <w:tc>
          <w:tcPr>
            <w:tcW w:w="280" w:type="dxa"/>
            <w:vAlign w:val="bottom"/>
            <w:shd w:val="clear" w:color="auto" w:fill="9DB8D2"/>
          </w:tcPr>
          <w:p>
            <w:pPr>
              <w:spacing w:after="0"/>
              <w:rPr>
                <w:sz w:val="11"/>
                <w:szCs w:val="11"/>
                <w:color w:val="auto"/>
              </w:rPr>
            </w:pPr>
          </w:p>
        </w:tc>
        <w:tc>
          <w:tcPr>
            <w:tcW w:w="1000" w:type="dxa"/>
            <w:vAlign w:val="bottom"/>
            <w:gridSpan w:val="2"/>
            <w:shd w:val="clear" w:color="auto" w:fill="9DB8D2"/>
          </w:tcPr>
          <w:p>
            <w:pPr>
              <w:jc w:val="center"/>
              <w:ind w:right="217"/>
              <w:spacing w:after="0" w:line="135" w:lineRule="exact"/>
              <w:rPr>
                <w:sz w:val="20"/>
                <w:szCs w:val="20"/>
                <w:color w:val="auto"/>
              </w:rPr>
            </w:pPr>
            <w:r>
              <w:rPr>
                <w:rFonts w:ascii="Arial" w:cs="Arial" w:eastAsia="Arial" w:hAnsi="Arial"/>
                <w:sz w:val="13"/>
                <w:szCs w:val="13"/>
                <w:b w:val="1"/>
                <w:bCs w:val="1"/>
                <w:color w:val="auto"/>
                <w:w w:val="97"/>
              </w:rPr>
              <w:t>Options</w:t>
            </w:r>
          </w:p>
        </w:tc>
        <w:tc>
          <w:tcPr>
            <w:tcW w:w="1100" w:type="dxa"/>
            <w:vAlign w:val="bottom"/>
            <w:gridSpan w:val="2"/>
            <w:shd w:val="clear" w:color="auto" w:fill="9DB8D2"/>
          </w:tcPr>
          <w:p>
            <w:pPr>
              <w:jc w:val="center"/>
              <w:ind w:left="17"/>
              <w:spacing w:after="0" w:line="135" w:lineRule="exact"/>
              <w:rPr>
                <w:sz w:val="20"/>
                <w:szCs w:val="20"/>
                <w:color w:val="auto"/>
              </w:rPr>
            </w:pPr>
            <w:r>
              <w:rPr>
                <w:rFonts w:ascii="Arial" w:cs="Arial" w:eastAsia="Arial" w:hAnsi="Arial"/>
                <w:sz w:val="13"/>
                <w:szCs w:val="13"/>
                <w:b w:val="1"/>
                <w:bCs w:val="1"/>
                <w:color w:val="auto"/>
                <w:w w:val="95"/>
              </w:rPr>
              <w:t>Unexercised</w:t>
            </w:r>
          </w:p>
        </w:tc>
        <w:tc>
          <w:tcPr>
            <w:tcW w:w="760" w:type="dxa"/>
            <w:vAlign w:val="bottom"/>
            <w:gridSpan w:val="2"/>
            <w:shd w:val="clear" w:color="auto" w:fill="9DB8D2"/>
          </w:tcPr>
          <w:p>
            <w:pPr>
              <w:ind w:left="120"/>
              <w:spacing w:after="0" w:line="135" w:lineRule="exact"/>
              <w:rPr>
                <w:sz w:val="20"/>
                <w:szCs w:val="20"/>
                <w:color w:val="auto"/>
              </w:rPr>
            </w:pPr>
            <w:r>
              <w:rPr>
                <w:rFonts w:ascii="Arial" w:cs="Arial" w:eastAsia="Arial" w:hAnsi="Arial"/>
                <w:sz w:val="13"/>
                <w:szCs w:val="13"/>
                <w:b w:val="1"/>
                <w:bCs w:val="1"/>
                <w:color w:val="auto"/>
              </w:rPr>
              <w:t>Exercise</w:t>
            </w:r>
          </w:p>
        </w:tc>
        <w:tc>
          <w:tcPr>
            <w:tcW w:w="800" w:type="dxa"/>
            <w:vAlign w:val="bottom"/>
            <w:vMerge w:val="continue"/>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right="294"/>
              <w:spacing w:after="0" w:line="135" w:lineRule="exact"/>
              <w:rPr>
                <w:sz w:val="20"/>
                <w:szCs w:val="20"/>
                <w:color w:val="auto"/>
              </w:rPr>
            </w:pPr>
            <w:r>
              <w:rPr>
                <w:rFonts w:ascii="Arial" w:cs="Arial" w:eastAsia="Arial" w:hAnsi="Arial"/>
                <w:sz w:val="13"/>
                <w:szCs w:val="13"/>
                <w:b w:val="1"/>
                <w:bCs w:val="1"/>
                <w:color w:val="auto"/>
                <w:w w:val="95"/>
              </w:rPr>
              <w:t>that Have</w:t>
            </w:r>
          </w:p>
        </w:tc>
        <w:tc>
          <w:tcPr>
            <w:tcW w:w="90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9"/>
              </w:rPr>
              <w:t>that Have</w:t>
            </w: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9"/>
              </w:rPr>
              <w:t>that Have</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4"/>
              <w:spacing w:after="0" w:line="135" w:lineRule="exact"/>
              <w:rPr>
                <w:sz w:val="20"/>
                <w:szCs w:val="20"/>
                <w:color w:val="auto"/>
              </w:rPr>
            </w:pPr>
            <w:r>
              <w:rPr>
                <w:rFonts w:ascii="Arial" w:cs="Arial" w:eastAsia="Arial" w:hAnsi="Arial"/>
                <w:sz w:val="13"/>
                <w:szCs w:val="13"/>
                <w:b w:val="1"/>
                <w:bCs w:val="1"/>
                <w:color w:val="auto"/>
                <w:w w:val="99"/>
              </w:rPr>
              <w:t>that Have</w:t>
            </w:r>
          </w:p>
        </w:tc>
        <w:tc>
          <w:tcPr>
            <w:tcW w:w="0" w:type="dxa"/>
            <w:vAlign w:val="bottom"/>
          </w:tcPr>
          <w:p>
            <w:pPr>
              <w:spacing w:after="0"/>
              <w:rPr>
                <w:sz w:val="1"/>
                <w:szCs w:val="1"/>
                <w:color w:val="auto"/>
              </w:rPr>
            </w:pPr>
          </w:p>
        </w:tc>
      </w:tr>
      <w:tr>
        <w:trPr>
          <w:trHeight w:val="135"/>
        </w:trPr>
        <w:tc>
          <w:tcPr>
            <w:tcW w:w="1820" w:type="dxa"/>
            <w:vAlign w:val="bottom"/>
            <w:vMerge w:val="continue"/>
            <w:shd w:val="clear" w:color="auto" w:fill="9DB8D2"/>
          </w:tcPr>
          <w:p>
            <w:pPr>
              <w:spacing w:after="0"/>
              <w:rPr>
                <w:sz w:val="11"/>
                <w:szCs w:val="11"/>
                <w:color w:val="auto"/>
              </w:rPr>
            </w:pPr>
          </w:p>
        </w:tc>
        <w:tc>
          <w:tcPr>
            <w:tcW w:w="960" w:type="dxa"/>
            <w:vAlign w:val="bottom"/>
            <w:gridSpan w:val="3"/>
            <w:shd w:val="clear" w:color="auto" w:fill="9DB8D2"/>
          </w:tcPr>
          <w:p>
            <w:pPr>
              <w:jc w:val="center"/>
              <w:ind w:left="117"/>
              <w:spacing w:after="0" w:line="135" w:lineRule="exact"/>
              <w:rPr>
                <w:sz w:val="20"/>
                <w:szCs w:val="20"/>
                <w:color w:val="auto"/>
              </w:rPr>
            </w:pPr>
            <w:r>
              <w:rPr>
                <w:rFonts w:ascii="Arial" w:cs="Arial" w:eastAsia="Arial" w:hAnsi="Arial"/>
                <w:sz w:val="13"/>
                <w:szCs w:val="13"/>
                <w:b w:val="1"/>
                <w:bCs w:val="1"/>
                <w:color w:val="auto"/>
                <w:w w:val="87"/>
              </w:rPr>
              <w:t>(#)</w:t>
            </w:r>
          </w:p>
        </w:tc>
        <w:tc>
          <w:tcPr>
            <w:tcW w:w="1080" w:type="dxa"/>
            <w:vAlign w:val="bottom"/>
            <w:gridSpan w:val="2"/>
            <w:shd w:val="clear" w:color="auto" w:fill="9DB8D2"/>
          </w:tcPr>
          <w:p>
            <w:pPr>
              <w:jc w:val="center"/>
              <w:ind w:left="154"/>
              <w:spacing w:after="0" w:line="135" w:lineRule="exact"/>
              <w:rPr>
                <w:sz w:val="20"/>
                <w:szCs w:val="20"/>
                <w:color w:val="auto"/>
              </w:rPr>
            </w:pPr>
            <w:r>
              <w:rPr>
                <w:rFonts w:ascii="Arial" w:cs="Arial" w:eastAsia="Arial" w:hAnsi="Arial"/>
                <w:sz w:val="13"/>
                <w:szCs w:val="13"/>
                <w:b w:val="1"/>
                <w:bCs w:val="1"/>
                <w:color w:val="auto"/>
                <w:w w:val="87"/>
              </w:rPr>
              <w:t>(#)</w:t>
            </w:r>
          </w:p>
        </w:tc>
        <w:tc>
          <w:tcPr>
            <w:tcW w:w="20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840" w:type="dxa"/>
            <w:vAlign w:val="bottom"/>
            <w:shd w:val="clear" w:color="auto" w:fill="9DB8D2"/>
          </w:tcPr>
          <w:p>
            <w:pPr>
              <w:jc w:val="center"/>
              <w:ind w:right="114"/>
              <w:spacing w:after="0" w:line="135" w:lineRule="exact"/>
              <w:rPr>
                <w:sz w:val="20"/>
                <w:szCs w:val="20"/>
                <w:color w:val="auto"/>
              </w:rPr>
            </w:pPr>
            <w:r>
              <w:rPr>
                <w:rFonts w:ascii="Arial" w:cs="Arial" w:eastAsia="Arial" w:hAnsi="Arial"/>
                <w:sz w:val="13"/>
                <w:szCs w:val="13"/>
                <w:b w:val="1"/>
                <w:bCs w:val="1"/>
                <w:color w:val="auto"/>
                <w:w w:val="96"/>
              </w:rPr>
              <w:t>Unearned</w:t>
            </w:r>
          </w:p>
        </w:tc>
        <w:tc>
          <w:tcPr>
            <w:tcW w:w="220" w:type="dxa"/>
            <w:vAlign w:val="bottom"/>
            <w:shd w:val="clear" w:color="auto" w:fill="9DB8D2"/>
          </w:tcPr>
          <w:p>
            <w:pPr>
              <w:spacing w:after="0"/>
              <w:rPr>
                <w:sz w:val="11"/>
                <w:szCs w:val="11"/>
                <w:color w:val="auto"/>
              </w:rPr>
            </w:pPr>
          </w:p>
        </w:tc>
        <w:tc>
          <w:tcPr>
            <w:tcW w:w="54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rPr>
              <w:t>Price</w:t>
            </w:r>
          </w:p>
        </w:tc>
        <w:tc>
          <w:tcPr>
            <w:tcW w:w="800" w:type="dxa"/>
            <w:vAlign w:val="bottom"/>
            <w:shd w:val="clear" w:color="auto" w:fill="9DB8D2"/>
          </w:tcPr>
          <w:p>
            <w:pPr>
              <w:jc w:val="center"/>
              <w:ind w:left="13"/>
              <w:spacing w:after="0" w:line="135" w:lineRule="exact"/>
              <w:rPr>
                <w:sz w:val="20"/>
                <w:szCs w:val="20"/>
                <w:color w:val="auto"/>
              </w:rPr>
            </w:pPr>
            <w:r>
              <w:rPr>
                <w:rFonts w:ascii="Arial" w:cs="Arial" w:eastAsia="Arial" w:hAnsi="Arial"/>
                <w:sz w:val="13"/>
                <w:szCs w:val="13"/>
                <w:b w:val="1"/>
                <w:bCs w:val="1"/>
                <w:color w:val="auto"/>
                <w:w w:val="94"/>
              </w:rPr>
              <w:t>Expiration</w:t>
            </w:r>
          </w:p>
        </w:tc>
        <w:tc>
          <w:tcPr>
            <w:tcW w:w="1120" w:type="dxa"/>
            <w:vAlign w:val="bottom"/>
            <w:gridSpan w:val="2"/>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4"/>
              </w:rPr>
              <w:t>Not Vested</w:t>
            </w:r>
          </w:p>
        </w:tc>
        <w:tc>
          <w:tcPr>
            <w:tcW w:w="900" w:type="dxa"/>
            <w:vAlign w:val="bottom"/>
            <w:gridSpan w:val="2"/>
            <w:shd w:val="clear" w:color="auto" w:fill="9DB8D2"/>
          </w:tcPr>
          <w:p>
            <w:pPr>
              <w:ind w:left="140"/>
              <w:spacing w:after="0" w:line="135" w:lineRule="exact"/>
              <w:rPr>
                <w:sz w:val="20"/>
                <w:szCs w:val="20"/>
                <w:color w:val="auto"/>
              </w:rPr>
            </w:pPr>
            <w:r>
              <w:rPr>
                <w:rFonts w:ascii="Arial" w:cs="Arial" w:eastAsia="Arial" w:hAnsi="Arial"/>
                <w:sz w:val="13"/>
                <w:szCs w:val="13"/>
                <w:b w:val="1"/>
                <w:bCs w:val="1"/>
                <w:color w:val="auto"/>
              </w:rPr>
              <w:t>Not Vested</w:t>
            </w:r>
          </w:p>
        </w:tc>
        <w:tc>
          <w:tcPr>
            <w:tcW w:w="122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7"/>
              </w:rPr>
              <w:t>Not Vested</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4"/>
              <w:spacing w:after="0" w:line="135" w:lineRule="exact"/>
              <w:rPr>
                <w:sz w:val="20"/>
                <w:szCs w:val="20"/>
                <w:color w:val="auto"/>
              </w:rPr>
            </w:pPr>
            <w:r>
              <w:rPr>
                <w:rFonts w:ascii="Arial" w:cs="Arial" w:eastAsia="Arial" w:hAnsi="Arial"/>
                <w:sz w:val="13"/>
                <w:szCs w:val="13"/>
                <w:b w:val="1"/>
                <w:bCs w:val="1"/>
                <w:color w:val="auto"/>
                <w:w w:val="97"/>
              </w:rPr>
              <w:t>Not Vested</w:t>
            </w:r>
          </w:p>
        </w:tc>
        <w:tc>
          <w:tcPr>
            <w:tcW w:w="0" w:type="dxa"/>
            <w:vAlign w:val="bottom"/>
          </w:tcPr>
          <w:p>
            <w:pPr>
              <w:spacing w:after="0"/>
              <w:rPr>
                <w:sz w:val="1"/>
                <w:szCs w:val="1"/>
                <w:color w:val="auto"/>
              </w:rPr>
            </w:pPr>
          </w:p>
        </w:tc>
      </w:tr>
      <w:tr>
        <w:trPr>
          <w:trHeight w:val="173"/>
        </w:trPr>
        <w:tc>
          <w:tcPr>
            <w:tcW w:w="182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3"/>
                <w:szCs w:val="13"/>
                <w:b w:val="1"/>
                <w:bCs w:val="1"/>
                <w:color w:val="auto"/>
              </w:rPr>
              <w:t>Position</w:t>
            </w:r>
          </w:p>
        </w:tc>
        <w:tc>
          <w:tcPr>
            <w:tcW w:w="200" w:type="dxa"/>
            <w:vAlign w:val="bottom"/>
            <w:tcBorders>
              <w:bottom w:val="single" w:sz="8" w:color="auto"/>
            </w:tcBorders>
            <w:shd w:val="clear" w:color="auto" w:fill="9DB8D2"/>
          </w:tcPr>
          <w:p>
            <w:pPr>
              <w:spacing w:after="0"/>
              <w:rPr>
                <w:sz w:val="15"/>
                <w:szCs w:val="15"/>
                <w:color w:val="auto"/>
              </w:rPr>
            </w:pPr>
          </w:p>
        </w:tc>
        <w:tc>
          <w:tcPr>
            <w:tcW w:w="760" w:type="dxa"/>
            <w:vAlign w:val="bottom"/>
            <w:tcBorders>
              <w:bottom w:val="single" w:sz="8" w:color="auto"/>
            </w:tcBorders>
            <w:gridSpan w:val="2"/>
            <w:shd w:val="clear" w:color="auto" w:fill="9DB8D2"/>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280" w:type="dxa"/>
            <w:vAlign w:val="bottom"/>
            <w:tcBorders>
              <w:bottom w:val="single" w:sz="8" w:color="auto"/>
            </w:tcBorders>
            <w:gridSpan w:val="3"/>
            <w:shd w:val="clear" w:color="auto" w:fill="9DB8D2"/>
          </w:tcPr>
          <w:p>
            <w:pPr>
              <w:jc w:val="center"/>
              <w:spacing w:after="0"/>
              <w:rPr>
                <w:sz w:val="20"/>
                <w:szCs w:val="20"/>
                <w:color w:val="auto"/>
              </w:rPr>
            </w:pPr>
            <w:r>
              <w:rPr>
                <w:rFonts w:ascii="Arial" w:cs="Arial" w:eastAsia="Arial" w:hAnsi="Arial"/>
                <w:sz w:val="13"/>
                <w:szCs w:val="13"/>
                <w:b w:val="1"/>
                <w:bCs w:val="1"/>
                <w:color w:val="auto"/>
                <w:w w:val="97"/>
              </w:rPr>
              <w:t>Unexercisable</w:t>
            </w:r>
          </w:p>
        </w:tc>
        <w:tc>
          <w:tcPr>
            <w:tcW w:w="260" w:type="dxa"/>
            <w:vAlign w:val="bottom"/>
            <w:tcBorders>
              <w:bottom w:val="single" w:sz="8" w:color="auto"/>
            </w:tcBorders>
            <w:shd w:val="clear" w:color="auto" w:fill="9DB8D2"/>
          </w:tcPr>
          <w:p>
            <w:pPr>
              <w:spacing w:after="0"/>
              <w:rPr>
                <w:sz w:val="15"/>
                <w:szCs w:val="15"/>
                <w:color w:val="auto"/>
              </w:rPr>
            </w:pPr>
          </w:p>
        </w:tc>
        <w:tc>
          <w:tcPr>
            <w:tcW w:w="840" w:type="dxa"/>
            <w:vAlign w:val="bottom"/>
            <w:tcBorders>
              <w:bottom w:val="single" w:sz="8" w:color="auto"/>
            </w:tcBorders>
            <w:shd w:val="clear" w:color="auto" w:fill="9DB8D2"/>
          </w:tcPr>
          <w:p>
            <w:pPr>
              <w:jc w:val="center"/>
              <w:ind w:right="114"/>
              <w:spacing w:after="0"/>
              <w:rPr>
                <w:sz w:val="20"/>
                <w:szCs w:val="20"/>
                <w:color w:val="auto"/>
              </w:rPr>
            </w:pPr>
            <w:r>
              <w:rPr>
                <w:rFonts w:ascii="Arial" w:cs="Arial" w:eastAsia="Arial" w:hAnsi="Arial"/>
                <w:sz w:val="13"/>
                <w:szCs w:val="13"/>
                <w:b w:val="1"/>
                <w:bCs w:val="1"/>
                <w:color w:val="auto"/>
                <w:w w:val="96"/>
              </w:rPr>
              <w:t>Options (#)</w:t>
            </w:r>
          </w:p>
        </w:tc>
        <w:tc>
          <w:tcPr>
            <w:tcW w:w="220" w:type="dxa"/>
            <w:vAlign w:val="bottom"/>
            <w:tcBorders>
              <w:bottom w:val="single" w:sz="8" w:color="auto"/>
            </w:tcBorders>
            <w:shd w:val="clear" w:color="auto" w:fill="9DB8D2"/>
          </w:tcPr>
          <w:p>
            <w:pPr>
              <w:spacing w:after="0"/>
              <w:rPr>
                <w:sz w:val="15"/>
                <w:szCs w:val="15"/>
                <w:color w:val="auto"/>
              </w:rPr>
            </w:pPr>
          </w:p>
        </w:tc>
        <w:tc>
          <w:tcPr>
            <w:tcW w:w="540" w:type="dxa"/>
            <w:vAlign w:val="bottom"/>
            <w:tcBorders>
              <w:bottom w:val="single" w:sz="8" w:color="auto"/>
            </w:tcBorders>
            <w:shd w:val="clear" w:color="auto" w:fill="9DB8D2"/>
          </w:tcPr>
          <w:p>
            <w:pPr>
              <w:jc w:val="center"/>
              <w:ind w:right="153"/>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shd w:val="clear" w:color="auto" w:fill="9DB8D2"/>
          </w:tcPr>
          <w:p>
            <w:pPr>
              <w:jc w:val="center"/>
              <w:ind w:left="13"/>
              <w:spacing w:after="0"/>
              <w:rPr>
                <w:sz w:val="20"/>
                <w:szCs w:val="20"/>
                <w:color w:val="auto"/>
              </w:rPr>
            </w:pPr>
            <w:r>
              <w:rPr>
                <w:rFonts w:ascii="Arial" w:cs="Arial" w:eastAsia="Arial" w:hAnsi="Arial"/>
                <w:sz w:val="13"/>
                <w:szCs w:val="13"/>
                <w:b w:val="1"/>
                <w:bCs w:val="1"/>
                <w:color w:val="auto"/>
                <w:w w:val="99"/>
              </w:rPr>
              <w:t>Date</w:t>
            </w:r>
          </w:p>
        </w:tc>
        <w:tc>
          <w:tcPr>
            <w:tcW w:w="1120" w:type="dxa"/>
            <w:vAlign w:val="bottom"/>
            <w:tcBorders>
              <w:bottom w:val="single" w:sz="8" w:color="auto"/>
            </w:tcBorders>
            <w:gridSpan w:val="2"/>
            <w:shd w:val="clear" w:color="auto" w:fill="9DB8D2"/>
          </w:tcPr>
          <w:p>
            <w:pPr>
              <w:jc w:val="center"/>
              <w:ind w:right="174"/>
              <w:spacing w:after="0"/>
              <w:rPr>
                <w:sz w:val="20"/>
                <w:szCs w:val="20"/>
                <w:color w:val="auto"/>
              </w:rPr>
            </w:pPr>
            <w:r>
              <w:rPr>
                <w:rFonts w:ascii="Arial" w:cs="Arial" w:eastAsia="Arial" w:hAnsi="Arial"/>
                <w:sz w:val="13"/>
                <w:szCs w:val="13"/>
                <w:b w:val="1"/>
                <w:bCs w:val="1"/>
                <w:color w:val="auto"/>
              </w:rPr>
              <w:t>(#)(1)</w:t>
            </w:r>
          </w:p>
        </w:tc>
        <w:tc>
          <w:tcPr>
            <w:tcW w:w="220" w:type="dxa"/>
            <w:vAlign w:val="bottom"/>
            <w:tcBorders>
              <w:bottom w:val="single" w:sz="8" w:color="auto"/>
            </w:tcBorders>
            <w:shd w:val="clear" w:color="auto" w:fill="9DB8D2"/>
          </w:tcPr>
          <w:p>
            <w:pPr>
              <w:spacing w:after="0"/>
              <w:rPr>
                <w:sz w:val="15"/>
                <w:szCs w:val="15"/>
                <w:color w:val="auto"/>
              </w:rPr>
            </w:pPr>
          </w:p>
        </w:tc>
        <w:tc>
          <w:tcPr>
            <w:tcW w:w="680" w:type="dxa"/>
            <w:vAlign w:val="bottom"/>
            <w:tcBorders>
              <w:bottom w:val="single" w:sz="8" w:color="auto"/>
            </w:tcBorders>
            <w:shd w:val="clear" w:color="auto" w:fill="9DB8D2"/>
          </w:tcPr>
          <w:p>
            <w:pPr>
              <w:jc w:val="center"/>
              <w:ind w:right="113"/>
              <w:spacing w:after="0"/>
              <w:rPr>
                <w:sz w:val="20"/>
                <w:szCs w:val="20"/>
                <w:color w:val="auto"/>
              </w:rPr>
            </w:pPr>
            <w:r>
              <w:rPr>
                <w:rFonts w:ascii="Arial" w:cs="Arial" w:eastAsia="Arial" w:hAnsi="Arial"/>
                <w:sz w:val="13"/>
                <w:szCs w:val="13"/>
                <w:b w:val="1"/>
                <w:bCs w:val="1"/>
                <w:color w:val="auto"/>
                <w:w w:val="94"/>
              </w:rPr>
              <w:t>($)(2)</w:t>
            </w:r>
          </w:p>
        </w:tc>
        <w:tc>
          <w:tcPr>
            <w:tcW w:w="1220" w:type="dxa"/>
            <w:vAlign w:val="bottom"/>
            <w:tcBorders>
              <w:bottom w:val="single" w:sz="8" w:color="auto"/>
            </w:tcBorders>
            <w:shd w:val="clear" w:color="auto" w:fill="9DB8D2"/>
          </w:tcPr>
          <w:p>
            <w:pPr>
              <w:jc w:val="center"/>
              <w:ind w:right="174"/>
              <w:spacing w:after="0"/>
              <w:rPr>
                <w:sz w:val="20"/>
                <w:szCs w:val="20"/>
                <w:color w:val="auto"/>
              </w:rPr>
            </w:pPr>
            <w:r>
              <w:rPr>
                <w:rFonts w:ascii="Arial" w:cs="Arial" w:eastAsia="Arial" w:hAnsi="Arial"/>
                <w:sz w:val="13"/>
                <w:szCs w:val="13"/>
                <w:b w:val="1"/>
                <w:bCs w:val="1"/>
                <w:color w:val="auto"/>
                <w:w w:val="94"/>
              </w:rPr>
              <w:t>(#)(3)</w:t>
            </w:r>
          </w:p>
        </w:tc>
        <w:tc>
          <w:tcPr>
            <w:tcW w:w="180" w:type="dxa"/>
            <w:vAlign w:val="bottom"/>
            <w:tcBorders>
              <w:bottom w:val="single" w:sz="8" w:color="auto"/>
            </w:tcBorders>
            <w:shd w:val="clear" w:color="auto" w:fill="9DB8D2"/>
          </w:tcPr>
          <w:p>
            <w:pPr>
              <w:spacing w:after="0"/>
              <w:rPr>
                <w:sz w:val="15"/>
                <w:szCs w:val="15"/>
                <w:color w:val="auto"/>
              </w:rPr>
            </w:pPr>
          </w:p>
        </w:tc>
        <w:tc>
          <w:tcPr>
            <w:tcW w:w="880" w:type="dxa"/>
            <w:vAlign w:val="bottom"/>
            <w:tcBorders>
              <w:bottom w:val="single" w:sz="8" w:color="auto"/>
            </w:tcBorders>
            <w:shd w:val="clear" w:color="auto" w:fill="9DB8D2"/>
          </w:tcPr>
          <w:p>
            <w:pPr>
              <w:jc w:val="center"/>
              <w:ind w:right="154"/>
              <w:spacing w:after="0"/>
              <w:rPr>
                <w:sz w:val="20"/>
                <w:szCs w:val="20"/>
                <w:color w:val="auto"/>
              </w:rPr>
            </w:pPr>
            <w:r>
              <w:rPr>
                <w:rFonts w:ascii="Arial" w:cs="Arial" w:eastAsia="Arial" w:hAnsi="Arial"/>
                <w:sz w:val="13"/>
                <w:szCs w:val="13"/>
                <w:b w:val="1"/>
                <w:bCs w:val="1"/>
                <w:color w:val="auto"/>
                <w:w w:val="94"/>
              </w:rPr>
              <w:t>($)(2)</w:t>
            </w:r>
          </w:p>
        </w:tc>
        <w:tc>
          <w:tcPr>
            <w:tcW w:w="0" w:type="dxa"/>
            <w:vAlign w:val="bottom"/>
          </w:tcPr>
          <w:p>
            <w:pPr>
              <w:spacing w:after="0"/>
              <w:rPr>
                <w:sz w:val="1"/>
                <w:szCs w:val="1"/>
                <w:color w:val="auto"/>
              </w:rPr>
            </w:pPr>
          </w:p>
        </w:tc>
      </w:tr>
      <w:tr>
        <w:trPr>
          <w:trHeight w:val="125"/>
        </w:trPr>
        <w:tc>
          <w:tcPr>
            <w:tcW w:w="1820" w:type="dxa"/>
            <w:vAlign w:val="bottom"/>
          </w:tcPr>
          <w:p>
            <w:pPr>
              <w:ind w:left="80"/>
              <w:spacing w:after="0" w:line="125" w:lineRule="exact"/>
              <w:rPr>
                <w:sz w:val="20"/>
                <w:szCs w:val="20"/>
                <w:color w:val="auto"/>
              </w:rPr>
            </w:pPr>
            <w:r>
              <w:rPr>
                <w:rFonts w:ascii="Arial" w:cs="Arial" w:eastAsia="Arial" w:hAnsi="Arial"/>
                <w:sz w:val="14"/>
                <w:szCs w:val="14"/>
                <w:color w:val="auto"/>
              </w:rPr>
              <w:t>Ram Chandrashekar</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93"/>
              <w:spacing w:after="0" w:line="125" w:lineRule="exact"/>
              <w:rPr>
                <w:sz w:val="20"/>
                <w:szCs w:val="20"/>
                <w:color w:val="auto"/>
              </w:rPr>
            </w:pPr>
            <w:r>
              <w:rPr>
                <w:rFonts w:ascii="Arial" w:cs="Arial" w:eastAsia="Arial" w:hAnsi="Arial"/>
                <w:sz w:val="14"/>
                <w:szCs w:val="14"/>
                <w:color w:val="auto"/>
              </w:rPr>
              <w:t>—</w:t>
            </w:r>
          </w:p>
        </w:tc>
        <w:tc>
          <w:tcPr>
            <w:tcW w:w="1280" w:type="dxa"/>
            <w:vAlign w:val="bottom"/>
            <w:gridSpan w:val="3"/>
          </w:tcPr>
          <w:p>
            <w:pPr>
              <w:jc w:val="right"/>
              <w:spacing w:after="0" w:line="125" w:lineRule="exact"/>
              <w:rPr>
                <w:sz w:val="20"/>
                <w:szCs w:val="20"/>
                <w:color w:val="auto"/>
              </w:rPr>
            </w:pPr>
            <w:r>
              <w:rPr>
                <w:rFonts w:ascii="Arial" w:cs="Arial" w:eastAsia="Arial" w:hAnsi="Arial"/>
                <w:sz w:val="14"/>
                <w:szCs w:val="14"/>
                <w:color w:val="auto"/>
              </w:rPr>
              <w:t>2,745(4)</w:t>
            </w:r>
          </w:p>
        </w:tc>
        <w:tc>
          <w:tcPr>
            <w:tcW w:w="260" w:type="dxa"/>
            <w:vAlign w:val="bottom"/>
          </w:tcPr>
          <w:p>
            <w:pPr>
              <w:spacing w:after="0"/>
              <w:rPr>
                <w:sz w:val="10"/>
                <w:szCs w:val="10"/>
                <w:color w:val="auto"/>
              </w:rPr>
            </w:pPr>
          </w:p>
        </w:tc>
        <w:tc>
          <w:tcPr>
            <w:tcW w:w="840" w:type="dxa"/>
            <w:vAlign w:val="bottom"/>
          </w:tcPr>
          <w:p>
            <w:pPr>
              <w:jc w:val="center"/>
              <w:ind w:right="54"/>
              <w:spacing w:after="0" w:line="125" w:lineRule="exact"/>
              <w:rPr>
                <w:sz w:val="20"/>
                <w:szCs w:val="20"/>
                <w:color w:val="auto"/>
              </w:rPr>
            </w:pPr>
            <w:r>
              <w:rPr>
                <w:rFonts w:ascii="Arial" w:cs="Arial" w:eastAsia="Arial" w:hAnsi="Arial"/>
                <w:sz w:val="14"/>
                <w:szCs w:val="14"/>
                <w:color w:val="auto"/>
                <w:w w:val="85"/>
              </w:rPr>
              <w:t>—</w:t>
            </w:r>
          </w:p>
        </w:tc>
        <w:tc>
          <w:tcPr>
            <w:tcW w:w="220" w:type="dxa"/>
            <w:vAlign w:val="bottom"/>
          </w:tcPr>
          <w:p>
            <w:pPr>
              <w:ind w:left="120"/>
              <w:spacing w:after="0" w:line="125"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53"/>
              <w:spacing w:after="0" w:line="125" w:lineRule="exact"/>
              <w:rPr>
                <w:sz w:val="20"/>
                <w:szCs w:val="20"/>
                <w:color w:val="auto"/>
              </w:rPr>
            </w:pPr>
            <w:r>
              <w:rPr>
                <w:rFonts w:ascii="Arial" w:cs="Arial" w:eastAsia="Arial" w:hAnsi="Arial"/>
                <w:sz w:val="14"/>
                <w:szCs w:val="14"/>
                <w:color w:val="auto"/>
              </w:rPr>
              <w:t>76.13</w:t>
            </w:r>
          </w:p>
        </w:tc>
        <w:tc>
          <w:tcPr>
            <w:tcW w:w="800" w:type="dxa"/>
            <w:vAlign w:val="bottom"/>
          </w:tcPr>
          <w:p>
            <w:pPr>
              <w:jc w:val="right"/>
              <w:spacing w:after="0" w:line="125" w:lineRule="exact"/>
              <w:rPr>
                <w:sz w:val="20"/>
                <w:szCs w:val="20"/>
                <w:color w:val="auto"/>
              </w:rPr>
            </w:pPr>
            <w:r>
              <w:rPr>
                <w:rFonts w:ascii="Arial" w:cs="Arial" w:eastAsia="Arial" w:hAnsi="Arial"/>
                <w:sz w:val="14"/>
                <w:szCs w:val="14"/>
                <w:color w:val="auto"/>
              </w:rPr>
              <w:t>2/11/2024</w:t>
            </w:r>
          </w:p>
        </w:tc>
        <w:tc>
          <w:tcPr>
            <w:tcW w:w="120" w:type="dxa"/>
            <w:vAlign w:val="bottom"/>
          </w:tcPr>
          <w:p>
            <w:pPr>
              <w:spacing w:after="0"/>
              <w:rPr>
                <w:sz w:val="10"/>
                <w:szCs w:val="10"/>
                <w:color w:val="auto"/>
              </w:rPr>
            </w:pPr>
          </w:p>
        </w:tc>
        <w:tc>
          <w:tcPr>
            <w:tcW w:w="1000" w:type="dxa"/>
            <w:vAlign w:val="bottom"/>
          </w:tcPr>
          <w:p>
            <w:pPr>
              <w:jc w:val="right"/>
              <w:ind w:right="274"/>
              <w:spacing w:after="0" w:line="12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680" w:type="dxa"/>
            <w:vAlign w:val="bottom"/>
          </w:tcPr>
          <w:p>
            <w:pPr>
              <w:jc w:val="right"/>
              <w:ind w:right="13"/>
              <w:spacing w:after="0" w:line="125"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4"/>
              <w:spacing w:after="0" w:line="12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880" w:type="dxa"/>
            <w:vAlign w:val="bottom"/>
          </w:tcPr>
          <w:p>
            <w:pPr>
              <w:jc w:val="right"/>
              <w:ind w:right="54"/>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EVP, Operational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6,464(5)</w:t>
            </w:r>
          </w:p>
        </w:tc>
        <w:tc>
          <w:tcPr>
            <w:tcW w:w="260" w:type="dxa"/>
            <w:vAlign w:val="bottom"/>
          </w:tcPr>
          <w:p>
            <w:pPr>
              <w:spacing w:after="0"/>
              <w:rPr>
                <w:sz w:val="12"/>
                <w:szCs w:val="12"/>
                <w:color w:val="auto"/>
              </w:rPr>
            </w:pPr>
          </w:p>
        </w:tc>
        <w:tc>
          <w:tcPr>
            <w:tcW w:w="84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76.97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2/10/2025</w:t>
            </w:r>
          </w:p>
        </w:tc>
        <w:tc>
          <w:tcPr>
            <w:tcW w:w="120" w:type="dxa"/>
            <w:vAlign w:val="bottom"/>
          </w:tcPr>
          <w:p>
            <w:pPr>
              <w:spacing w:after="0"/>
              <w:rPr>
                <w:sz w:val="12"/>
                <w:szCs w:val="12"/>
                <w:color w:val="auto"/>
              </w:rPr>
            </w:pPr>
          </w:p>
        </w:tc>
        <w:tc>
          <w:tcPr>
            <w:tcW w:w="100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Excellence &amp; IT and</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10,671(7)</w:t>
            </w:r>
          </w:p>
        </w:tc>
        <w:tc>
          <w:tcPr>
            <w:tcW w:w="260" w:type="dxa"/>
            <w:vAlign w:val="bottom"/>
          </w:tcPr>
          <w:p>
            <w:pPr>
              <w:spacing w:after="0"/>
              <w:rPr>
                <w:sz w:val="12"/>
                <w:szCs w:val="12"/>
                <w:color w:val="auto"/>
              </w:rPr>
            </w:pPr>
          </w:p>
        </w:tc>
        <w:tc>
          <w:tcPr>
            <w:tcW w:w="84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75.07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2/16/2026</w:t>
            </w:r>
          </w:p>
        </w:tc>
        <w:tc>
          <w:tcPr>
            <w:tcW w:w="120" w:type="dxa"/>
            <w:vAlign w:val="bottom"/>
          </w:tcPr>
          <w:p>
            <w:pPr>
              <w:spacing w:after="0"/>
              <w:rPr>
                <w:sz w:val="12"/>
                <w:szCs w:val="12"/>
                <w:color w:val="auto"/>
              </w:rPr>
            </w:pPr>
          </w:p>
        </w:tc>
        <w:tc>
          <w:tcPr>
            <w:tcW w:w="100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President, Asia Pacific</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14,856(8)</w:t>
            </w:r>
          </w:p>
        </w:tc>
        <w:tc>
          <w:tcPr>
            <w:tcW w:w="260" w:type="dxa"/>
            <w:vAlign w:val="bottom"/>
          </w:tcPr>
          <w:p>
            <w:pPr>
              <w:spacing w:after="0"/>
              <w:rPr>
                <w:sz w:val="12"/>
                <w:szCs w:val="12"/>
                <w:color w:val="auto"/>
              </w:rPr>
            </w:pPr>
          </w:p>
        </w:tc>
        <w:tc>
          <w:tcPr>
            <w:tcW w:w="84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96.94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2/9/2027</w:t>
            </w:r>
          </w:p>
        </w:tc>
        <w:tc>
          <w:tcPr>
            <w:tcW w:w="120" w:type="dxa"/>
            <w:vAlign w:val="bottom"/>
          </w:tcPr>
          <w:p>
            <w:pPr>
              <w:spacing w:after="0"/>
              <w:rPr>
                <w:sz w:val="12"/>
                <w:szCs w:val="12"/>
                <w:color w:val="auto"/>
              </w:rPr>
            </w:pPr>
          </w:p>
        </w:tc>
        <w:tc>
          <w:tcPr>
            <w:tcW w:w="100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Middle Ea</w:t>
            </w:r>
            <w:r>
              <w:rPr>
                <w:rFonts w:ascii="Arial" w:cs="Arial" w:eastAsia="Arial" w:hAnsi="Arial"/>
                <w:sz w:val="14"/>
                <w:szCs w:val="14"/>
                <w:color w:val="auto"/>
              </w:rPr>
              <w:t>st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4"/>
              <w:spacing w:after="0" w:line="149" w:lineRule="exact"/>
              <w:rPr>
                <w:sz w:val="20"/>
                <w:szCs w:val="20"/>
                <w:color w:val="auto"/>
              </w:rPr>
            </w:pPr>
            <w:r>
              <w:rPr>
                <w:rFonts w:ascii="Arial" w:cs="Arial" w:eastAsia="Arial" w:hAnsi="Arial"/>
                <w:sz w:val="14"/>
                <w:szCs w:val="14"/>
                <w:color w:val="auto"/>
              </w:rPr>
              <w:t>7,042(11)</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888,067</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14"/>
              <w:spacing w:after="0" w:line="149" w:lineRule="exact"/>
              <w:rPr>
                <w:sz w:val="20"/>
                <w:szCs w:val="20"/>
                <w:color w:val="auto"/>
              </w:rPr>
            </w:pPr>
            <w:r>
              <w:rPr>
                <w:rFonts w:ascii="Arial" w:cs="Arial" w:eastAsia="Arial" w:hAnsi="Arial"/>
                <w:sz w:val="14"/>
                <w:szCs w:val="14"/>
                <w:color w:val="auto"/>
              </w:rPr>
              <w:t>3,850(9)</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485,524</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3,875(12)</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488,676</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3,983(13)</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502,296</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6,920(14)</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872,681</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15,280(15)</w:t>
            </w:r>
          </w:p>
        </w:tc>
        <w:tc>
          <w:tcPr>
            <w:tcW w:w="90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$1,926,961</w:t>
            </w:r>
          </w:p>
        </w:tc>
        <w:tc>
          <w:tcPr>
            <w:tcW w:w="12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22,380(16)</w:t>
            </w:r>
          </w:p>
        </w:tc>
        <w:tc>
          <w:tcPr>
            <w:tcW w:w="1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54"/>
              <w:spacing w:after="0" w:line="149" w:lineRule="exact"/>
              <w:rPr>
                <w:sz w:val="20"/>
                <w:szCs w:val="20"/>
                <w:color w:val="auto"/>
              </w:rPr>
            </w:pPr>
            <w:r>
              <w:rPr>
                <w:rFonts w:ascii="Arial" w:cs="Arial" w:eastAsia="Arial" w:hAnsi="Arial"/>
                <w:sz w:val="14"/>
                <w:szCs w:val="14"/>
                <w:color w:val="auto"/>
              </w:rPr>
              <w:t>2,822,342</w:t>
            </w:r>
          </w:p>
        </w:tc>
        <w:tc>
          <w:tcPr>
            <w:tcW w:w="0" w:type="dxa"/>
            <w:vAlign w:val="bottom"/>
          </w:tcPr>
          <w:p>
            <w:pPr>
              <w:spacing w:after="0"/>
              <w:rPr>
                <w:sz w:val="1"/>
                <w:szCs w:val="1"/>
                <w:color w:val="auto"/>
              </w:rPr>
            </w:pPr>
          </w:p>
        </w:tc>
      </w:tr>
      <w:tr>
        <w:trPr>
          <w:trHeight w:val="165"/>
        </w:trPr>
        <w:tc>
          <w:tcPr>
            <w:tcW w:w="1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23,520(17)</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2,966,107</w:t>
            </w:r>
          </w:p>
        </w:tc>
        <w:tc>
          <w:tcPr>
            <w:tcW w:w="0" w:type="dxa"/>
            <w:vAlign w:val="bottom"/>
          </w:tcPr>
          <w:p>
            <w:pPr>
              <w:spacing w:after="0"/>
              <w:rPr>
                <w:sz w:val="1"/>
                <w:szCs w:val="1"/>
                <w:color w:val="auto"/>
              </w:rPr>
            </w:pPr>
          </w:p>
        </w:tc>
      </w:tr>
      <w:tr>
        <w:trPr>
          <w:trHeight w:val="125"/>
        </w:trPr>
        <w:tc>
          <w:tcPr>
            <w:tcW w:w="1820" w:type="dxa"/>
            <w:vAlign w:val="bottom"/>
            <w:shd w:val="clear" w:color="auto" w:fill="E6EDF3"/>
          </w:tcPr>
          <w:p>
            <w:pPr>
              <w:ind w:left="40"/>
              <w:spacing w:after="0" w:line="125" w:lineRule="exact"/>
              <w:rPr>
                <w:sz w:val="20"/>
                <w:szCs w:val="20"/>
                <w:color w:val="auto"/>
              </w:rPr>
            </w:pPr>
            <w:r>
              <w:rPr>
                <w:rFonts w:ascii="Arial" w:cs="Arial" w:eastAsia="Arial" w:hAnsi="Arial"/>
                <w:sz w:val="14"/>
                <w:szCs w:val="14"/>
                <w:color w:val="auto"/>
              </w:rPr>
              <w:t>Mara E. Swan</w:t>
            </w:r>
          </w:p>
        </w:tc>
        <w:tc>
          <w:tcPr>
            <w:tcW w:w="200" w:type="dxa"/>
            <w:vAlign w:val="bottom"/>
            <w:shd w:val="clear" w:color="auto" w:fill="E6EDF3"/>
          </w:tcPr>
          <w:p>
            <w:pPr>
              <w:spacing w:after="0"/>
              <w:rPr>
                <w:sz w:val="10"/>
                <w:szCs w:val="10"/>
                <w:color w:val="auto"/>
              </w:rPr>
            </w:pPr>
          </w:p>
        </w:tc>
        <w:tc>
          <w:tcPr>
            <w:tcW w:w="760" w:type="dxa"/>
            <w:vAlign w:val="bottom"/>
            <w:gridSpan w:val="2"/>
            <w:shd w:val="clear" w:color="auto" w:fill="E6EDF3"/>
          </w:tcPr>
          <w:p>
            <w:pPr>
              <w:jc w:val="right"/>
              <w:ind w:right="93"/>
              <w:spacing w:after="0" w:line="125" w:lineRule="exact"/>
              <w:rPr>
                <w:sz w:val="20"/>
                <w:szCs w:val="20"/>
                <w:color w:val="auto"/>
              </w:rPr>
            </w:pPr>
            <w:r>
              <w:rPr>
                <w:rFonts w:ascii="Arial" w:cs="Arial" w:eastAsia="Arial" w:hAnsi="Arial"/>
                <w:sz w:val="14"/>
                <w:szCs w:val="14"/>
                <w:color w:val="auto"/>
              </w:rPr>
              <w:t>7,056</w:t>
            </w:r>
          </w:p>
        </w:tc>
        <w:tc>
          <w:tcPr>
            <w:tcW w:w="1280" w:type="dxa"/>
            <w:vAlign w:val="bottom"/>
            <w:gridSpan w:val="3"/>
            <w:shd w:val="clear" w:color="auto" w:fill="E6EDF3"/>
          </w:tcPr>
          <w:p>
            <w:pPr>
              <w:jc w:val="right"/>
              <w:spacing w:after="0" w:line="125" w:lineRule="exact"/>
              <w:rPr>
                <w:sz w:val="20"/>
                <w:szCs w:val="20"/>
                <w:color w:val="auto"/>
              </w:rPr>
            </w:pPr>
            <w:r>
              <w:rPr>
                <w:rFonts w:ascii="Arial" w:cs="Arial" w:eastAsia="Arial" w:hAnsi="Arial"/>
                <w:sz w:val="14"/>
                <w:szCs w:val="14"/>
                <w:color w:val="auto"/>
              </w:rPr>
              <w:t>2,353(4)</w:t>
            </w:r>
          </w:p>
        </w:tc>
        <w:tc>
          <w:tcPr>
            <w:tcW w:w="260" w:type="dxa"/>
            <w:vAlign w:val="bottom"/>
            <w:shd w:val="clear" w:color="auto" w:fill="E6EDF3"/>
          </w:tcPr>
          <w:p>
            <w:pPr>
              <w:spacing w:after="0"/>
              <w:rPr>
                <w:sz w:val="10"/>
                <w:szCs w:val="10"/>
                <w:color w:val="auto"/>
              </w:rPr>
            </w:pPr>
          </w:p>
        </w:tc>
        <w:tc>
          <w:tcPr>
            <w:tcW w:w="840" w:type="dxa"/>
            <w:vAlign w:val="bottom"/>
            <w:shd w:val="clear" w:color="auto" w:fill="E6EDF3"/>
          </w:tcPr>
          <w:p>
            <w:pPr>
              <w:jc w:val="center"/>
              <w:ind w:right="54"/>
              <w:spacing w:after="0" w:line="125"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6EDF3"/>
          </w:tcPr>
          <w:p>
            <w:pPr>
              <w:ind w:left="120"/>
              <w:spacing w:after="0" w:line="125"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line="125" w:lineRule="exact"/>
              <w:rPr>
                <w:sz w:val="20"/>
                <w:szCs w:val="20"/>
                <w:color w:val="auto"/>
              </w:rPr>
            </w:pPr>
            <w:r>
              <w:rPr>
                <w:rFonts w:ascii="Arial" w:cs="Arial" w:eastAsia="Arial" w:hAnsi="Arial"/>
                <w:sz w:val="14"/>
                <w:szCs w:val="14"/>
                <w:color w:val="auto"/>
              </w:rPr>
              <w:t>76.13</w:t>
            </w:r>
          </w:p>
        </w:tc>
        <w:tc>
          <w:tcPr>
            <w:tcW w:w="800" w:type="dxa"/>
            <w:vAlign w:val="bottom"/>
            <w:shd w:val="clear" w:color="auto" w:fill="E6EDF3"/>
          </w:tcPr>
          <w:p>
            <w:pPr>
              <w:jc w:val="right"/>
              <w:spacing w:after="0" w:line="125" w:lineRule="exact"/>
              <w:rPr>
                <w:sz w:val="20"/>
                <w:szCs w:val="20"/>
                <w:color w:val="auto"/>
              </w:rPr>
            </w:pPr>
            <w:r>
              <w:rPr>
                <w:rFonts w:ascii="Arial" w:cs="Arial" w:eastAsia="Arial" w:hAnsi="Arial"/>
                <w:sz w:val="14"/>
                <w:szCs w:val="14"/>
                <w:color w:val="auto"/>
              </w:rPr>
              <w:t>2/11/2024</w:t>
            </w:r>
          </w:p>
        </w:tc>
        <w:tc>
          <w:tcPr>
            <w:tcW w:w="120" w:type="dxa"/>
            <w:vAlign w:val="bottom"/>
            <w:shd w:val="clear" w:color="auto" w:fill="E6EDF3"/>
          </w:tcPr>
          <w:p>
            <w:pPr>
              <w:spacing w:after="0"/>
              <w:rPr>
                <w:sz w:val="10"/>
                <w:szCs w:val="10"/>
                <w:color w:val="auto"/>
              </w:rPr>
            </w:pPr>
          </w:p>
        </w:tc>
        <w:tc>
          <w:tcPr>
            <w:tcW w:w="1000" w:type="dxa"/>
            <w:vAlign w:val="bottom"/>
            <w:shd w:val="clear" w:color="auto" w:fill="E6EDF3"/>
          </w:tcPr>
          <w:p>
            <w:pPr>
              <w:jc w:val="right"/>
              <w:ind w:right="274"/>
              <w:spacing w:after="0" w:line="125"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0"/>
                <w:szCs w:val="10"/>
                <w:color w:val="auto"/>
              </w:rPr>
            </w:pPr>
          </w:p>
        </w:tc>
        <w:tc>
          <w:tcPr>
            <w:tcW w:w="680" w:type="dxa"/>
            <w:vAlign w:val="bottom"/>
            <w:shd w:val="clear" w:color="auto" w:fill="E6EDF3"/>
          </w:tcPr>
          <w:p>
            <w:pPr>
              <w:jc w:val="right"/>
              <w:ind w:right="13"/>
              <w:spacing w:after="0" w:line="125"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34"/>
              <w:spacing w:after="0" w:line="125"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0"/>
                <w:szCs w:val="10"/>
                <w:color w:val="auto"/>
              </w:rPr>
            </w:pPr>
          </w:p>
        </w:tc>
        <w:tc>
          <w:tcPr>
            <w:tcW w:w="880" w:type="dxa"/>
            <w:vAlign w:val="bottom"/>
            <w:shd w:val="clear" w:color="auto" w:fill="E6EDF3"/>
          </w:tcPr>
          <w:p>
            <w:pPr>
              <w:jc w:val="right"/>
              <w:ind w:right="54"/>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shd w:val="clear" w:color="auto" w:fill="E6EDF3"/>
          </w:tcPr>
          <w:p>
            <w:pPr>
              <w:ind w:left="220"/>
              <w:spacing w:after="0" w:line="149" w:lineRule="exact"/>
              <w:rPr>
                <w:sz w:val="20"/>
                <w:szCs w:val="20"/>
                <w:color w:val="auto"/>
              </w:rPr>
            </w:pPr>
            <w:r>
              <w:rPr>
                <w:rFonts w:ascii="Arial" w:cs="Arial" w:eastAsia="Arial" w:hAnsi="Arial"/>
                <w:sz w:val="14"/>
                <w:szCs w:val="14"/>
                <w:i w:val="1"/>
                <w:iCs w:val="1"/>
                <w:color w:val="auto"/>
                <w:w w:val="99"/>
              </w:rPr>
              <w:t>EVP, Global Strategy and</w:t>
            </w:r>
          </w:p>
        </w:tc>
        <w:tc>
          <w:tcPr>
            <w:tcW w:w="2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5,540</w:t>
            </w:r>
          </w:p>
        </w:tc>
        <w:tc>
          <w:tcPr>
            <w:tcW w:w="1280" w:type="dxa"/>
            <w:vAlign w:val="bottom"/>
            <w:gridSpan w:val="3"/>
            <w:shd w:val="clear" w:color="auto" w:fill="E6EDF3"/>
          </w:tcPr>
          <w:p>
            <w:pPr>
              <w:jc w:val="right"/>
              <w:spacing w:after="0" w:line="149" w:lineRule="exact"/>
              <w:rPr>
                <w:sz w:val="20"/>
                <w:szCs w:val="20"/>
                <w:color w:val="auto"/>
              </w:rPr>
            </w:pPr>
            <w:r>
              <w:rPr>
                <w:rFonts w:ascii="Arial" w:cs="Arial" w:eastAsia="Arial" w:hAnsi="Arial"/>
                <w:sz w:val="14"/>
                <w:szCs w:val="14"/>
                <w:color w:val="auto"/>
              </w:rPr>
              <w:t>5,541(5)</w:t>
            </w:r>
          </w:p>
        </w:tc>
        <w:tc>
          <w:tcPr>
            <w:tcW w:w="26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76.97</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2/10/2025</w:t>
            </w:r>
          </w:p>
        </w:tc>
        <w:tc>
          <w:tcPr>
            <w:tcW w:w="12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74"/>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shd w:val="clear" w:color="auto" w:fill="E6EDF3"/>
          </w:tcPr>
          <w:p>
            <w:pPr>
              <w:ind w:left="220"/>
              <w:spacing w:after="0" w:line="149" w:lineRule="exact"/>
              <w:rPr>
                <w:sz w:val="20"/>
                <w:szCs w:val="20"/>
                <w:color w:val="auto"/>
              </w:rPr>
            </w:pPr>
            <w:r>
              <w:rPr>
                <w:rFonts w:ascii="Arial" w:cs="Arial" w:eastAsia="Arial" w:hAnsi="Arial"/>
                <w:sz w:val="14"/>
                <w:szCs w:val="14"/>
                <w:i w:val="1"/>
                <w:iCs w:val="1"/>
                <w:color w:val="auto"/>
              </w:rPr>
              <w:t>Talent</w:t>
            </w:r>
          </w:p>
        </w:tc>
        <w:tc>
          <w:tcPr>
            <w:tcW w:w="2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3,049</w:t>
            </w:r>
          </w:p>
        </w:tc>
        <w:tc>
          <w:tcPr>
            <w:tcW w:w="1280" w:type="dxa"/>
            <w:vAlign w:val="bottom"/>
            <w:gridSpan w:val="3"/>
            <w:shd w:val="clear" w:color="auto" w:fill="E6EDF3"/>
          </w:tcPr>
          <w:p>
            <w:pPr>
              <w:jc w:val="right"/>
              <w:spacing w:after="0" w:line="149" w:lineRule="exact"/>
              <w:rPr>
                <w:sz w:val="20"/>
                <w:szCs w:val="20"/>
                <w:color w:val="auto"/>
              </w:rPr>
            </w:pPr>
            <w:r>
              <w:rPr>
                <w:rFonts w:ascii="Arial" w:cs="Arial" w:eastAsia="Arial" w:hAnsi="Arial"/>
                <w:sz w:val="14"/>
                <w:szCs w:val="14"/>
                <w:color w:val="auto"/>
              </w:rPr>
              <w:t>9,147(7)</w:t>
            </w:r>
          </w:p>
        </w:tc>
        <w:tc>
          <w:tcPr>
            <w:tcW w:w="26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75.07</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2/16/2026</w:t>
            </w:r>
          </w:p>
        </w:tc>
        <w:tc>
          <w:tcPr>
            <w:tcW w:w="12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74"/>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shd w:val="clear" w:color="auto" w:fill="E6EDF3"/>
          </w:tcPr>
          <w:p>
            <w:pPr>
              <w:jc w:val="right"/>
              <w:spacing w:after="0" w:line="149" w:lineRule="exact"/>
              <w:rPr>
                <w:sz w:val="20"/>
                <w:szCs w:val="20"/>
                <w:color w:val="auto"/>
              </w:rPr>
            </w:pPr>
            <w:r>
              <w:rPr>
                <w:rFonts w:ascii="Arial" w:cs="Arial" w:eastAsia="Arial" w:hAnsi="Arial"/>
                <w:sz w:val="14"/>
                <w:szCs w:val="14"/>
                <w:color w:val="auto"/>
              </w:rPr>
              <w:t>10,556(8)</w:t>
            </w:r>
          </w:p>
        </w:tc>
        <w:tc>
          <w:tcPr>
            <w:tcW w:w="26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96.94</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2/9/2027</w:t>
            </w:r>
          </w:p>
        </w:tc>
        <w:tc>
          <w:tcPr>
            <w:tcW w:w="12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74"/>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6EDF3"/>
          </w:tcPr>
          <w:p>
            <w:pPr>
              <w:jc w:val="right"/>
              <w:ind w:right="54"/>
              <w:spacing w:after="0" w:line="149" w:lineRule="exact"/>
              <w:rPr>
                <w:sz w:val="20"/>
                <w:szCs w:val="20"/>
                <w:color w:val="auto"/>
              </w:rPr>
            </w:pPr>
            <w:r>
              <w:rPr>
                <w:rFonts w:ascii="Arial" w:cs="Arial" w:eastAsia="Arial" w:hAnsi="Arial"/>
                <w:sz w:val="14"/>
                <w:szCs w:val="14"/>
                <w:color w:val="auto"/>
              </w:rPr>
              <w:t>7,042(11)</w:t>
            </w:r>
          </w:p>
        </w:tc>
        <w:tc>
          <w:tcPr>
            <w:tcW w:w="22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888,067</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6EDF3"/>
          </w:tcPr>
          <w:p>
            <w:pPr>
              <w:jc w:val="right"/>
              <w:ind w:right="114"/>
              <w:spacing w:after="0" w:line="149" w:lineRule="exact"/>
              <w:rPr>
                <w:sz w:val="20"/>
                <w:szCs w:val="20"/>
                <w:color w:val="auto"/>
              </w:rPr>
            </w:pPr>
            <w:r>
              <w:rPr>
                <w:rFonts w:ascii="Arial" w:cs="Arial" w:eastAsia="Arial" w:hAnsi="Arial"/>
                <w:sz w:val="14"/>
                <w:szCs w:val="14"/>
                <w:color w:val="auto"/>
              </w:rPr>
              <w:t>3,301(9)</w:t>
            </w:r>
          </w:p>
        </w:tc>
        <w:tc>
          <w:tcPr>
            <w:tcW w:w="22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416,289</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26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6EDF3"/>
          </w:tcPr>
          <w:p>
            <w:pPr>
              <w:jc w:val="right"/>
              <w:ind w:right="34"/>
              <w:spacing w:after="0" w:line="149" w:lineRule="exact"/>
              <w:rPr>
                <w:sz w:val="20"/>
                <w:szCs w:val="20"/>
                <w:color w:val="auto"/>
              </w:rPr>
            </w:pPr>
            <w:r>
              <w:rPr>
                <w:rFonts w:ascii="Arial" w:cs="Arial" w:eastAsia="Arial" w:hAnsi="Arial"/>
                <w:sz w:val="14"/>
                <w:szCs w:val="14"/>
                <w:color w:val="auto"/>
              </w:rPr>
              <w:t>3,322(12)</w:t>
            </w:r>
          </w:p>
        </w:tc>
        <w:tc>
          <w:tcPr>
            <w:tcW w:w="22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418,937</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26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6EDF3"/>
          </w:tcPr>
          <w:p>
            <w:pPr>
              <w:jc w:val="right"/>
              <w:ind w:right="34"/>
              <w:spacing w:after="0" w:line="149" w:lineRule="exact"/>
              <w:rPr>
                <w:sz w:val="20"/>
                <w:szCs w:val="20"/>
                <w:color w:val="auto"/>
              </w:rPr>
            </w:pPr>
            <w:r>
              <w:rPr>
                <w:rFonts w:ascii="Arial" w:cs="Arial" w:eastAsia="Arial" w:hAnsi="Arial"/>
                <w:sz w:val="14"/>
                <w:szCs w:val="14"/>
                <w:color w:val="auto"/>
              </w:rPr>
              <w:t>2,831(13)</w:t>
            </w:r>
          </w:p>
        </w:tc>
        <w:tc>
          <w:tcPr>
            <w:tcW w:w="22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357,017</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26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6EDF3"/>
          </w:tcPr>
          <w:p>
            <w:pPr>
              <w:jc w:val="right"/>
              <w:ind w:right="34"/>
              <w:spacing w:after="0" w:line="149" w:lineRule="exact"/>
              <w:rPr>
                <w:sz w:val="20"/>
                <w:szCs w:val="20"/>
                <w:color w:val="auto"/>
              </w:rPr>
            </w:pPr>
            <w:r>
              <w:rPr>
                <w:rFonts w:ascii="Arial" w:cs="Arial" w:eastAsia="Arial" w:hAnsi="Arial"/>
                <w:sz w:val="14"/>
                <w:szCs w:val="14"/>
                <w:color w:val="auto"/>
              </w:rPr>
              <w:t>13,097(15)</w:t>
            </w:r>
          </w:p>
        </w:tc>
        <w:tc>
          <w:tcPr>
            <w:tcW w:w="900" w:type="dxa"/>
            <w:vAlign w:val="bottom"/>
            <w:gridSpan w:val="2"/>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$1,651,663</w:t>
            </w:r>
          </w:p>
        </w:tc>
        <w:tc>
          <w:tcPr>
            <w:tcW w:w="1220" w:type="dxa"/>
            <w:vAlign w:val="bottom"/>
            <w:shd w:val="clear" w:color="auto" w:fill="E6EDF3"/>
          </w:tcPr>
          <w:p>
            <w:pPr>
              <w:jc w:val="right"/>
              <w:ind w:right="23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2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260" w:type="dxa"/>
            <w:vAlign w:val="bottom"/>
            <w:shd w:val="clear" w:color="auto" w:fill="E6EDF3"/>
          </w:tcPr>
          <w:p>
            <w:pPr>
              <w:spacing w:after="0"/>
              <w:rPr>
                <w:sz w:val="12"/>
                <w:szCs w:val="12"/>
                <w:color w:val="auto"/>
              </w:rPr>
            </w:pPr>
          </w:p>
        </w:tc>
        <w:tc>
          <w:tcPr>
            <w:tcW w:w="840" w:type="dxa"/>
            <w:vAlign w:val="bottom"/>
            <w:shd w:val="clear" w:color="auto" w:fill="E6EDF3"/>
          </w:tcPr>
          <w:p>
            <w:pPr>
              <w:jc w:val="center"/>
              <w:ind w:right="54"/>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6EDF3"/>
          </w:tcPr>
          <w:p>
            <w:pPr>
              <w:spacing w:after="0"/>
              <w:rPr>
                <w:sz w:val="12"/>
                <w:szCs w:val="12"/>
                <w:color w:val="auto"/>
              </w:rPr>
            </w:pPr>
          </w:p>
        </w:tc>
        <w:tc>
          <w:tcPr>
            <w:tcW w:w="54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274"/>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8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19,184(16)</w:t>
            </w:r>
          </w:p>
        </w:tc>
        <w:tc>
          <w:tcPr>
            <w:tcW w:w="180" w:type="dxa"/>
            <w:vAlign w:val="bottom"/>
            <w:shd w:val="clear" w:color="auto" w:fill="E6EDF3"/>
          </w:tcPr>
          <w:p>
            <w:pPr>
              <w:ind w:left="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54"/>
              <w:spacing w:after="0" w:line="149" w:lineRule="exact"/>
              <w:rPr>
                <w:sz w:val="20"/>
                <w:szCs w:val="20"/>
                <w:color w:val="auto"/>
              </w:rPr>
            </w:pPr>
            <w:r>
              <w:rPr>
                <w:rFonts w:ascii="Arial" w:cs="Arial" w:eastAsia="Arial" w:hAnsi="Arial"/>
                <w:sz w:val="14"/>
                <w:szCs w:val="14"/>
                <w:color w:val="auto"/>
              </w:rPr>
              <w:t>2,419,294</w:t>
            </w:r>
          </w:p>
        </w:tc>
        <w:tc>
          <w:tcPr>
            <w:tcW w:w="0" w:type="dxa"/>
            <w:vAlign w:val="bottom"/>
          </w:tcPr>
          <w:p>
            <w:pPr>
              <w:spacing w:after="0"/>
              <w:rPr>
                <w:sz w:val="1"/>
                <w:szCs w:val="1"/>
                <w:color w:val="auto"/>
              </w:rPr>
            </w:pPr>
          </w:p>
        </w:tc>
      </w:tr>
      <w:tr>
        <w:trPr>
          <w:trHeight w:val="165"/>
        </w:trPr>
        <w:tc>
          <w:tcPr>
            <w:tcW w:w="1820" w:type="dxa"/>
            <w:vAlign w:val="bottom"/>
            <w:tcBorders>
              <w:bottom w:val="single" w:sz="8" w:color="auto"/>
            </w:tcBorders>
            <w:shd w:val="clear" w:color="auto" w:fill="E6EDF3"/>
          </w:tcPr>
          <w:p>
            <w:pPr>
              <w:spacing w:after="0"/>
              <w:rPr>
                <w:sz w:val="14"/>
                <w:szCs w:val="14"/>
                <w:color w:val="auto"/>
              </w:rPr>
            </w:pPr>
          </w:p>
        </w:tc>
        <w:tc>
          <w:tcPr>
            <w:tcW w:w="200" w:type="dxa"/>
            <w:vAlign w:val="bottom"/>
            <w:tcBorders>
              <w:bottom w:val="single" w:sz="8" w:color="auto"/>
            </w:tcBorders>
            <w:shd w:val="clear" w:color="auto" w:fill="E6EDF3"/>
          </w:tcPr>
          <w:p>
            <w:pPr>
              <w:spacing w:after="0"/>
              <w:rPr>
                <w:sz w:val="14"/>
                <w:szCs w:val="14"/>
                <w:color w:val="auto"/>
              </w:rPr>
            </w:pPr>
          </w:p>
        </w:tc>
        <w:tc>
          <w:tcPr>
            <w:tcW w:w="60" w:type="dxa"/>
            <w:vAlign w:val="bottom"/>
            <w:tcBorders>
              <w:bottom w:val="single" w:sz="8" w:color="auto"/>
            </w:tcBorders>
            <w:shd w:val="clear" w:color="auto" w:fill="E6EDF3"/>
          </w:tcPr>
          <w:p>
            <w:pPr>
              <w:spacing w:after="0"/>
              <w:rPr>
                <w:sz w:val="14"/>
                <w:szCs w:val="14"/>
                <w:color w:val="auto"/>
              </w:rPr>
            </w:pPr>
          </w:p>
        </w:tc>
        <w:tc>
          <w:tcPr>
            <w:tcW w:w="700" w:type="dxa"/>
            <w:vAlign w:val="bottom"/>
            <w:tcBorders>
              <w:bottom w:val="single" w:sz="8" w:color="auto"/>
            </w:tcBorders>
            <w:shd w:val="clear" w:color="auto" w:fill="E6EDF3"/>
          </w:tcPr>
          <w:p>
            <w:pPr>
              <w:jc w:val="right"/>
              <w:ind w:right="93"/>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6EDF3"/>
          </w:tcPr>
          <w:p>
            <w:pPr>
              <w:spacing w:after="0"/>
              <w:rPr>
                <w:sz w:val="14"/>
                <w:szCs w:val="14"/>
                <w:color w:val="auto"/>
              </w:rPr>
            </w:pPr>
          </w:p>
        </w:tc>
        <w:tc>
          <w:tcPr>
            <w:tcW w:w="8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6EDF3"/>
          </w:tcPr>
          <w:p>
            <w:pPr>
              <w:spacing w:after="0"/>
              <w:rPr>
                <w:sz w:val="14"/>
                <w:szCs w:val="14"/>
                <w:color w:val="auto"/>
              </w:rPr>
            </w:pPr>
          </w:p>
        </w:tc>
        <w:tc>
          <w:tcPr>
            <w:tcW w:w="260" w:type="dxa"/>
            <w:vAlign w:val="bottom"/>
            <w:tcBorders>
              <w:bottom w:val="single" w:sz="8" w:color="auto"/>
            </w:tcBorders>
            <w:shd w:val="clear" w:color="auto" w:fill="E6EDF3"/>
          </w:tcPr>
          <w:p>
            <w:pPr>
              <w:spacing w:after="0"/>
              <w:rPr>
                <w:sz w:val="14"/>
                <w:szCs w:val="14"/>
                <w:color w:val="auto"/>
              </w:rPr>
            </w:pPr>
          </w:p>
        </w:tc>
        <w:tc>
          <w:tcPr>
            <w:tcW w:w="840" w:type="dxa"/>
            <w:vAlign w:val="bottom"/>
            <w:tcBorders>
              <w:bottom w:val="single" w:sz="8" w:color="auto"/>
            </w:tcBorders>
            <w:shd w:val="clear" w:color="auto" w:fill="E6EDF3"/>
          </w:tcPr>
          <w:p>
            <w:pPr>
              <w:jc w:val="center"/>
              <w:ind w:right="54"/>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auto"/>
            </w:tcBorders>
            <w:shd w:val="clear" w:color="auto" w:fill="E6EDF3"/>
          </w:tcPr>
          <w:p>
            <w:pPr>
              <w:spacing w:after="0"/>
              <w:rPr>
                <w:sz w:val="14"/>
                <w:szCs w:val="14"/>
                <w:color w:val="auto"/>
              </w:rPr>
            </w:pPr>
          </w:p>
        </w:tc>
        <w:tc>
          <w:tcPr>
            <w:tcW w:w="540" w:type="dxa"/>
            <w:vAlign w:val="bottom"/>
            <w:tcBorders>
              <w:bottom w:val="single" w:sz="8" w:color="auto"/>
            </w:tcBorders>
            <w:shd w:val="clear" w:color="auto" w:fill="E6EDF3"/>
          </w:tcPr>
          <w:p>
            <w:pPr>
              <w:jc w:val="right"/>
              <w:ind w:right="53"/>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6EDF3"/>
          </w:tcPr>
          <w:p>
            <w:pPr>
              <w:spacing w:after="0"/>
              <w:rPr>
                <w:sz w:val="14"/>
                <w:szCs w:val="14"/>
                <w:color w:val="auto"/>
              </w:rPr>
            </w:pPr>
          </w:p>
        </w:tc>
        <w:tc>
          <w:tcPr>
            <w:tcW w:w="1000" w:type="dxa"/>
            <w:vAlign w:val="bottom"/>
            <w:tcBorders>
              <w:bottom w:val="single" w:sz="8" w:color="auto"/>
            </w:tcBorders>
            <w:shd w:val="clear" w:color="auto" w:fill="E6EDF3"/>
          </w:tcPr>
          <w:p>
            <w:pPr>
              <w:jc w:val="right"/>
              <w:ind w:right="274"/>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6EDF3"/>
          </w:tcPr>
          <w:p>
            <w:pPr>
              <w:spacing w:after="0"/>
              <w:rPr>
                <w:sz w:val="14"/>
                <w:szCs w:val="14"/>
                <w:color w:val="auto"/>
              </w:rPr>
            </w:pPr>
          </w:p>
        </w:tc>
        <w:tc>
          <w:tcPr>
            <w:tcW w:w="680" w:type="dxa"/>
            <w:vAlign w:val="bottom"/>
            <w:tcBorders>
              <w:bottom w:val="single" w:sz="8" w:color="auto"/>
            </w:tcBorders>
            <w:shd w:val="clear" w:color="auto" w:fill="E6EDF3"/>
          </w:tcPr>
          <w:p>
            <w:pPr>
              <w:jc w:val="right"/>
              <w:ind w:right="1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16,712(17)</w:t>
            </w:r>
          </w:p>
        </w:tc>
        <w:tc>
          <w:tcPr>
            <w:tcW w:w="18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6EDF3"/>
          </w:tcPr>
          <w:p>
            <w:pPr>
              <w:jc w:val="right"/>
              <w:ind w:right="54"/>
              <w:spacing w:after="0"/>
              <w:rPr>
                <w:sz w:val="20"/>
                <w:szCs w:val="20"/>
                <w:color w:val="auto"/>
              </w:rPr>
            </w:pPr>
            <w:r>
              <w:rPr>
                <w:rFonts w:ascii="Arial" w:cs="Arial" w:eastAsia="Arial" w:hAnsi="Arial"/>
                <w:sz w:val="14"/>
                <w:szCs w:val="14"/>
                <w:color w:val="auto"/>
              </w:rPr>
              <w:t>2,107,550</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outstanding grants of restricted stock, restricted stock units, career shares or earned but unvested performance share units.</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Value based on the closing price of $126.11 on December 31, 2017.</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outstanding grants of performance share units, measured at target levels, except as otherwise provided herein.</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remaining unvested options vested on February 11, 2018.</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50% of the remaining unvested options vested on February 10, 2018 and the remaining unvested options are scheduled to vest on February 10, 2019.</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remaining unvested options are scheduled to vest on May 1, 2018.</w:t>
      </w:r>
    </w:p>
    <w:p>
      <w:pPr>
        <w:spacing w:after="0" w:line="68" w:lineRule="exact"/>
        <w:rPr>
          <w:rFonts w:ascii="Arial" w:cs="Arial" w:eastAsia="Arial" w:hAnsi="Arial"/>
          <w:sz w:val="14"/>
          <w:szCs w:val="14"/>
          <w:color w:val="auto"/>
        </w:rPr>
      </w:pPr>
    </w:p>
    <w:p>
      <w:pPr>
        <w:ind w:left="520" w:right="160" w:hanging="316"/>
        <w:spacing w:after="0" w:line="29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33% of the remaining unvested options vested on February 16, 2018, and 33% of the remaining unvested options are scheduled to vest on each of February 16, 2019 and 2020.</w:t>
      </w:r>
    </w:p>
    <w:p>
      <w:pPr>
        <w:spacing w:after="0" w:line="1" w:lineRule="exact"/>
        <w:rPr>
          <w:rFonts w:ascii="Arial" w:cs="Arial" w:eastAsia="Arial" w:hAnsi="Arial"/>
          <w:sz w:val="14"/>
          <w:szCs w:val="14"/>
          <w:color w:val="auto"/>
        </w:rPr>
      </w:pPr>
    </w:p>
    <w:p>
      <w:pPr>
        <w:ind w:left="520" w:right="360" w:hanging="316"/>
        <w:spacing w:after="0" w:line="29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25% of the unvested options vested on February 9, 2018 and 25% of the remaining unvested options are scheduled to vest on each of February 9, 2019, 2020 and 2021.</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restricted stock units vested on February 10, 2018.</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career shares vested on February 13, 2018.</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career shares vested on February 11, 2018.</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Restricted stock units scheduled to vest on February 16, 2019.</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Restricted stock units scheduled to vest on February 9, 2020.</w:t>
      </w:r>
    </w:p>
    <w:p>
      <w:pPr>
        <w:spacing w:after="0" w:line="68" w:lineRule="exact"/>
        <w:rPr>
          <w:rFonts w:ascii="Arial" w:cs="Arial" w:eastAsia="Arial" w:hAnsi="Arial"/>
          <w:sz w:val="14"/>
          <w:szCs w:val="14"/>
          <w:color w:val="auto"/>
        </w:rPr>
      </w:pPr>
    </w:p>
    <w:p>
      <w:pPr>
        <w:ind w:left="520" w:hanging="316"/>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Career shares scheduled to vest on February 16, 2021.</w:t>
      </w:r>
    </w:p>
    <w:p>
      <w:pPr>
        <w:spacing w:after="0" w:line="68" w:lineRule="exact"/>
        <w:rPr>
          <w:rFonts w:ascii="Arial" w:cs="Arial" w:eastAsia="Arial" w:hAnsi="Arial"/>
          <w:sz w:val="14"/>
          <w:szCs w:val="14"/>
          <w:color w:val="auto"/>
        </w:rPr>
      </w:pPr>
    </w:p>
    <w:p>
      <w:pPr>
        <w:ind w:left="520" w:right="120" w:hanging="316"/>
        <w:spacing w:after="0" w:line="29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performance shares represent the actual shares achieved during the 2015-2017 performance period. These shares were earned on February 15, 2018 after the Committee certified that the performance target was achieved as of December 31, 2017.</w:t>
      </w:r>
    </w:p>
    <w:p>
      <w:pPr>
        <w:spacing w:after="0" w:line="1" w:lineRule="exact"/>
        <w:rPr>
          <w:rFonts w:ascii="Arial" w:cs="Arial" w:eastAsia="Arial" w:hAnsi="Arial"/>
          <w:sz w:val="14"/>
          <w:szCs w:val="14"/>
          <w:color w:val="auto"/>
        </w:rPr>
      </w:pPr>
    </w:p>
    <w:p>
      <w:pPr>
        <w:ind w:left="520" w:right="300" w:hanging="316"/>
        <w:spacing w:after="0" w:line="29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Performance shares, reported at the outstanding level, scheduled to vest in February 2019 if the committee certifies that the performance targets are achieved as of December 31, 2018.</w:t>
      </w:r>
    </w:p>
    <w:p>
      <w:pPr>
        <w:spacing w:after="0" w:line="1" w:lineRule="exact"/>
        <w:rPr>
          <w:rFonts w:ascii="Arial" w:cs="Arial" w:eastAsia="Arial" w:hAnsi="Arial"/>
          <w:sz w:val="14"/>
          <w:szCs w:val="14"/>
          <w:color w:val="auto"/>
        </w:rPr>
      </w:pPr>
    </w:p>
    <w:p>
      <w:pPr>
        <w:ind w:left="520" w:right="300" w:hanging="316"/>
        <w:spacing w:after="0" w:line="29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Performance shares, reported at the outstanding level, scheduled to vest in February 2020 if the committee certifies that the performance targets are achieved as of December 31, 2019.</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60</w:t>
      </w:r>
    </w:p>
    <w:p>
      <w:pPr>
        <w:sectPr>
          <w:pgSz w:w="11900" w:h="16838" w:orient="portrait"/>
          <w:cols w:equalWidth="0" w:num="1">
            <w:col w:w="11240"/>
          </w:cols>
          <w:pgMar w:left="240" w:top="455" w:right="41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Option Exercises and Stock Vested in 2017</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4020" w:type="dxa"/>
            <w:vAlign w:val="bottom"/>
            <w:tcBorders>
              <w:top w:val="single" w:sz="8" w:color="auto"/>
              <w:bottom w:val="single" w:sz="8" w:color="9DB8D2"/>
            </w:tcBorders>
            <w:shd w:val="clear" w:color="auto" w:fill="9DB8D2"/>
          </w:tcPr>
          <w:p>
            <w:pPr>
              <w:spacing w:after="0"/>
              <w:rPr>
                <w:sz w:val="23"/>
                <w:szCs w:val="23"/>
                <w:color w:val="auto"/>
              </w:rPr>
            </w:pPr>
          </w:p>
        </w:tc>
        <w:tc>
          <w:tcPr>
            <w:tcW w:w="560" w:type="dxa"/>
            <w:vAlign w:val="bottom"/>
            <w:tcBorders>
              <w:top w:val="single" w:sz="8" w:color="auto"/>
              <w:bottom w:val="single" w:sz="8" w:color="9DB8D2"/>
            </w:tcBorders>
            <w:shd w:val="clear" w:color="auto" w:fill="9DB8D2"/>
          </w:tcPr>
          <w:p>
            <w:pPr>
              <w:spacing w:after="0"/>
              <w:rPr>
                <w:sz w:val="23"/>
                <w:szCs w:val="23"/>
                <w:color w:val="auto"/>
              </w:rPr>
            </w:pPr>
          </w:p>
        </w:tc>
        <w:tc>
          <w:tcPr>
            <w:tcW w:w="3060" w:type="dxa"/>
            <w:vAlign w:val="bottom"/>
            <w:tcBorders>
              <w:top w:val="single" w:sz="8" w:color="auto"/>
              <w:bottom w:val="single" w:sz="8" w:color="auto"/>
            </w:tcBorders>
            <w:gridSpan w:val="2"/>
            <w:shd w:val="clear" w:color="auto" w:fill="9DB8D2"/>
          </w:tcPr>
          <w:p>
            <w:pPr>
              <w:jc w:val="right"/>
              <w:ind w:right="982"/>
              <w:spacing w:after="0"/>
              <w:rPr>
                <w:sz w:val="20"/>
                <w:szCs w:val="20"/>
                <w:color w:val="auto"/>
              </w:rPr>
            </w:pPr>
            <w:r>
              <w:rPr>
                <w:rFonts w:ascii="Arial" w:cs="Arial" w:eastAsia="Arial" w:hAnsi="Arial"/>
                <w:sz w:val="14"/>
                <w:szCs w:val="14"/>
                <w:b w:val="1"/>
                <w:bCs w:val="1"/>
                <w:color w:val="auto"/>
              </w:rPr>
              <w:t>Option Awards</w:t>
            </w:r>
          </w:p>
        </w:tc>
        <w:tc>
          <w:tcPr>
            <w:tcW w:w="560" w:type="dxa"/>
            <w:vAlign w:val="bottom"/>
            <w:tcBorders>
              <w:top w:val="single" w:sz="8" w:color="auto"/>
              <w:bottom w:val="single" w:sz="8" w:color="9DB8D2"/>
            </w:tcBorders>
            <w:shd w:val="clear" w:color="auto" w:fill="9DB8D2"/>
          </w:tcPr>
          <w:p>
            <w:pPr>
              <w:spacing w:after="0"/>
              <w:rPr>
                <w:sz w:val="23"/>
                <w:szCs w:val="23"/>
                <w:color w:val="auto"/>
              </w:rPr>
            </w:pPr>
          </w:p>
        </w:tc>
        <w:tc>
          <w:tcPr>
            <w:tcW w:w="2820" w:type="dxa"/>
            <w:vAlign w:val="bottom"/>
            <w:tcBorders>
              <w:top w:val="single" w:sz="8" w:color="auto"/>
              <w:bottom w:val="single" w:sz="8" w:color="auto"/>
            </w:tcBorders>
            <w:gridSpan w:val="2"/>
            <w:shd w:val="clear" w:color="auto" w:fill="9DB8D2"/>
          </w:tcPr>
          <w:p>
            <w:pPr>
              <w:jc w:val="right"/>
              <w:ind w:right="1002"/>
              <w:spacing w:after="0"/>
              <w:rPr>
                <w:sz w:val="20"/>
                <w:szCs w:val="20"/>
                <w:color w:val="auto"/>
              </w:rPr>
            </w:pPr>
            <w:r>
              <w:rPr>
                <w:rFonts w:ascii="Arial" w:cs="Arial" w:eastAsia="Arial" w:hAnsi="Arial"/>
                <w:sz w:val="14"/>
                <w:szCs w:val="14"/>
                <w:b w:val="1"/>
                <w:bCs w:val="1"/>
                <w:color w:val="auto"/>
              </w:rPr>
              <w:t>Stock Awards</w:t>
            </w:r>
          </w:p>
        </w:tc>
      </w:tr>
      <w:tr>
        <w:trPr>
          <w:trHeight w:val="235"/>
        </w:trPr>
        <w:tc>
          <w:tcPr>
            <w:tcW w:w="4020" w:type="dxa"/>
            <w:vAlign w:val="bottom"/>
            <w:shd w:val="clear" w:color="auto" w:fill="9DB8D2"/>
          </w:tcPr>
          <w:p>
            <w:pPr>
              <w:spacing w:after="0"/>
              <w:rPr>
                <w:sz w:val="20"/>
                <w:szCs w:val="20"/>
                <w:color w:val="auto"/>
              </w:rPr>
            </w:pPr>
          </w:p>
        </w:tc>
        <w:tc>
          <w:tcPr>
            <w:tcW w:w="560" w:type="dxa"/>
            <w:vAlign w:val="bottom"/>
            <w:shd w:val="clear" w:color="auto" w:fill="9DB8D2"/>
          </w:tcPr>
          <w:p>
            <w:pPr>
              <w:spacing w:after="0"/>
              <w:rPr>
                <w:sz w:val="20"/>
                <w:szCs w:val="20"/>
                <w:color w:val="auto"/>
              </w:rPr>
            </w:pPr>
          </w:p>
        </w:tc>
        <w:tc>
          <w:tcPr>
            <w:tcW w:w="1460" w:type="dxa"/>
            <w:vAlign w:val="bottom"/>
            <w:shd w:val="clear" w:color="auto" w:fill="9DB8D2"/>
          </w:tcPr>
          <w:p>
            <w:pPr>
              <w:jc w:val="center"/>
              <w:ind w:right="266"/>
              <w:spacing w:after="0"/>
              <w:rPr>
                <w:sz w:val="20"/>
                <w:szCs w:val="20"/>
                <w:color w:val="auto"/>
              </w:rPr>
            </w:pPr>
            <w:r>
              <w:rPr>
                <w:rFonts w:ascii="Arial" w:cs="Arial" w:eastAsia="Arial" w:hAnsi="Arial"/>
                <w:sz w:val="14"/>
                <w:szCs w:val="14"/>
                <w:b w:val="1"/>
                <w:bCs w:val="1"/>
                <w:color w:val="auto"/>
              </w:rPr>
              <w:t>Number of</w:t>
            </w:r>
          </w:p>
        </w:tc>
        <w:tc>
          <w:tcPr>
            <w:tcW w:w="1600" w:type="dxa"/>
            <w:vAlign w:val="bottom"/>
            <w:shd w:val="clear" w:color="auto" w:fill="9DB8D2"/>
          </w:tcPr>
          <w:p>
            <w:pPr>
              <w:spacing w:after="0"/>
              <w:rPr>
                <w:sz w:val="20"/>
                <w:szCs w:val="20"/>
                <w:color w:val="auto"/>
              </w:rPr>
            </w:pPr>
          </w:p>
        </w:tc>
        <w:tc>
          <w:tcPr>
            <w:tcW w:w="560" w:type="dxa"/>
            <w:vAlign w:val="bottom"/>
            <w:shd w:val="clear" w:color="auto" w:fill="9DB8D2"/>
          </w:tcPr>
          <w:p>
            <w:pPr>
              <w:spacing w:after="0"/>
              <w:rPr>
                <w:sz w:val="20"/>
                <w:szCs w:val="20"/>
                <w:color w:val="auto"/>
              </w:rPr>
            </w:pPr>
          </w:p>
        </w:tc>
        <w:tc>
          <w:tcPr>
            <w:tcW w:w="1340" w:type="dxa"/>
            <w:vAlign w:val="bottom"/>
            <w:shd w:val="clear" w:color="auto" w:fill="9DB8D2"/>
          </w:tcPr>
          <w:p>
            <w:pPr>
              <w:jc w:val="center"/>
              <w:ind w:right="146"/>
              <w:spacing w:after="0"/>
              <w:rPr>
                <w:sz w:val="20"/>
                <w:szCs w:val="20"/>
                <w:color w:val="auto"/>
              </w:rPr>
            </w:pPr>
            <w:r>
              <w:rPr>
                <w:rFonts w:ascii="Arial" w:cs="Arial" w:eastAsia="Arial" w:hAnsi="Arial"/>
                <w:sz w:val="14"/>
                <w:szCs w:val="14"/>
                <w:b w:val="1"/>
                <w:bCs w:val="1"/>
                <w:color w:val="auto"/>
              </w:rPr>
              <w:t>Number of</w:t>
            </w:r>
          </w:p>
        </w:tc>
        <w:tc>
          <w:tcPr>
            <w:tcW w:w="1480" w:type="dxa"/>
            <w:vAlign w:val="bottom"/>
            <w:shd w:val="clear" w:color="auto" w:fill="9DB8D2"/>
          </w:tcPr>
          <w:p>
            <w:pPr>
              <w:spacing w:after="0"/>
              <w:rPr>
                <w:sz w:val="20"/>
                <w:szCs w:val="20"/>
                <w:color w:val="auto"/>
              </w:rPr>
            </w:pPr>
          </w:p>
        </w:tc>
      </w:tr>
      <w:tr>
        <w:trPr>
          <w:trHeight w:val="162"/>
        </w:trPr>
        <w:tc>
          <w:tcPr>
            <w:tcW w:w="4020" w:type="dxa"/>
            <w:vAlign w:val="bottom"/>
            <w:shd w:val="clear" w:color="auto" w:fill="9DB8D2"/>
          </w:tcPr>
          <w:p>
            <w:pPr>
              <w:spacing w:after="0"/>
              <w:rPr>
                <w:sz w:val="14"/>
                <w:szCs w:val="14"/>
                <w:color w:val="auto"/>
              </w:rPr>
            </w:pPr>
          </w:p>
        </w:tc>
        <w:tc>
          <w:tcPr>
            <w:tcW w:w="2020" w:type="dxa"/>
            <w:vAlign w:val="bottom"/>
            <w:gridSpan w:val="2"/>
            <w:shd w:val="clear" w:color="auto" w:fill="9DB8D2"/>
          </w:tcPr>
          <w:p>
            <w:pPr>
              <w:jc w:val="center"/>
              <w:ind w:left="162"/>
              <w:spacing w:after="0"/>
              <w:rPr>
                <w:sz w:val="20"/>
                <w:szCs w:val="20"/>
                <w:color w:val="auto"/>
              </w:rPr>
            </w:pPr>
            <w:r>
              <w:rPr>
                <w:rFonts w:ascii="Arial" w:cs="Arial" w:eastAsia="Arial" w:hAnsi="Arial"/>
                <w:sz w:val="14"/>
                <w:szCs w:val="14"/>
                <w:b w:val="1"/>
                <w:bCs w:val="1"/>
                <w:color w:val="auto"/>
              </w:rPr>
              <w:t>Shares Acquired</w:t>
            </w:r>
          </w:p>
        </w:tc>
        <w:tc>
          <w:tcPr>
            <w:tcW w:w="1600" w:type="dxa"/>
            <w:vAlign w:val="bottom"/>
            <w:shd w:val="clear" w:color="auto" w:fill="9DB8D2"/>
          </w:tcPr>
          <w:p>
            <w:pPr>
              <w:jc w:val="center"/>
              <w:ind w:left="162"/>
              <w:spacing w:after="0"/>
              <w:rPr>
                <w:sz w:val="20"/>
                <w:szCs w:val="20"/>
                <w:color w:val="auto"/>
              </w:rPr>
            </w:pPr>
            <w:r>
              <w:rPr>
                <w:rFonts w:ascii="Arial" w:cs="Arial" w:eastAsia="Arial" w:hAnsi="Arial"/>
                <w:sz w:val="14"/>
                <w:szCs w:val="14"/>
                <w:b w:val="1"/>
                <w:bCs w:val="1"/>
                <w:color w:val="auto"/>
              </w:rPr>
              <w:t>Value Realized on</w:t>
            </w:r>
          </w:p>
        </w:tc>
        <w:tc>
          <w:tcPr>
            <w:tcW w:w="1900" w:type="dxa"/>
            <w:vAlign w:val="bottom"/>
            <w:gridSpan w:val="2"/>
            <w:shd w:val="clear" w:color="auto" w:fill="9DB8D2"/>
          </w:tcPr>
          <w:p>
            <w:pPr>
              <w:jc w:val="center"/>
              <w:ind w:left="282"/>
              <w:spacing w:after="0"/>
              <w:rPr>
                <w:sz w:val="20"/>
                <w:szCs w:val="20"/>
                <w:color w:val="auto"/>
              </w:rPr>
            </w:pPr>
            <w:r>
              <w:rPr>
                <w:rFonts w:ascii="Arial" w:cs="Arial" w:eastAsia="Arial" w:hAnsi="Arial"/>
                <w:sz w:val="14"/>
                <w:szCs w:val="14"/>
                <w:b w:val="1"/>
                <w:bCs w:val="1"/>
                <w:color w:val="auto"/>
              </w:rPr>
              <w:t>Shares Acquired</w:t>
            </w:r>
          </w:p>
        </w:tc>
        <w:tc>
          <w:tcPr>
            <w:tcW w:w="1480" w:type="dxa"/>
            <w:vAlign w:val="bottom"/>
            <w:shd w:val="clear" w:color="auto" w:fill="9DB8D2"/>
          </w:tcPr>
          <w:p>
            <w:pPr>
              <w:jc w:val="center"/>
              <w:ind w:right="2"/>
              <w:spacing w:after="0"/>
              <w:rPr>
                <w:sz w:val="20"/>
                <w:szCs w:val="20"/>
                <w:color w:val="auto"/>
              </w:rPr>
            </w:pPr>
            <w:r>
              <w:rPr>
                <w:rFonts w:ascii="Arial" w:cs="Arial" w:eastAsia="Arial" w:hAnsi="Arial"/>
                <w:sz w:val="14"/>
                <w:szCs w:val="14"/>
                <w:b w:val="1"/>
                <w:bCs w:val="1"/>
                <w:color w:val="auto"/>
              </w:rPr>
              <w:t>Value Realized</w:t>
            </w:r>
          </w:p>
        </w:tc>
      </w:tr>
      <w:tr>
        <w:trPr>
          <w:trHeight w:val="162"/>
        </w:trPr>
        <w:tc>
          <w:tcPr>
            <w:tcW w:w="4020" w:type="dxa"/>
            <w:vAlign w:val="bottom"/>
            <w:shd w:val="clear" w:color="auto" w:fill="9DB8D2"/>
          </w:tcPr>
          <w:p>
            <w:pPr>
              <w:spacing w:after="0"/>
              <w:rPr>
                <w:sz w:val="14"/>
                <w:szCs w:val="14"/>
                <w:color w:val="auto"/>
              </w:rPr>
            </w:pPr>
          </w:p>
        </w:tc>
        <w:tc>
          <w:tcPr>
            <w:tcW w:w="560" w:type="dxa"/>
            <w:vAlign w:val="bottom"/>
            <w:shd w:val="clear" w:color="auto" w:fill="9DB8D2"/>
          </w:tcPr>
          <w:p>
            <w:pPr>
              <w:spacing w:after="0"/>
              <w:rPr>
                <w:sz w:val="14"/>
                <w:szCs w:val="14"/>
                <w:color w:val="auto"/>
              </w:rPr>
            </w:pPr>
          </w:p>
        </w:tc>
        <w:tc>
          <w:tcPr>
            <w:tcW w:w="1460" w:type="dxa"/>
            <w:vAlign w:val="bottom"/>
            <w:shd w:val="clear" w:color="auto" w:fill="9DB8D2"/>
          </w:tcPr>
          <w:p>
            <w:pPr>
              <w:jc w:val="center"/>
              <w:ind w:right="246"/>
              <w:spacing w:after="0"/>
              <w:rPr>
                <w:sz w:val="20"/>
                <w:szCs w:val="20"/>
                <w:color w:val="auto"/>
              </w:rPr>
            </w:pPr>
            <w:r>
              <w:rPr>
                <w:rFonts w:ascii="Arial" w:cs="Arial" w:eastAsia="Arial" w:hAnsi="Arial"/>
                <w:sz w:val="14"/>
                <w:szCs w:val="14"/>
                <w:b w:val="1"/>
                <w:bCs w:val="1"/>
                <w:color w:val="auto"/>
              </w:rPr>
              <w:t>on Exercise</w:t>
            </w:r>
          </w:p>
        </w:tc>
        <w:tc>
          <w:tcPr>
            <w:tcW w:w="1600" w:type="dxa"/>
            <w:vAlign w:val="bottom"/>
            <w:shd w:val="clear" w:color="auto" w:fill="9DB8D2"/>
          </w:tcPr>
          <w:p>
            <w:pPr>
              <w:jc w:val="center"/>
              <w:ind w:left="162"/>
              <w:spacing w:after="0"/>
              <w:rPr>
                <w:sz w:val="20"/>
                <w:szCs w:val="20"/>
                <w:color w:val="auto"/>
              </w:rPr>
            </w:pPr>
            <w:r>
              <w:rPr>
                <w:rFonts w:ascii="Arial" w:cs="Arial" w:eastAsia="Arial" w:hAnsi="Arial"/>
                <w:sz w:val="14"/>
                <w:szCs w:val="14"/>
                <w:b w:val="1"/>
                <w:bCs w:val="1"/>
                <w:color w:val="auto"/>
              </w:rPr>
              <w:t>Exercise</w:t>
            </w:r>
          </w:p>
        </w:tc>
        <w:tc>
          <w:tcPr>
            <w:tcW w:w="560" w:type="dxa"/>
            <w:vAlign w:val="bottom"/>
            <w:shd w:val="clear" w:color="auto" w:fill="9DB8D2"/>
          </w:tcPr>
          <w:p>
            <w:pPr>
              <w:spacing w:after="0"/>
              <w:rPr>
                <w:sz w:val="14"/>
                <w:szCs w:val="14"/>
                <w:color w:val="auto"/>
              </w:rPr>
            </w:pPr>
          </w:p>
        </w:tc>
        <w:tc>
          <w:tcPr>
            <w:tcW w:w="1340" w:type="dxa"/>
            <w:vAlign w:val="bottom"/>
            <w:shd w:val="clear" w:color="auto" w:fill="9DB8D2"/>
          </w:tcPr>
          <w:p>
            <w:pPr>
              <w:jc w:val="center"/>
              <w:ind w:right="126"/>
              <w:spacing w:after="0"/>
              <w:rPr>
                <w:sz w:val="20"/>
                <w:szCs w:val="20"/>
                <w:color w:val="auto"/>
              </w:rPr>
            </w:pPr>
            <w:r>
              <w:rPr>
                <w:rFonts w:ascii="Arial" w:cs="Arial" w:eastAsia="Arial" w:hAnsi="Arial"/>
                <w:sz w:val="14"/>
                <w:szCs w:val="14"/>
                <w:b w:val="1"/>
                <w:bCs w:val="1"/>
                <w:color w:val="auto"/>
              </w:rPr>
              <w:t>on Vesting</w:t>
            </w:r>
          </w:p>
        </w:tc>
        <w:tc>
          <w:tcPr>
            <w:tcW w:w="1480" w:type="dxa"/>
            <w:vAlign w:val="bottom"/>
            <w:shd w:val="clear" w:color="auto" w:fill="9DB8D2"/>
          </w:tcPr>
          <w:p>
            <w:pPr>
              <w:jc w:val="center"/>
              <w:ind w:right="2"/>
              <w:spacing w:after="0"/>
              <w:rPr>
                <w:sz w:val="20"/>
                <w:szCs w:val="20"/>
                <w:color w:val="auto"/>
              </w:rPr>
            </w:pPr>
            <w:r>
              <w:rPr>
                <w:rFonts w:ascii="Arial" w:cs="Arial" w:eastAsia="Arial" w:hAnsi="Arial"/>
                <w:sz w:val="14"/>
                <w:szCs w:val="14"/>
                <w:b w:val="1"/>
                <w:bCs w:val="1"/>
                <w:color w:val="auto"/>
              </w:rPr>
              <w:t>on Vesting</w:t>
            </w:r>
          </w:p>
        </w:tc>
      </w:tr>
      <w:tr>
        <w:trPr>
          <w:trHeight w:val="177"/>
        </w:trPr>
        <w:tc>
          <w:tcPr>
            <w:tcW w:w="402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 &amp; Principal Position</w:t>
            </w:r>
          </w:p>
        </w:tc>
        <w:tc>
          <w:tcPr>
            <w:tcW w:w="2020" w:type="dxa"/>
            <w:vAlign w:val="bottom"/>
            <w:tcBorders>
              <w:bottom w:val="single" w:sz="8" w:color="auto"/>
            </w:tcBorders>
            <w:gridSpan w:val="2"/>
            <w:shd w:val="clear" w:color="auto" w:fill="9DB8D2"/>
          </w:tcPr>
          <w:p>
            <w:pPr>
              <w:jc w:val="center"/>
              <w:ind w:left="162"/>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9DB8D2"/>
          </w:tcPr>
          <w:p>
            <w:pPr>
              <w:jc w:val="center"/>
              <w:ind w:left="162"/>
              <w:spacing w:after="0"/>
              <w:rPr>
                <w:sz w:val="20"/>
                <w:szCs w:val="20"/>
                <w:color w:val="auto"/>
              </w:rPr>
            </w:pPr>
            <w:r>
              <w:rPr>
                <w:rFonts w:ascii="Arial" w:cs="Arial" w:eastAsia="Arial" w:hAnsi="Arial"/>
                <w:sz w:val="14"/>
                <w:szCs w:val="14"/>
                <w:b w:val="1"/>
                <w:bCs w:val="1"/>
                <w:color w:val="auto"/>
                <w:w w:val="93"/>
              </w:rPr>
              <w:t>($)</w:t>
            </w:r>
          </w:p>
        </w:tc>
        <w:tc>
          <w:tcPr>
            <w:tcW w:w="1900" w:type="dxa"/>
            <w:vAlign w:val="bottom"/>
            <w:tcBorders>
              <w:bottom w:val="single" w:sz="8" w:color="auto"/>
            </w:tcBorders>
            <w:gridSpan w:val="2"/>
            <w:shd w:val="clear" w:color="auto" w:fill="9DB8D2"/>
          </w:tcPr>
          <w:p>
            <w:pPr>
              <w:jc w:val="center"/>
              <w:ind w:left="282"/>
              <w:spacing w:after="0"/>
              <w:rPr>
                <w:sz w:val="20"/>
                <w:szCs w:val="20"/>
                <w:color w:val="auto"/>
              </w:rPr>
            </w:pPr>
            <w:r>
              <w:rPr>
                <w:rFonts w:ascii="Arial" w:cs="Arial" w:eastAsia="Arial" w:hAnsi="Arial"/>
                <w:sz w:val="14"/>
                <w:szCs w:val="14"/>
                <w:b w:val="1"/>
                <w:bCs w:val="1"/>
                <w:color w:val="auto"/>
                <w:w w:val="99"/>
              </w:rPr>
              <w:t>(#)(1)</w:t>
            </w:r>
          </w:p>
        </w:tc>
        <w:tc>
          <w:tcPr>
            <w:tcW w:w="1480" w:type="dxa"/>
            <w:vAlign w:val="bottom"/>
            <w:tcBorders>
              <w:bottom w:val="single" w:sz="8" w:color="auto"/>
            </w:tcBorders>
            <w:shd w:val="clear" w:color="auto" w:fill="9DB8D2"/>
          </w:tcPr>
          <w:p>
            <w:pPr>
              <w:jc w:val="center"/>
              <w:ind w:right="2"/>
              <w:spacing w:after="0"/>
              <w:rPr>
                <w:sz w:val="20"/>
                <w:szCs w:val="20"/>
                <w:color w:val="auto"/>
              </w:rPr>
            </w:pPr>
            <w:r>
              <w:rPr>
                <w:rFonts w:ascii="Arial" w:cs="Arial" w:eastAsia="Arial" w:hAnsi="Arial"/>
                <w:sz w:val="14"/>
                <w:szCs w:val="14"/>
                <w:b w:val="1"/>
                <w:bCs w:val="1"/>
                <w:color w:val="auto"/>
                <w:w w:val="93"/>
              </w:rPr>
              <w:t>($)</w:t>
            </w:r>
          </w:p>
        </w:tc>
      </w:tr>
      <w:tr>
        <w:trPr>
          <w:trHeight w:val="166"/>
        </w:trPr>
        <w:tc>
          <w:tcPr>
            <w:tcW w:w="4020" w:type="dxa"/>
            <w:vAlign w:val="bottom"/>
            <w:shd w:val="clear" w:color="auto" w:fill="E6EDF3"/>
          </w:tcPr>
          <w:p>
            <w:pPr>
              <w:ind w:left="60"/>
              <w:spacing w:after="0" w:line="167" w:lineRule="exact"/>
              <w:rPr>
                <w:sz w:val="20"/>
                <w:szCs w:val="20"/>
                <w:color w:val="auto"/>
              </w:rPr>
            </w:pPr>
            <w:r>
              <w:rPr>
                <w:rFonts w:ascii="Arial" w:cs="Arial" w:eastAsia="Arial" w:hAnsi="Arial"/>
                <w:sz w:val="16"/>
                <w:szCs w:val="16"/>
                <w:color w:val="auto"/>
              </w:rPr>
              <w:t>Jonas Prising</w:t>
            </w:r>
          </w:p>
        </w:tc>
        <w:tc>
          <w:tcPr>
            <w:tcW w:w="560" w:type="dxa"/>
            <w:vAlign w:val="bottom"/>
            <w:shd w:val="clear" w:color="auto" w:fill="E6EDF3"/>
          </w:tcPr>
          <w:p>
            <w:pPr>
              <w:spacing w:after="0"/>
              <w:rPr>
                <w:sz w:val="14"/>
                <w:szCs w:val="14"/>
                <w:color w:val="auto"/>
              </w:rPr>
            </w:pPr>
          </w:p>
        </w:tc>
        <w:tc>
          <w:tcPr>
            <w:tcW w:w="1460" w:type="dxa"/>
            <w:vAlign w:val="bottom"/>
            <w:shd w:val="clear" w:color="auto" w:fill="E6EDF3"/>
          </w:tcPr>
          <w:p>
            <w:pPr>
              <w:spacing w:after="0"/>
              <w:rPr>
                <w:sz w:val="14"/>
                <w:szCs w:val="14"/>
                <w:color w:val="auto"/>
              </w:rPr>
            </w:pPr>
          </w:p>
        </w:tc>
        <w:tc>
          <w:tcPr>
            <w:tcW w:w="1600" w:type="dxa"/>
            <w:vAlign w:val="bottom"/>
            <w:shd w:val="clear" w:color="auto" w:fill="E6EDF3"/>
          </w:tcPr>
          <w:p>
            <w:pPr>
              <w:spacing w:after="0"/>
              <w:rPr>
                <w:sz w:val="14"/>
                <w:szCs w:val="14"/>
                <w:color w:val="auto"/>
              </w:rPr>
            </w:pPr>
          </w:p>
        </w:tc>
        <w:tc>
          <w:tcPr>
            <w:tcW w:w="560" w:type="dxa"/>
            <w:vAlign w:val="bottom"/>
            <w:shd w:val="clear" w:color="auto" w:fill="E6EDF3"/>
          </w:tcPr>
          <w:p>
            <w:pPr>
              <w:spacing w:after="0"/>
              <w:rPr>
                <w:sz w:val="14"/>
                <w:szCs w:val="14"/>
                <w:color w:val="auto"/>
              </w:rPr>
            </w:pPr>
          </w:p>
        </w:tc>
        <w:tc>
          <w:tcPr>
            <w:tcW w:w="1340" w:type="dxa"/>
            <w:vAlign w:val="bottom"/>
            <w:shd w:val="clear" w:color="auto" w:fill="E6EDF3"/>
          </w:tcPr>
          <w:p>
            <w:pPr>
              <w:spacing w:after="0"/>
              <w:rPr>
                <w:sz w:val="14"/>
                <w:szCs w:val="14"/>
                <w:color w:val="auto"/>
              </w:rPr>
            </w:pPr>
          </w:p>
        </w:tc>
        <w:tc>
          <w:tcPr>
            <w:tcW w:w="1480" w:type="dxa"/>
            <w:vAlign w:val="bottom"/>
            <w:shd w:val="clear" w:color="auto" w:fill="E6EDF3"/>
          </w:tcPr>
          <w:p>
            <w:pPr>
              <w:spacing w:after="0"/>
              <w:rPr>
                <w:sz w:val="14"/>
                <w:szCs w:val="14"/>
                <w:color w:val="auto"/>
              </w:rPr>
            </w:pPr>
          </w:p>
        </w:tc>
      </w:tr>
      <w:tr>
        <w:trPr>
          <w:trHeight w:val="219"/>
        </w:trPr>
        <w:tc>
          <w:tcPr>
            <w:tcW w:w="4020" w:type="dxa"/>
            <w:vAlign w:val="bottom"/>
            <w:shd w:val="clear" w:color="auto" w:fill="E6EDF3"/>
          </w:tcPr>
          <w:p>
            <w:pPr>
              <w:ind w:left="220"/>
              <w:spacing w:after="0"/>
              <w:rPr>
                <w:sz w:val="20"/>
                <w:szCs w:val="20"/>
                <w:color w:val="auto"/>
              </w:rPr>
            </w:pPr>
            <w:r>
              <w:rPr>
                <w:rFonts w:ascii="Arial" w:cs="Arial" w:eastAsia="Arial" w:hAnsi="Arial"/>
                <w:sz w:val="16"/>
                <w:szCs w:val="16"/>
                <w:i w:val="1"/>
                <w:iCs w:val="1"/>
                <w:color w:val="auto"/>
              </w:rPr>
              <w:t>CEO</w:t>
            </w:r>
          </w:p>
        </w:tc>
        <w:tc>
          <w:tcPr>
            <w:tcW w:w="2020" w:type="dxa"/>
            <w:vAlign w:val="bottom"/>
            <w:gridSpan w:val="2"/>
            <w:shd w:val="clear" w:color="auto" w:fill="E6EDF3"/>
          </w:tcPr>
          <w:p>
            <w:pPr>
              <w:jc w:val="right"/>
              <w:ind w:right="246"/>
              <w:spacing w:after="0"/>
              <w:rPr>
                <w:sz w:val="20"/>
                <w:szCs w:val="20"/>
                <w:color w:val="auto"/>
              </w:rPr>
            </w:pPr>
            <w:r>
              <w:rPr>
                <w:rFonts w:ascii="Arial" w:cs="Arial" w:eastAsia="Arial" w:hAnsi="Arial"/>
                <w:sz w:val="16"/>
                <w:szCs w:val="16"/>
                <w:color w:val="auto"/>
              </w:rPr>
              <w:t>52,000</w:t>
            </w:r>
          </w:p>
        </w:tc>
        <w:tc>
          <w:tcPr>
            <w:tcW w:w="1600" w:type="dxa"/>
            <w:vAlign w:val="bottom"/>
            <w:shd w:val="clear" w:color="auto" w:fill="E6EDF3"/>
          </w:tcPr>
          <w:p>
            <w:pPr>
              <w:jc w:val="right"/>
              <w:spacing w:after="0"/>
              <w:rPr>
                <w:sz w:val="20"/>
                <w:szCs w:val="20"/>
                <w:color w:val="auto"/>
              </w:rPr>
            </w:pPr>
            <w:r>
              <w:rPr>
                <w:rFonts w:ascii="Arial" w:cs="Arial" w:eastAsia="Arial" w:hAnsi="Arial"/>
                <w:sz w:val="16"/>
                <w:szCs w:val="16"/>
                <w:color w:val="auto"/>
              </w:rPr>
              <w:t>2,186,032</w:t>
            </w:r>
          </w:p>
        </w:tc>
        <w:tc>
          <w:tcPr>
            <w:tcW w:w="1900" w:type="dxa"/>
            <w:vAlign w:val="bottom"/>
            <w:gridSpan w:val="2"/>
            <w:shd w:val="clear" w:color="auto" w:fill="E6EDF3"/>
          </w:tcPr>
          <w:p>
            <w:pPr>
              <w:jc w:val="right"/>
              <w:ind w:right="126"/>
              <w:spacing w:after="0"/>
              <w:rPr>
                <w:sz w:val="20"/>
                <w:szCs w:val="20"/>
                <w:color w:val="auto"/>
              </w:rPr>
            </w:pPr>
            <w:r>
              <w:rPr>
                <w:rFonts w:ascii="Arial" w:cs="Arial" w:eastAsia="Arial" w:hAnsi="Arial"/>
                <w:sz w:val="16"/>
                <w:szCs w:val="16"/>
                <w:color w:val="auto"/>
              </w:rPr>
              <w:t>93,793</w:t>
            </w:r>
          </w:p>
        </w:tc>
        <w:tc>
          <w:tcPr>
            <w:tcW w:w="1480" w:type="dxa"/>
            <w:vAlign w:val="bottom"/>
            <w:shd w:val="clear" w:color="auto" w:fill="E6EDF3"/>
          </w:tcPr>
          <w:p>
            <w:pPr>
              <w:jc w:val="right"/>
              <w:ind w:right="202"/>
              <w:spacing w:after="0"/>
              <w:rPr>
                <w:sz w:val="20"/>
                <w:szCs w:val="20"/>
                <w:color w:val="auto"/>
              </w:rPr>
            </w:pPr>
            <w:r>
              <w:rPr>
                <w:rFonts w:ascii="Arial" w:cs="Arial" w:eastAsia="Arial" w:hAnsi="Arial"/>
                <w:sz w:val="16"/>
                <w:szCs w:val="16"/>
                <w:color w:val="auto"/>
              </w:rPr>
              <w:t>9,106,753</w:t>
            </w:r>
          </w:p>
        </w:tc>
      </w:tr>
      <w:tr>
        <w:trPr>
          <w:trHeight w:val="173"/>
        </w:trPr>
        <w:tc>
          <w:tcPr>
            <w:tcW w:w="4020" w:type="dxa"/>
            <w:vAlign w:val="bottom"/>
          </w:tcPr>
          <w:p>
            <w:pPr>
              <w:ind w:left="60"/>
              <w:spacing w:after="0" w:line="173" w:lineRule="exact"/>
              <w:rPr>
                <w:sz w:val="20"/>
                <w:szCs w:val="20"/>
                <w:color w:val="auto"/>
              </w:rPr>
            </w:pPr>
            <w:r>
              <w:rPr>
                <w:rFonts w:ascii="Arial" w:cs="Arial" w:eastAsia="Arial" w:hAnsi="Arial"/>
                <w:sz w:val="16"/>
                <w:szCs w:val="16"/>
                <w:color w:val="auto"/>
              </w:rPr>
              <w:t>John T. McGinnis</w:t>
            </w:r>
          </w:p>
        </w:tc>
        <w:tc>
          <w:tcPr>
            <w:tcW w:w="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19"/>
        </w:trPr>
        <w:tc>
          <w:tcPr>
            <w:tcW w:w="4020" w:type="dxa"/>
            <w:vAlign w:val="bottom"/>
          </w:tcPr>
          <w:p>
            <w:pPr>
              <w:ind w:left="220"/>
              <w:spacing w:after="0"/>
              <w:rPr>
                <w:sz w:val="20"/>
                <w:szCs w:val="20"/>
                <w:color w:val="auto"/>
              </w:rPr>
            </w:pPr>
            <w:r>
              <w:rPr>
                <w:rFonts w:ascii="Arial" w:cs="Arial" w:eastAsia="Arial" w:hAnsi="Arial"/>
                <w:sz w:val="16"/>
                <w:szCs w:val="16"/>
                <w:i w:val="1"/>
                <w:iCs w:val="1"/>
                <w:color w:val="auto"/>
              </w:rPr>
              <w:t>CFO</w:t>
            </w:r>
          </w:p>
        </w:tc>
        <w:tc>
          <w:tcPr>
            <w:tcW w:w="560" w:type="dxa"/>
            <w:vAlign w:val="bottom"/>
          </w:tcPr>
          <w:p>
            <w:pPr>
              <w:spacing w:after="0"/>
              <w:rPr>
                <w:sz w:val="19"/>
                <w:szCs w:val="19"/>
                <w:color w:val="auto"/>
              </w:rPr>
            </w:pPr>
          </w:p>
        </w:tc>
        <w:tc>
          <w:tcPr>
            <w:tcW w:w="1460" w:type="dxa"/>
            <w:vAlign w:val="bottom"/>
          </w:tcPr>
          <w:p>
            <w:pPr>
              <w:jc w:val="right"/>
              <w:ind w:right="246"/>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1340" w:type="dxa"/>
            <w:vAlign w:val="bottom"/>
          </w:tcPr>
          <w:p>
            <w:pPr>
              <w:jc w:val="right"/>
              <w:ind w:right="126"/>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2"/>
              <w:spacing w:after="0"/>
              <w:rPr>
                <w:sz w:val="20"/>
                <w:szCs w:val="20"/>
                <w:color w:val="auto"/>
              </w:rPr>
            </w:pPr>
            <w:r>
              <w:rPr>
                <w:rFonts w:ascii="Arial" w:cs="Arial" w:eastAsia="Arial" w:hAnsi="Arial"/>
                <w:sz w:val="16"/>
                <w:szCs w:val="16"/>
                <w:color w:val="auto"/>
              </w:rPr>
              <w:t>—</w:t>
            </w:r>
          </w:p>
        </w:tc>
      </w:tr>
      <w:tr>
        <w:trPr>
          <w:trHeight w:val="173"/>
        </w:trPr>
        <w:tc>
          <w:tcPr>
            <w:tcW w:w="4020" w:type="dxa"/>
            <w:vAlign w:val="bottom"/>
            <w:shd w:val="clear" w:color="auto" w:fill="E6EDF3"/>
          </w:tcPr>
          <w:p>
            <w:pPr>
              <w:ind w:left="60"/>
              <w:spacing w:after="0" w:line="173" w:lineRule="exact"/>
              <w:rPr>
                <w:sz w:val="20"/>
                <w:szCs w:val="20"/>
                <w:color w:val="auto"/>
              </w:rPr>
            </w:pPr>
            <w:r>
              <w:rPr>
                <w:rFonts w:ascii="Arial" w:cs="Arial" w:eastAsia="Arial" w:hAnsi="Arial"/>
                <w:sz w:val="16"/>
                <w:szCs w:val="16"/>
                <w:color w:val="auto"/>
              </w:rPr>
              <w:t>Darryl Green</w:t>
            </w:r>
          </w:p>
        </w:tc>
        <w:tc>
          <w:tcPr>
            <w:tcW w:w="560" w:type="dxa"/>
            <w:vAlign w:val="bottom"/>
            <w:shd w:val="clear" w:color="auto" w:fill="E6EDF3"/>
          </w:tcPr>
          <w:p>
            <w:pPr>
              <w:spacing w:after="0"/>
              <w:rPr>
                <w:sz w:val="15"/>
                <w:szCs w:val="15"/>
                <w:color w:val="auto"/>
              </w:rPr>
            </w:pPr>
          </w:p>
        </w:tc>
        <w:tc>
          <w:tcPr>
            <w:tcW w:w="1460" w:type="dxa"/>
            <w:vAlign w:val="bottom"/>
            <w:shd w:val="clear" w:color="auto" w:fill="E6EDF3"/>
          </w:tcPr>
          <w:p>
            <w:pPr>
              <w:spacing w:after="0"/>
              <w:rPr>
                <w:sz w:val="15"/>
                <w:szCs w:val="15"/>
                <w:color w:val="auto"/>
              </w:rPr>
            </w:pPr>
          </w:p>
        </w:tc>
        <w:tc>
          <w:tcPr>
            <w:tcW w:w="1600" w:type="dxa"/>
            <w:vAlign w:val="bottom"/>
            <w:shd w:val="clear" w:color="auto" w:fill="E6EDF3"/>
          </w:tcPr>
          <w:p>
            <w:pPr>
              <w:spacing w:after="0"/>
              <w:rPr>
                <w:sz w:val="15"/>
                <w:szCs w:val="15"/>
                <w:color w:val="auto"/>
              </w:rPr>
            </w:pPr>
          </w:p>
        </w:tc>
        <w:tc>
          <w:tcPr>
            <w:tcW w:w="560" w:type="dxa"/>
            <w:vAlign w:val="bottom"/>
            <w:shd w:val="clear" w:color="auto" w:fill="E6EDF3"/>
          </w:tcPr>
          <w:p>
            <w:pPr>
              <w:spacing w:after="0"/>
              <w:rPr>
                <w:sz w:val="15"/>
                <w:szCs w:val="15"/>
                <w:color w:val="auto"/>
              </w:rPr>
            </w:pPr>
          </w:p>
        </w:tc>
        <w:tc>
          <w:tcPr>
            <w:tcW w:w="1340" w:type="dxa"/>
            <w:vAlign w:val="bottom"/>
            <w:shd w:val="clear" w:color="auto" w:fill="E6EDF3"/>
          </w:tcPr>
          <w:p>
            <w:pPr>
              <w:spacing w:after="0"/>
              <w:rPr>
                <w:sz w:val="15"/>
                <w:szCs w:val="15"/>
                <w:color w:val="auto"/>
              </w:rPr>
            </w:pPr>
          </w:p>
        </w:tc>
        <w:tc>
          <w:tcPr>
            <w:tcW w:w="1480" w:type="dxa"/>
            <w:vAlign w:val="bottom"/>
            <w:shd w:val="clear" w:color="auto" w:fill="E6EDF3"/>
          </w:tcPr>
          <w:p>
            <w:pPr>
              <w:spacing w:after="0"/>
              <w:rPr>
                <w:sz w:val="15"/>
                <w:szCs w:val="15"/>
                <w:color w:val="auto"/>
              </w:rPr>
            </w:pPr>
          </w:p>
        </w:tc>
      </w:tr>
      <w:tr>
        <w:trPr>
          <w:trHeight w:val="219"/>
        </w:trPr>
        <w:tc>
          <w:tcPr>
            <w:tcW w:w="4020" w:type="dxa"/>
            <w:vAlign w:val="bottom"/>
            <w:shd w:val="clear" w:color="auto" w:fill="E6EDF3"/>
          </w:tcPr>
          <w:p>
            <w:pPr>
              <w:ind w:left="220"/>
              <w:spacing w:after="0"/>
              <w:rPr>
                <w:sz w:val="20"/>
                <w:szCs w:val="20"/>
                <w:color w:val="auto"/>
              </w:rPr>
            </w:pPr>
            <w:r>
              <w:rPr>
                <w:rFonts w:ascii="Arial" w:cs="Arial" w:eastAsia="Arial" w:hAnsi="Arial"/>
                <w:sz w:val="16"/>
                <w:szCs w:val="16"/>
                <w:i w:val="1"/>
                <w:iCs w:val="1"/>
                <w:color w:val="auto"/>
              </w:rPr>
              <w:t>President &amp; COO</w:t>
            </w:r>
          </w:p>
        </w:tc>
        <w:tc>
          <w:tcPr>
            <w:tcW w:w="2020" w:type="dxa"/>
            <w:vAlign w:val="bottom"/>
            <w:gridSpan w:val="2"/>
            <w:shd w:val="clear" w:color="auto" w:fill="E6EDF3"/>
          </w:tcPr>
          <w:p>
            <w:pPr>
              <w:jc w:val="right"/>
              <w:ind w:right="246"/>
              <w:spacing w:after="0"/>
              <w:rPr>
                <w:sz w:val="20"/>
                <w:szCs w:val="20"/>
                <w:color w:val="auto"/>
              </w:rPr>
            </w:pPr>
            <w:r>
              <w:rPr>
                <w:rFonts w:ascii="Arial" w:cs="Arial" w:eastAsia="Arial" w:hAnsi="Arial"/>
                <w:sz w:val="16"/>
                <w:szCs w:val="16"/>
                <w:color w:val="auto"/>
              </w:rPr>
              <w:t>107,740</w:t>
            </w:r>
          </w:p>
        </w:tc>
        <w:tc>
          <w:tcPr>
            <w:tcW w:w="1600" w:type="dxa"/>
            <w:vAlign w:val="bottom"/>
            <w:shd w:val="clear" w:color="auto" w:fill="E6EDF3"/>
          </w:tcPr>
          <w:p>
            <w:pPr>
              <w:jc w:val="right"/>
              <w:spacing w:after="0"/>
              <w:rPr>
                <w:sz w:val="20"/>
                <w:szCs w:val="20"/>
                <w:color w:val="auto"/>
              </w:rPr>
            </w:pPr>
            <w:r>
              <w:rPr>
                <w:rFonts w:ascii="Arial" w:cs="Arial" w:eastAsia="Arial" w:hAnsi="Arial"/>
                <w:sz w:val="16"/>
                <w:szCs w:val="16"/>
                <w:color w:val="auto"/>
              </w:rPr>
              <w:t>3,275,374</w:t>
            </w:r>
          </w:p>
        </w:tc>
        <w:tc>
          <w:tcPr>
            <w:tcW w:w="1900" w:type="dxa"/>
            <w:vAlign w:val="bottom"/>
            <w:gridSpan w:val="2"/>
            <w:shd w:val="clear" w:color="auto" w:fill="E6EDF3"/>
          </w:tcPr>
          <w:p>
            <w:pPr>
              <w:jc w:val="right"/>
              <w:ind w:right="126"/>
              <w:spacing w:after="0"/>
              <w:rPr>
                <w:sz w:val="20"/>
                <w:szCs w:val="20"/>
                <w:color w:val="auto"/>
              </w:rPr>
            </w:pPr>
            <w:r>
              <w:rPr>
                <w:rFonts w:ascii="Arial" w:cs="Arial" w:eastAsia="Arial" w:hAnsi="Arial"/>
                <w:sz w:val="16"/>
                <w:szCs w:val="16"/>
                <w:color w:val="auto"/>
              </w:rPr>
              <w:t>60,797</w:t>
            </w:r>
          </w:p>
        </w:tc>
        <w:tc>
          <w:tcPr>
            <w:tcW w:w="1480" w:type="dxa"/>
            <w:vAlign w:val="bottom"/>
            <w:shd w:val="clear" w:color="auto" w:fill="E6EDF3"/>
          </w:tcPr>
          <w:p>
            <w:pPr>
              <w:jc w:val="right"/>
              <w:ind w:right="202"/>
              <w:spacing w:after="0"/>
              <w:rPr>
                <w:sz w:val="20"/>
                <w:szCs w:val="20"/>
                <w:color w:val="auto"/>
              </w:rPr>
            </w:pPr>
            <w:r>
              <w:rPr>
                <w:rFonts w:ascii="Arial" w:cs="Arial" w:eastAsia="Arial" w:hAnsi="Arial"/>
                <w:sz w:val="16"/>
                <w:szCs w:val="16"/>
                <w:color w:val="auto"/>
              </w:rPr>
              <w:t>5,908,205</w:t>
            </w:r>
          </w:p>
        </w:tc>
      </w:tr>
      <w:tr>
        <w:trPr>
          <w:trHeight w:val="173"/>
        </w:trPr>
        <w:tc>
          <w:tcPr>
            <w:tcW w:w="4020" w:type="dxa"/>
            <w:vAlign w:val="bottom"/>
          </w:tcPr>
          <w:p>
            <w:pPr>
              <w:ind w:left="60"/>
              <w:spacing w:after="0" w:line="173" w:lineRule="exact"/>
              <w:rPr>
                <w:sz w:val="20"/>
                <w:szCs w:val="20"/>
                <w:color w:val="auto"/>
              </w:rPr>
            </w:pPr>
            <w:r>
              <w:rPr>
                <w:rFonts w:ascii="Arial" w:cs="Arial" w:eastAsia="Arial" w:hAnsi="Arial"/>
                <w:sz w:val="16"/>
                <w:szCs w:val="16"/>
                <w:color w:val="auto"/>
              </w:rPr>
              <w:t>Ram Chandrashekar</w:t>
            </w:r>
          </w:p>
        </w:tc>
        <w:tc>
          <w:tcPr>
            <w:tcW w:w="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9"/>
        </w:trPr>
        <w:tc>
          <w:tcPr>
            <w:tcW w:w="4020" w:type="dxa"/>
            <w:vAlign w:val="bottom"/>
          </w:tcPr>
          <w:p>
            <w:pPr>
              <w:ind w:left="220"/>
              <w:spacing w:after="0"/>
              <w:rPr>
                <w:sz w:val="20"/>
                <w:szCs w:val="20"/>
                <w:color w:val="auto"/>
              </w:rPr>
            </w:pPr>
            <w:r>
              <w:rPr>
                <w:rFonts w:ascii="Arial" w:cs="Arial" w:eastAsia="Arial" w:hAnsi="Arial"/>
                <w:sz w:val="16"/>
                <w:szCs w:val="16"/>
                <w:i w:val="1"/>
                <w:iCs w:val="1"/>
                <w:color w:val="auto"/>
              </w:rPr>
              <w:t>EVP, Operational Excellence &amp; IT and President,</w:t>
            </w:r>
          </w:p>
        </w:tc>
        <w:tc>
          <w:tcPr>
            <w:tcW w:w="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9"/>
        </w:trPr>
        <w:tc>
          <w:tcPr>
            <w:tcW w:w="4020" w:type="dxa"/>
            <w:vAlign w:val="bottom"/>
          </w:tcPr>
          <w:p>
            <w:pPr>
              <w:ind w:left="220"/>
              <w:spacing w:after="0"/>
              <w:rPr>
                <w:sz w:val="20"/>
                <w:szCs w:val="20"/>
                <w:color w:val="auto"/>
              </w:rPr>
            </w:pPr>
            <w:r>
              <w:rPr>
                <w:rFonts w:ascii="Arial" w:cs="Arial" w:eastAsia="Arial" w:hAnsi="Arial"/>
                <w:sz w:val="16"/>
                <w:szCs w:val="16"/>
                <w:i w:val="1"/>
                <w:iCs w:val="1"/>
                <w:color w:val="auto"/>
              </w:rPr>
              <w:t>Asia Pacific Middle East</w:t>
            </w:r>
          </w:p>
        </w:tc>
        <w:tc>
          <w:tcPr>
            <w:tcW w:w="2020" w:type="dxa"/>
            <w:vAlign w:val="bottom"/>
            <w:gridSpan w:val="2"/>
          </w:tcPr>
          <w:p>
            <w:pPr>
              <w:jc w:val="right"/>
              <w:ind w:right="246"/>
              <w:spacing w:after="0"/>
              <w:rPr>
                <w:sz w:val="20"/>
                <w:szCs w:val="20"/>
                <w:color w:val="auto"/>
              </w:rPr>
            </w:pPr>
            <w:r>
              <w:rPr>
                <w:rFonts w:ascii="Arial" w:cs="Arial" w:eastAsia="Arial" w:hAnsi="Arial"/>
                <w:sz w:val="16"/>
                <w:szCs w:val="16"/>
                <w:color w:val="auto"/>
              </w:rPr>
              <w:t>19,912</w:t>
            </w:r>
          </w:p>
        </w:tc>
        <w:tc>
          <w:tcPr>
            <w:tcW w:w="1600" w:type="dxa"/>
            <w:vAlign w:val="bottom"/>
          </w:tcPr>
          <w:p>
            <w:pPr>
              <w:jc w:val="right"/>
              <w:spacing w:after="0"/>
              <w:rPr>
                <w:sz w:val="20"/>
                <w:szCs w:val="20"/>
                <w:color w:val="auto"/>
              </w:rPr>
            </w:pPr>
            <w:r>
              <w:rPr>
                <w:rFonts w:ascii="Arial" w:cs="Arial" w:eastAsia="Arial" w:hAnsi="Arial"/>
                <w:sz w:val="16"/>
                <w:szCs w:val="16"/>
                <w:color w:val="auto"/>
              </w:rPr>
              <w:t>620,113</w:t>
            </w:r>
          </w:p>
        </w:tc>
        <w:tc>
          <w:tcPr>
            <w:tcW w:w="1900" w:type="dxa"/>
            <w:vAlign w:val="bottom"/>
            <w:gridSpan w:val="2"/>
          </w:tcPr>
          <w:p>
            <w:pPr>
              <w:jc w:val="right"/>
              <w:ind w:right="126"/>
              <w:spacing w:after="0"/>
              <w:rPr>
                <w:sz w:val="20"/>
                <w:szCs w:val="20"/>
                <w:color w:val="auto"/>
              </w:rPr>
            </w:pPr>
            <w:r>
              <w:rPr>
                <w:rFonts w:ascii="Arial" w:cs="Arial" w:eastAsia="Arial" w:hAnsi="Arial"/>
                <w:sz w:val="16"/>
                <w:szCs w:val="16"/>
                <w:color w:val="auto"/>
              </w:rPr>
              <w:t>24,624</w:t>
            </w:r>
          </w:p>
        </w:tc>
        <w:tc>
          <w:tcPr>
            <w:tcW w:w="1480" w:type="dxa"/>
            <w:vAlign w:val="bottom"/>
          </w:tcPr>
          <w:p>
            <w:pPr>
              <w:jc w:val="right"/>
              <w:ind w:right="202"/>
              <w:spacing w:after="0"/>
              <w:rPr>
                <w:sz w:val="20"/>
                <w:szCs w:val="20"/>
                <w:color w:val="auto"/>
              </w:rPr>
            </w:pPr>
            <w:r>
              <w:rPr>
                <w:rFonts w:ascii="Arial" w:cs="Arial" w:eastAsia="Arial" w:hAnsi="Arial"/>
                <w:sz w:val="16"/>
                <w:szCs w:val="16"/>
                <w:color w:val="auto"/>
              </w:rPr>
              <w:t>2,381,074</w:t>
            </w:r>
          </w:p>
        </w:tc>
      </w:tr>
      <w:tr>
        <w:trPr>
          <w:trHeight w:val="173"/>
        </w:trPr>
        <w:tc>
          <w:tcPr>
            <w:tcW w:w="4020" w:type="dxa"/>
            <w:vAlign w:val="bottom"/>
            <w:shd w:val="clear" w:color="auto" w:fill="E6EDF3"/>
          </w:tcPr>
          <w:p>
            <w:pPr>
              <w:ind w:left="60"/>
              <w:spacing w:after="0" w:line="173" w:lineRule="exact"/>
              <w:rPr>
                <w:sz w:val="20"/>
                <w:szCs w:val="20"/>
                <w:color w:val="auto"/>
              </w:rPr>
            </w:pPr>
            <w:r>
              <w:rPr>
                <w:rFonts w:ascii="Arial" w:cs="Arial" w:eastAsia="Arial" w:hAnsi="Arial"/>
                <w:sz w:val="16"/>
                <w:szCs w:val="16"/>
                <w:color w:val="auto"/>
              </w:rPr>
              <w:t>Mara E. Swan</w:t>
            </w:r>
          </w:p>
        </w:tc>
        <w:tc>
          <w:tcPr>
            <w:tcW w:w="560" w:type="dxa"/>
            <w:vAlign w:val="bottom"/>
            <w:shd w:val="clear" w:color="auto" w:fill="E6EDF3"/>
          </w:tcPr>
          <w:p>
            <w:pPr>
              <w:spacing w:after="0"/>
              <w:rPr>
                <w:sz w:val="15"/>
                <w:szCs w:val="15"/>
                <w:color w:val="auto"/>
              </w:rPr>
            </w:pPr>
          </w:p>
        </w:tc>
        <w:tc>
          <w:tcPr>
            <w:tcW w:w="1460" w:type="dxa"/>
            <w:vAlign w:val="bottom"/>
            <w:shd w:val="clear" w:color="auto" w:fill="E6EDF3"/>
          </w:tcPr>
          <w:p>
            <w:pPr>
              <w:spacing w:after="0"/>
              <w:rPr>
                <w:sz w:val="15"/>
                <w:szCs w:val="15"/>
                <w:color w:val="auto"/>
              </w:rPr>
            </w:pPr>
          </w:p>
        </w:tc>
        <w:tc>
          <w:tcPr>
            <w:tcW w:w="1600" w:type="dxa"/>
            <w:vAlign w:val="bottom"/>
            <w:shd w:val="clear" w:color="auto" w:fill="E6EDF3"/>
          </w:tcPr>
          <w:p>
            <w:pPr>
              <w:spacing w:after="0"/>
              <w:rPr>
                <w:sz w:val="15"/>
                <w:szCs w:val="15"/>
                <w:color w:val="auto"/>
              </w:rPr>
            </w:pPr>
          </w:p>
        </w:tc>
        <w:tc>
          <w:tcPr>
            <w:tcW w:w="560" w:type="dxa"/>
            <w:vAlign w:val="bottom"/>
            <w:shd w:val="clear" w:color="auto" w:fill="E6EDF3"/>
          </w:tcPr>
          <w:p>
            <w:pPr>
              <w:spacing w:after="0"/>
              <w:rPr>
                <w:sz w:val="15"/>
                <w:szCs w:val="15"/>
                <w:color w:val="auto"/>
              </w:rPr>
            </w:pPr>
          </w:p>
        </w:tc>
        <w:tc>
          <w:tcPr>
            <w:tcW w:w="1340" w:type="dxa"/>
            <w:vAlign w:val="bottom"/>
            <w:shd w:val="clear" w:color="auto" w:fill="E6EDF3"/>
          </w:tcPr>
          <w:p>
            <w:pPr>
              <w:spacing w:after="0"/>
              <w:rPr>
                <w:sz w:val="15"/>
                <w:szCs w:val="15"/>
                <w:color w:val="auto"/>
              </w:rPr>
            </w:pPr>
          </w:p>
        </w:tc>
        <w:tc>
          <w:tcPr>
            <w:tcW w:w="1480" w:type="dxa"/>
            <w:vAlign w:val="bottom"/>
            <w:shd w:val="clear" w:color="auto" w:fill="E6EDF3"/>
          </w:tcPr>
          <w:p>
            <w:pPr>
              <w:spacing w:after="0"/>
              <w:rPr>
                <w:sz w:val="15"/>
                <w:szCs w:val="15"/>
                <w:color w:val="auto"/>
              </w:rPr>
            </w:pPr>
          </w:p>
        </w:tc>
      </w:tr>
      <w:tr>
        <w:trPr>
          <w:trHeight w:val="219"/>
        </w:trPr>
        <w:tc>
          <w:tcPr>
            <w:tcW w:w="4020" w:type="dxa"/>
            <w:vAlign w:val="bottom"/>
            <w:tcBorders>
              <w:bottom w:val="single" w:sz="8" w:color="auto"/>
            </w:tcBorders>
            <w:shd w:val="clear" w:color="auto" w:fill="E6EDF3"/>
          </w:tcPr>
          <w:p>
            <w:pPr>
              <w:ind w:left="220"/>
              <w:spacing w:after="0"/>
              <w:rPr>
                <w:sz w:val="20"/>
                <w:szCs w:val="20"/>
                <w:color w:val="auto"/>
              </w:rPr>
            </w:pPr>
            <w:r>
              <w:rPr>
                <w:rFonts w:ascii="Arial" w:cs="Arial" w:eastAsia="Arial" w:hAnsi="Arial"/>
                <w:sz w:val="16"/>
                <w:szCs w:val="16"/>
                <w:i w:val="1"/>
                <w:iCs w:val="1"/>
                <w:color w:val="auto"/>
              </w:rPr>
              <w:t>EVP, Global Strategy and Talent</w:t>
            </w:r>
          </w:p>
        </w:tc>
        <w:tc>
          <w:tcPr>
            <w:tcW w:w="2020" w:type="dxa"/>
            <w:vAlign w:val="bottom"/>
            <w:tcBorders>
              <w:bottom w:val="single" w:sz="8" w:color="auto"/>
            </w:tcBorders>
            <w:gridSpan w:val="2"/>
            <w:shd w:val="clear" w:color="auto" w:fill="E6EDF3"/>
          </w:tcPr>
          <w:p>
            <w:pPr>
              <w:jc w:val="right"/>
              <w:ind w:right="246"/>
              <w:spacing w:after="0"/>
              <w:rPr>
                <w:sz w:val="20"/>
                <w:szCs w:val="20"/>
                <w:color w:val="auto"/>
              </w:rPr>
            </w:pPr>
            <w:r>
              <w:rPr>
                <w:rFonts w:ascii="Arial" w:cs="Arial" w:eastAsia="Arial" w:hAnsi="Arial"/>
                <w:sz w:val="16"/>
                <w:szCs w:val="16"/>
                <w:color w:val="auto"/>
              </w:rPr>
              <w:t>39,454</w:t>
            </w:r>
          </w:p>
        </w:tc>
        <w:tc>
          <w:tcPr>
            <w:tcW w:w="16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2,126,923</w:t>
            </w:r>
          </w:p>
        </w:tc>
        <w:tc>
          <w:tcPr>
            <w:tcW w:w="1900" w:type="dxa"/>
            <w:vAlign w:val="bottom"/>
            <w:tcBorders>
              <w:bottom w:val="single" w:sz="8" w:color="auto"/>
            </w:tcBorders>
            <w:gridSpan w:val="2"/>
            <w:shd w:val="clear" w:color="auto" w:fill="E6EDF3"/>
          </w:tcPr>
          <w:p>
            <w:pPr>
              <w:jc w:val="right"/>
              <w:ind w:right="126"/>
              <w:spacing w:after="0"/>
              <w:rPr>
                <w:sz w:val="20"/>
                <w:szCs w:val="20"/>
                <w:color w:val="auto"/>
              </w:rPr>
            </w:pPr>
            <w:r>
              <w:rPr>
                <w:rFonts w:ascii="Arial" w:cs="Arial" w:eastAsia="Arial" w:hAnsi="Arial"/>
                <w:sz w:val="16"/>
                <w:szCs w:val="16"/>
                <w:color w:val="auto"/>
              </w:rPr>
              <w:t>21,107</w:t>
            </w:r>
          </w:p>
        </w:tc>
        <w:tc>
          <w:tcPr>
            <w:tcW w:w="1480" w:type="dxa"/>
            <w:vAlign w:val="bottom"/>
            <w:tcBorders>
              <w:bottom w:val="single" w:sz="8" w:color="auto"/>
            </w:tcBorders>
            <w:shd w:val="clear" w:color="auto" w:fill="E6EDF3"/>
          </w:tcPr>
          <w:p>
            <w:pPr>
              <w:jc w:val="right"/>
              <w:ind w:right="202"/>
              <w:spacing w:after="0"/>
              <w:rPr>
                <w:sz w:val="20"/>
                <w:szCs w:val="20"/>
                <w:color w:val="auto"/>
              </w:rPr>
            </w:pPr>
            <w:r>
              <w:rPr>
                <w:rFonts w:ascii="Arial" w:cs="Arial" w:eastAsia="Arial" w:hAnsi="Arial"/>
                <w:sz w:val="16"/>
                <w:szCs w:val="16"/>
                <w:color w:val="auto"/>
              </w:rPr>
              <w:t>2,040,989</w:t>
            </w:r>
          </w:p>
        </w:tc>
      </w:tr>
    </w:tbl>
    <w:p>
      <w:pPr>
        <w:spacing w:after="0" w:line="54" w:lineRule="exact"/>
        <w:rPr>
          <w:sz w:val="20"/>
          <w:szCs w:val="20"/>
          <w:color w:val="auto"/>
        </w:rPr>
      </w:pPr>
    </w:p>
    <w:p>
      <w:pPr>
        <w:ind w:left="520" w:hanging="316"/>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vesting of RSUs and PSUs as follows:</w:t>
      </w:r>
    </w:p>
    <w:p>
      <w:pPr>
        <w:spacing w:after="0" w:line="143"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4880" w:type="dxa"/>
            <w:vAlign w:val="bottom"/>
            <w:tcBorders>
              <w:top w:val="single" w:sz="8" w:color="auto"/>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w:t>
            </w:r>
          </w:p>
        </w:tc>
        <w:tc>
          <w:tcPr>
            <w:tcW w:w="2580" w:type="dxa"/>
            <w:vAlign w:val="bottom"/>
            <w:tcBorders>
              <w:top w:val="single" w:sz="8" w:color="auto"/>
              <w:bottom w:val="single" w:sz="8" w:color="auto"/>
            </w:tcBorders>
            <w:shd w:val="clear" w:color="auto" w:fill="9DB8D2"/>
          </w:tcPr>
          <w:p>
            <w:pPr>
              <w:jc w:val="right"/>
              <w:ind w:right="340"/>
              <w:spacing w:after="0"/>
              <w:rPr>
                <w:sz w:val="20"/>
                <w:szCs w:val="20"/>
                <w:color w:val="auto"/>
              </w:rPr>
            </w:pPr>
            <w:r>
              <w:rPr>
                <w:rFonts w:ascii="Arial" w:cs="Arial" w:eastAsia="Arial" w:hAnsi="Arial"/>
                <w:sz w:val="14"/>
                <w:szCs w:val="14"/>
                <w:b w:val="1"/>
                <w:bCs w:val="1"/>
                <w:color w:val="auto"/>
              </w:rPr>
              <w:t>Number of RSUs</w:t>
            </w:r>
          </w:p>
        </w:tc>
        <w:tc>
          <w:tcPr>
            <w:tcW w:w="1800" w:type="dxa"/>
            <w:vAlign w:val="bottom"/>
            <w:tcBorders>
              <w:top w:val="single" w:sz="8" w:color="auto"/>
              <w:bottom w:val="single" w:sz="8" w:color="auto"/>
            </w:tcBorders>
            <w:shd w:val="clear" w:color="auto" w:fill="9DB8D2"/>
          </w:tcPr>
          <w:p>
            <w:pPr>
              <w:jc w:val="right"/>
              <w:ind w:right="160"/>
              <w:spacing w:after="0"/>
              <w:rPr>
                <w:sz w:val="20"/>
                <w:szCs w:val="20"/>
                <w:color w:val="auto"/>
              </w:rPr>
            </w:pPr>
            <w:r>
              <w:rPr>
                <w:rFonts w:ascii="Arial" w:cs="Arial" w:eastAsia="Arial" w:hAnsi="Arial"/>
                <w:sz w:val="14"/>
                <w:szCs w:val="14"/>
                <w:b w:val="1"/>
                <w:bCs w:val="1"/>
                <w:color w:val="auto"/>
              </w:rPr>
              <w:t>Number of PSUs</w:t>
            </w:r>
          </w:p>
        </w:tc>
      </w:tr>
      <w:tr>
        <w:trPr>
          <w:trHeight w:val="183"/>
        </w:trPr>
        <w:tc>
          <w:tcPr>
            <w:tcW w:w="488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Jonas Prising</w:t>
            </w:r>
          </w:p>
        </w:tc>
        <w:tc>
          <w:tcPr>
            <w:tcW w:w="2580" w:type="dxa"/>
            <w:vAlign w:val="bottom"/>
            <w:shd w:val="clear" w:color="auto" w:fill="E6EDF3"/>
          </w:tcPr>
          <w:p>
            <w:pPr>
              <w:jc w:val="right"/>
              <w:ind w:right="340"/>
              <w:spacing w:after="0" w:line="183" w:lineRule="exact"/>
              <w:rPr>
                <w:sz w:val="20"/>
                <w:szCs w:val="20"/>
                <w:color w:val="auto"/>
              </w:rPr>
            </w:pPr>
            <w:r>
              <w:rPr>
                <w:rFonts w:ascii="Arial" w:cs="Arial" w:eastAsia="Arial" w:hAnsi="Arial"/>
                <w:sz w:val="16"/>
                <w:szCs w:val="16"/>
                <w:color w:val="auto"/>
              </w:rPr>
              <w:t>14,781</w:t>
            </w:r>
          </w:p>
        </w:tc>
        <w:tc>
          <w:tcPr>
            <w:tcW w:w="1800" w:type="dxa"/>
            <w:vAlign w:val="bottom"/>
            <w:shd w:val="clear" w:color="auto" w:fill="E6EDF3"/>
          </w:tcPr>
          <w:p>
            <w:pPr>
              <w:jc w:val="right"/>
              <w:ind w:right="160"/>
              <w:spacing w:after="0" w:line="183" w:lineRule="exact"/>
              <w:rPr>
                <w:sz w:val="20"/>
                <w:szCs w:val="20"/>
                <w:color w:val="auto"/>
              </w:rPr>
            </w:pPr>
            <w:r>
              <w:rPr>
                <w:rFonts w:ascii="Arial" w:cs="Arial" w:eastAsia="Arial" w:hAnsi="Arial"/>
                <w:sz w:val="16"/>
                <w:szCs w:val="16"/>
                <w:color w:val="auto"/>
              </w:rPr>
              <w:t>79,012</w:t>
            </w:r>
          </w:p>
        </w:tc>
      </w:tr>
      <w:tr>
        <w:trPr>
          <w:trHeight w:val="189"/>
        </w:trPr>
        <w:tc>
          <w:tcPr>
            <w:tcW w:w="4880" w:type="dxa"/>
            <w:vAlign w:val="bottom"/>
          </w:tcPr>
          <w:p>
            <w:pPr>
              <w:ind w:left="80"/>
              <w:spacing w:after="0"/>
              <w:rPr>
                <w:sz w:val="20"/>
                <w:szCs w:val="20"/>
                <w:color w:val="auto"/>
              </w:rPr>
            </w:pPr>
            <w:r>
              <w:rPr>
                <w:rFonts w:ascii="Arial" w:cs="Arial" w:eastAsia="Arial" w:hAnsi="Arial"/>
                <w:sz w:val="16"/>
                <w:szCs w:val="16"/>
                <w:color w:val="auto"/>
              </w:rPr>
              <w:t>John T. McGinnis</w:t>
            </w:r>
          </w:p>
        </w:tc>
        <w:tc>
          <w:tcPr>
            <w:tcW w:w="25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4880" w:type="dxa"/>
            <w:vAlign w:val="bottom"/>
            <w:shd w:val="clear" w:color="auto" w:fill="E6EDF3"/>
          </w:tcPr>
          <w:p>
            <w:pPr>
              <w:ind w:left="80"/>
              <w:spacing w:after="0"/>
              <w:rPr>
                <w:sz w:val="20"/>
                <w:szCs w:val="20"/>
                <w:color w:val="auto"/>
              </w:rPr>
            </w:pPr>
            <w:r>
              <w:rPr>
                <w:rFonts w:ascii="Arial" w:cs="Arial" w:eastAsia="Arial" w:hAnsi="Arial"/>
                <w:sz w:val="16"/>
                <w:szCs w:val="16"/>
                <w:color w:val="auto"/>
              </w:rPr>
              <w:t>Darryl Green</w:t>
            </w:r>
          </w:p>
        </w:tc>
        <w:tc>
          <w:tcPr>
            <w:tcW w:w="2580" w:type="dxa"/>
            <w:vAlign w:val="bottom"/>
            <w:shd w:val="clear" w:color="auto" w:fill="E6EDF3"/>
          </w:tcPr>
          <w:p>
            <w:pPr>
              <w:jc w:val="right"/>
              <w:ind w:right="340"/>
              <w:spacing w:after="0"/>
              <w:rPr>
                <w:sz w:val="20"/>
                <w:szCs w:val="20"/>
                <w:color w:val="auto"/>
              </w:rPr>
            </w:pPr>
            <w:r>
              <w:rPr>
                <w:rFonts w:ascii="Arial" w:cs="Arial" w:eastAsia="Arial" w:hAnsi="Arial"/>
                <w:sz w:val="16"/>
                <w:szCs w:val="16"/>
                <w:color w:val="auto"/>
              </w:rPr>
              <w:t>10,588</w:t>
            </w:r>
          </w:p>
        </w:tc>
        <w:tc>
          <w:tcPr>
            <w:tcW w:w="1800" w:type="dxa"/>
            <w:vAlign w:val="bottom"/>
            <w:shd w:val="clear" w:color="auto" w:fill="E6EDF3"/>
          </w:tcPr>
          <w:p>
            <w:pPr>
              <w:jc w:val="right"/>
              <w:ind w:right="160"/>
              <w:spacing w:after="0"/>
              <w:rPr>
                <w:sz w:val="20"/>
                <w:szCs w:val="20"/>
                <w:color w:val="auto"/>
              </w:rPr>
            </w:pPr>
            <w:r>
              <w:rPr>
                <w:rFonts w:ascii="Arial" w:cs="Arial" w:eastAsia="Arial" w:hAnsi="Arial"/>
                <w:sz w:val="16"/>
                <w:szCs w:val="16"/>
                <w:color w:val="auto"/>
              </w:rPr>
              <w:t>50,209</w:t>
            </w:r>
          </w:p>
        </w:tc>
      </w:tr>
      <w:tr>
        <w:trPr>
          <w:trHeight w:val="189"/>
        </w:trPr>
        <w:tc>
          <w:tcPr>
            <w:tcW w:w="4880" w:type="dxa"/>
            <w:vAlign w:val="bottom"/>
          </w:tcPr>
          <w:p>
            <w:pPr>
              <w:ind w:left="80"/>
              <w:spacing w:after="0"/>
              <w:rPr>
                <w:sz w:val="20"/>
                <w:szCs w:val="20"/>
                <w:color w:val="auto"/>
              </w:rPr>
            </w:pPr>
            <w:r>
              <w:rPr>
                <w:rFonts w:ascii="Arial" w:cs="Arial" w:eastAsia="Arial" w:hAnsi="Arial"/>
                <w:sz w:val="16"/>
                <w:szCs w:val="16"/>
                <w:color w:val="auto"/>
              </w:rPr>
              <w:t>Ram Chandrashekar</w:t>
            </w:r>
          </w:p>
        </w:tc>
        <w:tc>
          <w:tcPr>
            <w:tcW w:w="2580" w:type="dxa"/>
            <w:vAlign w:val="bottom"/>
          </w:tcPr>
          <w:p>
            <w:pPr>
              <w:jc w:val="right"/>
              <w:ind w:right="340"/>
              <w:spacing w:after="0"/>
              <w:rPr>
                <w:sz w:val="20"/>
                <w:szCs w:val="20"/>
                <w:color w:val="auto"/>
              </w:rPr>
            </w:pPr>
            <w:r>
              <w:rPr>
                <w:rFonts w:ascii="Arial" w:cs="Arial" w:eastAsia="Arial" w:hAnsi="Arial"/>
                <w:sz w:val="16"/>
                <w:szCs w:val="16"/>
                <w:color w:val="auto"/>
              </w:rPr>
              <w:t>3,880</w:t>
            </w:r>
          </w:p>
        </w:tc>
        <w:tc>
          <w:tcPr>
            <w:tcW w:w="1800" w:type="dxa"/>
            <w:vAlign w:val="bottom"/>
          </w:tcPr>
          <w:p>
            <w:pPr>
              <w:jc w:val="right"/>
              <w:ind w:right="160"/>
              <w:spacing w:after="0"/>
              <w:rPr>
                <w:sz w:val="20"/>
                <w:szCs w:val="20"/>
                <w:color w:val="auto"/>
              </w:rPr>
            </w:pPr>
            <w:r>
              <w:rPr>
                <w:rFonts w:ascii="Arial" w:cs="Arial" w:eastAsia="Arial" w:hAnsi="Arial"/>
                <w:sz w:val="16"/>
                <w:szCs w:val="16"/>
                <w:color w:val="auto"/>
              </w:rPr>
              <w:t>20,744</w:t>
            </w:r>
          </w:p>
        </w:tc>
      </w:tr>
      <w:tr>
        <w:trPr>
          <w:trHeight w:val="189"/>
        </w:trPr>
        <w:tc>
          <w:tcPr>
            <w:tcW w:w="488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Mara E. Swan</w:t>
            </w:r>
          </w:p>
        </w:tc>
        <w:tc>
          <w:tcPr>
            <w:tcW w:w="2580" w:type="dxa"/>
            <w:vAlign w:val="bottom"/>
            <w:tcBorders>
              <w:bottom w:val="single" w:sz="8" w:color="auto"/>
            </w:tcBorders>
            <w:shd w:val="clear" w:color="auto" w:fill="E6EDF3"/>
          </w:tcPr>
          <w:p>
            <w:pPr>
              <w:jc w:val="right"/>
              <w:ind w:right="340"/>
              <w:spacing w:after="0"/>
              <w:rPr>
                <w:sz w:val="20"/>
                <w:szCs w:val="20"/>
                <w:color w:val="auto"/>
              </w:rPr>
            </w:pPr>
            <w:r>
              <w:rPr>
                <w:rFonts w:ascii="Arial" w:cs="Arial" w:eastAsia="Arial" w:hAnsi="Arial"/>
                <w:sz w:val="16"/>
                <w:szCs w:val="16"/>
                <w:color w:val="auto"/>
              </w:rPr>
              <w:t>3,326</w:t>
            </w:r>
          </w:p>
        </w:tc>
        <w:tc>
          <w:tcPr>
            <w:tcW w:w="1800" w:type="dxa"/>
            <w:vAlign w:val="bottom"/>
            <w:tcBorders>
              <w:bottom w:val="single" w:sz="8" w:color="auto"/>
            </w:tcBorders>
            <w:shd w:val="clear" w:color="auto" w:fill="E6EDF3"/>
          </w:tcPr>
          <w:p>
            <w:pPr>
              <w:jc w:val="right"/>
              <w:ind w:right="160"/>
              <w:spacing w:after="0"/>
              <w:rPr>
                <w:sz w:val="20"/>
                <w:szCs w:val="20"/>
                <w:color w:val="auto"/>
              </w:rPr>
            </w:pPr>
            <w:r>
              <w:rPr>
                <w:rFonts w:ascii="Arial" w:cs="Arial" w:eastAsia="Arial" w:hAnsi="Arial"/>
                <w:sz w:val="16"/>
                <w:szCs w:val="16"/>
                <w:color w:val="auto"/>
              </w:rPr>
              <w:t>17,781</w:t>
            </w:r>
          </w:p>
        </w:tc>
      </w:tr>
    </w:tbl>
    <w:p>
      <w:pPr>
        <w:spacing w:after="0" w:line="114"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61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Nonqualified Deferred Compensation in 2017</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3240" w:type="dxa"/>
            <w:vAlign w:val="bottom"/>
            <w:tcBorders>
              <w:top w:val="single" w:sz="8" w:color="auto"/>
            </w:tcBorders>
            <w:shd w:val="clear" w:color="auto" w:fill="9DB8D2"/>
          </w:tcPr>
          <w:p>
            <w:pPr>
              <w:spacing w:after="0"/>
              <w:rPr>
                <w:sz w:val="22"/>
                <w:szCs w:val="22"/>
                <w:color w:val="auto"/>
              </w:rPr>
            </w:pPr>
          </w:p>
        </w:tc>
        <w:tc>
          <w:tcPr>
            <w:tcW w:w="1020" w:type="dxa"/>
            <w:vAlign w:val="bottom"/>
            <w:tcBorders>
              <w:top w:val="single" w:sz="8" w:color="auto"/>
            </w:tcBorders>
            <w:shd w:val="clear" w:color="auto" w:fill="9DB8D2"/>
          </w:tcPr>
          <w:p>
            <w:pPr>
              <w:spacing w:after="0"/>
              <w:rPr>
                <w:sz w:val="22"/>
                <w:szCs w:val="22"/>
                <w:color w:val="auto"/>
              </w:rPr>
            </w:pPr>
          </w:p>
        </w:tc>
        <w:tc>
          <w:tcPr>
            <w:tcW w:w="1260" w:type="dxa"/>
            <w:vAlign w:val="bottom"/>
            <w:tcBorders>
              <w:top w:val="single" w:sz="8" w:color="auto"/>
            </w:tcBorders>
            <w:shd w:val="clear" w:color="auto" w:fill="9DB8D2"/>
          </w:tcPr>
          <w:p>
            <w:pPr>
              <w:spacing w:after="0"/>
              <w:rPr>
                <w:sz w:val="22"/>
                <w:szCs w:val="22"/>
                <w:color w:val="auto"/>
              </w:rPr>
            </w:pPr>
          </w:p>
        </w:tc>
        <w:tc>
          <w:tcPr>
            <w:tcW w:w="1400" w:type="dxa"/>
            <w:vAlign w:val="bottom"/>
            <w:tcBorders>
              <w:top w:val="single" w:sz="8" w:color="auto"/>
            </w:tcBorders>
            <w:shd w:val="clear" w:color="auto" w:fill="9DB8D2"/>
          </w:tcPr>
          <w:p>
            <w:pPr>
              <w:spacing w:after="0"/>
              <w:rPr>
                <w:sz w:val="22"/>
                <w:szCs w:val="22"/>
                <w:color w:val="auto"/>
              </w:rPr>
            </w:pPr>
          </w:p>
        </w:tc>
        <w:tc>
          <w:tcPr>
            <w:tcW w:w="1380" w:type="dxa"/>
            <w:vAlign w:val="bottom"/>
            <w:tcBorders>
              <w:top w:val="single" w:sz="8" w:color="auto"/>
            </w:tcBorders>
            <w:shd w:val="clear" w:color="auto" w:fill="9DB8D2"/>
          </w:tcPr>
          <w:p>
            <w:pPr>
              <w:spacing w:after="0"/>
              <w:rPr>
                <w:sz w:val="22"/>
                <w:szCs w:val="22"/>
                <w:color w:val="auto"/>
              </w:rPr>
            </w:pPr>
          </w:p>
        </w:tc>
        <w:tc>
          <w:tcPr>
            <w:tcW w:w="1480" w:type="dxa"/>
            <w:vAlign w:val="bottom"/>
            <w:tcBorders>
              <w:top w:val="single" w:sz="8" w:color="auto"/>
            </w:tcBorders>
            <w:shd w:val="clear" w:color="auto" w:fill="9DB8D2"/>
          </w:tcPr>
          <w:p>
            <w:pPr>
              <w:spacing w:after="0"/>
              <w:rPr>
                <w:sz w:val="22"/>
                <w:szCs w:val="22"/>
                <w:color w:val="auto"/>
              </w:rPr>
            </w:pPr>
          </w:p>
        </w:tc>
        <w:tc>
          <w:tcPr>
            <w:tcW w:w="1240" w:type="dxa"/>
            <w:vAlign w:val="bottom"/>
            <w:tcBorders>
              <w:top w:val="single" w:sz="8" w:color="auto"/>
            </w:tcBorders>
            <w:shd w:val="clear" w:color="auto" w:fill="9DB8D2"/>
          </w:tcPr>
          <w:p>
            <w:pPr>
              <w:jc w:val="right"/>
              <w:ind w:right="103"/>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240" w:type="dxa"/>
            <w:vAlign w:val="bottom"/>
            <w:shd w:val="clear" w:color="auto" w:fill="9DB8D2"/>
          </w:tcPr>
          <w:p>
            <w:pPr>
              <w:spacing w:after="0"/>
              <w:rPr>
                <w:sz w:val="14"/>
                <w:szCs w:val="14"/>
                <w:color w:val="auto"/>
              </w:rPr>
            </w:pPr>
          </w:p>
        </w:tc>
        <w:tc>
          <w:tcPr>
            <w:tcW w:w="1020" w:type="dxa"/>
            <w:vAlign w:val="bottom"/>
            <w:shd w:val="clear" w:color="auto" w:fill="9DB8D2"/>
          </w:tcPr>
          <w:p>
            <w:pPr>
              <w:spacing w:after="0"/>
              <w:rPr>
                <w:sz w:val="14"/>
                <w:szCs w:val="14"/>
                <w:color w:val="auto"/>
              </w:rPr>
            </w:pPr>
          </w:p>
        </w:tc>
        <w:tc>
          <w:tcPr>
            <w:tcW w:w="12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Executive</w:t>
            </w:r>
          </w:p>
        </w:tc>
        <w:tc>
          <w:tcPr>
            <w:tcW w:w="1400" w:type="dxa"/>
            <w:vAlign w:val="bottom"/>
            <w:shd w:val="clear" w:color="auto" w:fill="9DB8D2"/>
          </w:tcPr>
          <w:p>
            <w:pPr>
              <w:jc w:val="center"/>
              <w:ind w:right="83"/>
              <w:spacing w:after="0"/>
              <w:rPr>
                <w:sz w:val="20"/>
                <w:szCs w:val="20"/>
                <w:color w:val="auto"/>
              </w:rPr>
            </w:pPr>
            <w:r>
              <w:rPr>
                <w:rFonts w:ascii="Arial" w:cs="Arial" w:eastAsia="Arial" w:hAnsi="Arial"/>
                <w:sz w:val="14"/>
                <w:szCs w:val="14"/>
                <w:b w:val="1"/>
                <w:bCs w:val="1"/>
                <w:color w:val="auto"/>
              </w:rPr>
              <w:t>Registrant</w:t>
            </w:r>
          </w:p>
        </w:tc>
        <w:tc>
          <w:tcPr>
            <w:tcW w:w="13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Aggregate</w:t>
            </w:r>
          </w:p>
        </w:tc>
        <w:tc>
          <w:tcPr>
            <w:tcW w:w="1480" w:type="dxa"/>
            <w:vAlign w:val="bottom"/>
            <w:shd w:val="clear" w:color="auto" w:fill="9DB8D2"/>
          </w:tcPr>
          <w:p>
            <w:pPr>
              <w:jc w:val="right"/>
              <w:ind w:right="243"/>
              <w:spacing w:after="0"/>
              <w:rPr>
                <w:sz w:val="20"/>
                <w:szCs w:val="20"/>
                <w:color w:val="auto"/>
              </w:rPr>
            </w:pPr>
            <w:r>
              <w:rPr>
                <w:rFonts w:ascii="Arial" w:cs="Arial" w:eastAsia="Arial" w:hAnsi="Arial"/>
                <w:sz w:val="14"/>
                <w:szCs w:val="14"/>
                <w:b w:val="1"/>
                <w:bCs w:val="1"/>
                <w:color w:val="auto"/>
              </w:rPr>
              <w:t>Aggregate</w:t>
            </w:r>
          </w:p>
        </w:tc>
        <w:tc>
          <w:tcPr>
            <w:tcW w:w="1240" w:type="dxa"/>
            <w:vAlign w:val="bottom"/>
            <w:shd w:val="clear" w:color="auto" w:fill="9DB8D2"/>
          </w:tcPr>
          <w:p>
            <w:pPr>
              <w:jc w:val="right"/>
              <w:ind w:right="83"/>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3240" w:type="dxa"/>
            <w:vAlign w:val="bottom"/>
            <w:shd w:val="clear" w:color="auto" w:fill="9DB8D2"/>
          </w:tcPr>
          <w:p>
            <w:pPr>
              <w:spacing w:after="0"/>
              <w:rPr>
                <w:sz w:val="14"/>
                <w:szCs w:val="14"/>
                <w:color w:val="auto"/>
              </w:rPr>
            </w:pPr>
          </w:p>
        </w:tc>
        <w:tc>
          <w:tcPr>
            <w:tcW w:w="1020" w:type="dxa"/>
            <w:vAlign w:val="bottom"/>
            <w:shd w:val="clear" w:color="auto" w:fill="9DB8D2"/>
          </w:tcPr>
          <w:p>
            <w:pPr>
              <w:spacing w:after="0"/>
              <w:rPr>
                <w:sz w:val="14"/>
                <w:szCs w:val="14"/>
                <w:color w:val="auto"/>
              </w:rPr>
            </w:pPr>
          </w:p>
        </w:tc>
        <w:tc>
          <w:tcPr>
            <w:tcW w:w="12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Contributions</w:t>
            </w:r>
          </w:p>
        </w:tc>
        <w:tc>
          <w:tcPr>
            <w:tcW w:w="1400" w:type="dxa"/>
            <w:vAlign w:val="bottom"/>
            <w:shd w:val="clear" w:color="auto" w:fill="9DB8D2"/>
          </w:tcPr>
          <w:p>
            <w:pPr>
              <w:jc w:val="center"/>
              <w:ind w:right="63"/>
              <w:spacing w:after="0"/>
              <w:rPr>
                <w:sz w:val="20"/>
                <w:szCs w:val="20"/>
                <w:color w:val="auto"/>
              </w:rPr>
            </w:pPr>
            <w:r>
              <w:rPr>
                <w:rFonts w:ascii="Arial" w:cs="Arial" w:eastAsia="Arial" w:hAnsi="Arial"/>
                <w:sz w:val="14"/>
                <w:szCs w:val="14"/>
                <w:b w:val="1"/>
                <w:bCs w:val="1"/>
                <w:color w:val="auto"/>
              </w:rPr>
              <w:t>Contributions</w:t>
            </w:r>
          </w:p>
        </w:tc>
        <w:tc>
          <w:tcPr>
            <w:tcW w:w="13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Earnings</w:t>
            </w:r>
          </w:p>
        </w:tc>
        <w:tc>
          <w:tcPr>
            <w:tcW w:w="1480" w:type="dxa"/>
            <w:vAlign w:val="bottom"/>
            <w:shd w:val="clear" w:color="auto" w:fill="9DB8D2"/>
          </w:tcPr>
          <w:p>
            <w:pPr>
              <w:jc w:val="right"/>
              <w:ind w:right="143"/>
              <w:spacing w:after="0"/>
              <w:rPr>
                <w:sz w:val="20"/>
                <w:szCs w:val="20"/>
                <w:color w:val="auto"/>
              </w:rPr>
            </w:pPr>
            <w:r>
              <w:rPr>
                <w:rFonts w:ascii="Arial" w:cs="Arial" w:eastAsia="Arial" w:hAnsi="Arial"/>
                <w:sz w:val="14"/>
                <w:szCs w:val="14"/>
                <w:b w:val="1"/>
                <w:bCs w:val="1"/>
                <w:color w:val="auto"/>
              </w:rPr>
              <w:t>Withdrawals/</w:t>
            </w:r>
          </w:p>
        </w:tc>
        <w:tc>
          <w:tcPr>
            <w:tcW w:w="1240" w:type="dxa"/>
            <w:vAlign w:val="bottom"/>
            <w:shd w:val="clear" w:color="auto" w:fill="9DB8D2"/>
          </w:tcPr>
          <w:p>
            <w:pPr>
              <w:jc w:val="right"/>
              <w:ind w:right="23"/>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3240" w:type="dxa"/>
            <w:vAlign w:val="bottom"/>
            <w:shd w:val="clear" w:color="auto" w:fill="9DB8D2"/>
          </w:tcPr>
          <w:p>
            <w:pPr>
              <w:spacing w:after="0"/>
              <w:rPr>
                <w:sz w:val="14"/>
                <w:szCs w:val="14"/>
                <w:color w:val="auto"/>
              </w:rPr>
            </w:pPr>
          </w:p>
        </w:tc>
        <w:tc>
          <w:tcPr>
            <w:tcW w:w="1020" w:type="dxa"/>
            <w:vAlign w:val="bottom"/>
            <w:shd w:val="clear" w:color="auto" w:fill="9DB8D2"/>
          </w:tcPr>
          <w:p>
            <w:pPr>
              <w:spacing w:after="0"/>
              <w:rPr>
                <w:sz w:val="14"/>
                <w:szCs w:val="14"/>
                <w:color w:val="auto"/>
              </w:rPr>
            </w:pPr>
          </w:p>
        </w:tc>
        <w:tc>
          <w:tcPr>
            <w:tcW w:w="12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 2017</w:t>
            </w:r>
          </w:p>
        </w:tc>
        <w:tc>
          <w:tcPr>
            <w:tcW w:w="1400" w:type="dxa"/>
            <w:vAlign w:val="bottom"/>
            <w:shd w:val="clear" w:color="auto" w:fill="9DB8D2"/>
          </w:tcPr>
          <w:p>
            <w:pPr>
              <w:jc w:val="center"/>
              <w:ind w:right="83"/>
              <w:spacing w:after="0"/>
              <w:rPr>
                <w:sz w:val="20"/>
                <w:szCs w:val="20"/>
                <w:color w:val="auto"/>
              </w:rPr>
            </w:pPr>
            <w:r>
              <w:rPr>
                <w:rFonts w:ascii="Arial" w:cs="Arial" w:eastAsia="Arial" w:hAnsi="Arial"/>
                <w:sz w:val="14"/>
                <w:szCs w:val="14"/>
                <w:b w:val="1"/>
                <w:bCs w:val="1"/>
                <w:color w:val="auto"/>
              </w:rPr>
              <w:t>in 2017</w:t>
            </w:r>
          </w:p>
        </w:tc>
        <w:tc>
          <w:tcPr>
            <w:tcW w:w="13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 2017</w:t>
            </w:r>
          </w:p>
        </w:tc>
        <w:tc>
          <w:tcPr>
            <w:tcW w:w="1480" w:type="dxa"/>
            <w:vAlign w:val="bottom"/>
            <w:shd w:val="clear" w:color="auto" w:fill="9DB8D2"/>
          </w:tcPr>
          <w:p>
            <w:pPr>
              <w:jc w:val="right"/>
              <w:ind w:right="143"/>
              <w:spacing w:after="0"/>
              <w:rPr>
                <w:sz w:val="20"/>
                <w:szCs w:val="20"/>
                <w:color w:val="auto"/>
              </w:rPr>
            </w:pPr>
            <w:r>
              <w:rPr>
                <w:rFonts w:ascii="Arial" w:cs="Arial" w:eastAsia="Arial" w:hAnsi="Arial"/>
                <w:sz w:val="14"/>
                <w:szCs w:val="14"/>
                <w:b w:val="1"/>
                <w:bCs w:val="1"/>
                <w:color w:val="auto"/>
              </w:rPr>
              <w:t>Distributions</w:t>
            </w:r>
          </w:p>
        </w:tc>
        <w:tc>
          <w:tcPr>
            <w:tcW w:w="1240" w:type="dxa"/>
            <w:vAlign w:val="bottom"/>
            <w:shd w:val="clear" w:color="auto" w:fill="9DB8D2"/>
          </w:tcPr>
          <w:p>
            <w:pPr>
              <w:jc w:val="right"/>
              <w:ind w:right="283"/>
              <w:spacing w:after="0"/>
              <w:rPr>
                <w:sz w:val="20"/>
                <w:szCs w:val="20"/>
                <w:color w:val="auto"/>
              </w:rPr>
            </w:pPr>
            <w:r>
              <w:rPr>
                <w:rFonts w:ascii="Arial" w:cs="Arial" w:eastAsia="Arial" w:hAnsi="Arial"/>
                <w:sz w:val="14"/>
                <w:szCs w:val="14"/>
                <w:b w:val="1"/>
                <w:bCs w:val="1"/>
                <w:color w:val="auto"/>
              </w:rPr>
              <w:t>2017</w:t>
            </w:r>
          </w:p>
        </w:tc>
      </w:tr>
      <w:tr>
        <w:trPr>
          <w:trHeight w:val="177"/>
        </w:trPr>
        <w:tc>
          <w:tcPr>
            <w:tcW w:w="324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 &amp; Principal Position</w:t>
            </w:r>
          </w:p>
        </w:tc>
        <w:tc>
          <w:tcPr>
            <w:tcW w:w="1020" w:type="dxa"/>
            <w:vAlign w:val="bottom"/>
            <w:tcBorders>
              <w:bottom w:val="single" w:sz="8" w:color="auto"/>
            </w:tcBorders>
            <w:shd w:val="clear" w:color="auto" w:fill="9DB8D2"/>
          </w:tcPr>
          <w:p>
            <w:pPr>
              <w:ind w:left="420"/>
              <w:spacing w:after="0"/>
              <w:rPr>
                <w:sz w:val="20"/>
                <w:szCs w:val="20"/>
                <w:color w:val="auto"/>
              </w:rPr>
            </w:pPr>
            <w:r>
              <w:rPr>
                <w:rFonts w:ascii="Arial" w:cs="Arial" w:eastAsia="Arial" w:hAnsi="Arial"/>
                <w:sz w:val="14"/>
                <w:szCs w:val="14"/>
                <w:b w:val="1"/>
                <w:bCs w:val="1"/>
                <w:color w:val="auto"/>
              </w:rPr>
              <w:t>Plan</w:t>
            </w:r>
          </w:p>
        </w:tc>
        <w:tc>
          <w:tcPr>
            <w:tcW w:w="12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($)(1)</w:t>
            </w:r>
          </w:p>
        </w:tc>
        <w:tc>
          <w:tcPr>
            <w:tcW w:w="1400" w:type="dxa"/>
            <w:vAlign w:val="bottom"/>
            <w:tcBorders>
              <w:bottom w:val="single" w:sz="8" w:color="auto"/>
            </w:tcBorders>
            <w:shd w:val="clear" w:color="auto" w:fill="9DB8D2"/>
          </w:tcPr>
          <w:p>
            <w:pPr>
              <w:jc w:val="center"/>
              <w:ind w:right="63"/>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9DB8D2"/>
          </w:tcPr>
          <w:p>
            <w:pPr>
              <w:jc w:val="right"/>
              <w:ind w:right="503"/>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9DB8D2"/>
          </w:tcPr>
          <w:p>
            <w:pPr>
              <w:jc w:val="right"/>
              <w:ind w:right="283"/>
              <w:spacing w:after="0"/>
              <w:rPr>
                <w:sz w:val="20"/>
                <w:szCs w:val="20"/>
                <w:color w:val="auto"/>
              </w:rPr>
            </w:pPr>
            <w:r>
              <w:rPr>
                <w:rFonts w:ascii="Arial" w:cs="Arial" w:eastAsia="Arial" w:hAnsi="Arial"/>
                <w:sz w:val="14"/>
                <w:szCs w:val="14"/>
                <w:b w:val="1"/>
                <w:bCs w:val="1"/>
                <w:color w:val="auto"/>
              </w:rPr>
              <w:t>($)(2)</w:t>
            </w:r>
          </w:p>
        </w:tc>
      </w:tr>
      <w:tr>
        <w:trPr>
          <w:trHeight w:val="166"/>
        </w:trPr>
        <w:tc>
          <w:tcPr>
            <w:tcW w:w="3240" w:type="dxa"/>
            <w:vAlign w:val="bottom"/>
            <w:shd w:val="clear" w:color="auto" w:fill="E6EDF3"/>
          </w:tcPr>
          <w:p>
            <w:pPr>
              <w:ind w:left="60"/>
              <w:spacing w:after="0" w:line="167" w:lineRule="exact"/>
              <w:rPr>
                <w:sz w:val="20"/>
                <w:szCs w:val="20"/>
                <w:color w:val="auto"/>
              </w:rPr>
            </w:pPr>
            <w:r>
              <w:rPr>
                <w:rFonts w:ascii="Arial" w:cs="Arial" w:eastAsia="Arial" w:hAnsi="Arial"/>
                <w:sz w:val="16"/>
                <w:szCs w:val="16"/>
                <w:color w:val="auto"/>
              </w:rPr>
              <w:t>Jonas Prising</w:t>
            </w:r>
          </w:p>
        </w:tc>
        <w:tc>
          <w:tcPr>
            <w:tcW w:w="1020" w:type="dxa"/>
            <w:vAlign w:val="bottom"/>
            <w:shd w:val="clear" w:color="auto" w:fill="E6EDF3"/>
          </w:tcPr>
          <w:p>
            <w:pPr>
              <w:ind w:left="400"/>
              <w:spacing w:after="0" w:line="167" w:lineRule="exact"/>
              <w:rPr>
                <w:sz w:val="20"/>
                <w:szCs w:val="20"/>
                <w:color w:val="auto"/>
              </w:rPr>
            </w:pPr>
            <w:r>
              <w:rPr>
                <w:rFonts w:ascii="Arial" w:cs="Arial" w:eastAsia="Arial" w:hAnsi="Arial"/>
                <w:sz w:val="16"/>
                <w:szCs w:val="16"/>
                <w:color w:val="auto"/>
              </w:rPr>
              <w:t>NQSP</w:t>
            </w:r>
          </w:p>
        </w:tc>
        <w:tc>
          <w:tcPr>
            <w:tcW w:w="1260" w:type="dxa"/>
            <w:vAlign w:val="bottom"/>
            <w:shd w:val="clear" w:color="auto" w:fill="E6EDF3"/>
          </w:tcPr>
          <w:p>
            <w:pPr>
              <w:jc w:val="right"/>
              <w:ind w:right="183"/>
              <w:spacing w:after="0" w:line="167" w:lineRule="exact"/>
              <w:rPr>
                <w:sz w:val="20"/>
                <w:szCs w:val="20"/>
                <w:color w:val="auto"/>
              </w:rPr>
            </w:pPr>
            <w:r>
              <w:rPr>
                <w:rFonts w:ascii="Arial" w:cs="Arial" w:eastAsia="Arial" w:hAnsi="Arial"/>
                <w:sz w:val="16"/>
                <w:szCs w:val="16"/>
                <w:color w:val="auto"/>
              </w:rPr>
              <w:t>50,000</w:t>
            </w:r>
          </w:p>
        </w:tc>
        <w:tc>
          <w:tcPr>
            <w:tcW w:w="1400" w:type="dxa"/>
            <w:vAlign w:val="bottom"/>
            <w:shd w:val="clear" w:color="auto" w:fill="E6EDF3"/>
          </w:tcPr>
          <w:p>
            <w:pPr>
              <w:jc w:val="right"/>
              <w:ind w:right="323"/>
              <w:spacing w:after="0" w:line="167" w:lineRule="exact"/>
              <w:rPr>
                <w:sz w:val="20"/>
                <w:szCs w:val="20"/>
                <w:color w:val="auto"/>
              </w:rPr>
            </w:pPr>
            <w:r>
              <w:rPr>
                <w:rFonts w:ascii="Arial" w:cs="Arial" w:eastAsia="Arial" w:hAnsi="Arial"/>
                <w:sz w:val="16"/>
                <w:szCs w:val="16"/>
                <w:color w:val="auto"/>
              </w:rPr>
              <w:t>32,500</w:t>
            </w:r>
          </w:p>
        </w:tc>
        <w:tc>
          <w:tcPr>
            <w:tcW w:w="1380" w:type="dxa"/>
            <w:vAlign w:val="bottom"/>
            <w:shd w:val="clear" w:color="auto" w:fill="E6EDF3"/>
          </w:tcPr>
          <w:p>
            <w:pPr>
              <w:jc w:val="right"/>
              <w:ind w:right="303"/>
              <w:spacing w:after="0" w:line="167" w:lineRule="exact"/>
              <w:rPr>
                <w:sz w:val="20"/>
                <w:szCs w:val="20"/>
                <w:color w:val="auto"/>
              </w:rPr>
            </w:pPr>
            <w:r>
              <w:rPr>
                <w:rFonts w:ascii="Arial" w:cs="Arial" w:eastAsia="Arial" w:hAnsi="Arial"/>
                <w:sz w:val="16"/>
                <w:szCs w:val="16"/>
                <w:color w:val="auto"/>
              </w:rPr>
              <w:t>379,481</w:t>
            </w:r>
          </w:p>
        </w:tc>
        <w:tc>
          <w:tcPr>
            <w:tcW w:w="1480" w:type="dxa"/>
            <w:vAlign w:val="bottom"/>
            <w:shd w:val="clear" w:color="auto" w:fill="E6EDF3"/>
          </w:tcPr>
          <w:p>
            <w:pPr>
              <w:jc w:val="right"/>
              <w:ind w:right="483"/>
              <w:spacing w:after="0" w:line="167" w:lineRule="exact"/>
              <w:rPr>
                <w:sz w:val="20"/>
                <w:szCs w:val="20"/>
                <w:color w:val="auto"/>
              </w:rPr>
            </w:pPr>
            <w:r>
              <w:rPr>
                <w:rFonts w:ascii="Arial" w:cs="Arial" w:eastAsia="Arial" w:hAnsi="Arial"/>
                <w:sz w:val="16"/>
                <w:szCs w:val="16"/>
                <w:color w:val="auto"/>
              </w:rPr>
              <w:t>—</w:t>
            </w:r>
          </w:p>
        </w:tc>
        <w:tc>
          <w:tcPr>
            <w:tcW w:w="1240" w:type="dxa"/>
            <w:vAlign w:val="bottom"/>
            <w:shd w:val="clear" w:color="auto" w:fill="E6EDF3"/>
          </w:tcPr>
          <w:p>
            <w:pPr>
              <w:jc w:val="right"/>
              <w:spacing w:after="0" w:line="167" w:lineRule="exact"/>
              <w:rPr>
                <w:sz w:val="20"/>
                <w:szCs w:val="20"/>
                <w:color w:val="auto"/>
              </w:rPr>
            </w:pPr>
            <w:r>
              <w:rPr>
                <w:rFonts w:ascii="Arial" w:cs="Arial" w:eastAsia="Arial" w:hAnsi="Arial"/>
                <w:sz w:val="16"/>
                <w:szCs w:val="16"/>
                <w:color w:val="auto"/>
              </w:rPr>
              <w:t>2,494,179</w:t>
            </w:r>
          </w:p>
        </w:tc>
      </w:tr>
      <w:tr>
        <w:trPr>
          <w:trHeight w:val="219"/>
        </w:trPr>
        <w:tc>
          <w:tcPr>
            <w:tcW w:w="3240" w:type="dxa"/>
            <w:vAlign w:val="bottom"/>
            <w:shd w:val="clear" w:color="auto" w:fill="E6EDF3"/>
          </w:tcPr>
          <w:p>
            <w:pPr>
              <w:ind w:left="220"/>
              <w:spacing w:after="0"/>
              <w:rPr>
                <w:sz w:val="20"/>
                <w:szCs w:val="20"/>
                <w:color w:val="auto"/>
              </w:rPr>
            </w:pPr>
            <w:r>
              <w:rPr>
                <w:rFonts w:ascii="Arial" w:cs="Arial" w:eastAsia="Arial" w:hAnsi="Arial"/>
                <w:sz w:val="16"/>
                <w:szCs w:val="16"/>
                <w:i w:val="1"/>
                <w:iCs w:val="1"/>
                <w:color w:val="auto"/>
              </w:rPr>
              <w:t>CEO</w:t>
            </w:r>
          </w:p>
        </w:tc>
        <w:tc>
          <w:tcPr>
            <w:tcW w:w="1020" w:type="dxa"/>
            <w:vAlign w:val="bottom"/>
            <w:shd w:val="clear" w:color="auto" w:fill="E6EDF3"/>
          </w:tcPr>
          <w:p>
            <w:pPr>
              <w:spacing w:after="0"/>
              <w:rPr>
                <w:sz w:val="19"/>
                <w:szCs w:val="19"/>
                <w:color w:val="auto"/>
              </w:rPr>
            </w:pPr>
          </w:p>
        </w:tc>
        <w:tc>
          <w:tcPr>
            <w:tcW w:w="1260" w:type="dxa"/>
            <w:vAlign w:val="bottom"/>
            <w:shd w:val="clear" w:color="auto" w:fill="E6EDF3"/>
          </w:tcPr>
          <w:p>
            <w:pPr>
              <w:spacing w:after="0"/>
              <w:rPr>
                <w:sz w:val="19"/>
                <w:szCs w:val="19"/>
                <w:color w:val="auto"/>
              </w:rPr>
            </w:pPr>
          </w:p>
        </w:tc>
        <w:tc>
          <w:tcPr>
            <w:tcW w:w="1400" w:type="dxa"/>
            <w:vAlign w:val="bottom"/>
            <w:shd w:val="clear" w:color="auto" w:fill="E6EDF3"/>
          </w:tcPr>
          <w:p>
            <w:pPr>
              <w:spacing w:after="0"/>
              <w:rPr>
                <w:sz w:val="19"/>
                <w:szCs w:val="19"/>
                <w:color w:val="auto"/>
              </w:rPr>
            </w:pPr>
          </w:p>
        </w:tc>
        <w:tc>
          <w:tcPr>
            <w:tcW w:w="1380" w:type="dxa"/>
            <w:vAlign w:val="bottom"/>
            <w:shd w:val="clear" w:color="auto" w:fill="E6EDF3"/>
          </w:tcPr>
          <w:p>
            <w:pPr>
              <w:spacing w:after="0"/>
              <w:rPr>
                <w:sz w:val="19"/>
                <w:szCs w:val="19"/>
                <w:color w:val="auto"/>
              </w:rPr>
            </w:pPr>
          </w:p>
        </w:tc>
        <w:tc>
          <w:tcPr>
            <w:tcW w:w="1480" w:type="dxa"/>
            <w:vAlign w:val="bottom"/>
            <w:shd w:val="clear" w:color="auto" w:fill="E6EDF3"/>
          </w:tcPr>
          <w:p>
            <w:pPr>
              <w:spacing w:after="0"/>
              <w:rPr>
                <w:sz w:val="19"/>
                <w:szCs w:val="19"/>
                <w:color w:val="auto"/>
              </w:rPr>
            </w:pPr>
          </w:p>
        </w:tc>
        <w:tc>
          <w:tcPr>
            <w:tcW w:w="1240" w:type="dxa"/>
            <w:vAlign w:val="bottom"/>
            <w:shd w:val="clear" w:color="auto" w:fill="E6EDF3"/>
          </w:tcPr>
          <w:p>
            <w:pPr>
              <w:spacing w:after="0"/>
              <w:rPr>
                <w:sz w:val="19"/>
                <w:szCs w:val="19"/>
                <w:color w:val="auto"/>
              </w:rPr>
            </w:pPr>
          </w:p>
        </w:tc>
      </w:tr>
      <w:tr>
        <w:trPr>
          <w:trHeight w:val="173"/>
        </w:trPr>
        <w:tc>
          <w:tcPr>
            <w:tcW w:w="3240" w:type="dxa"/>
            <w:vAlign w:val="bottom"/>
          </w:tcPr>
          <w:p>
            <w:pPr>
              <w:ind w:left="60"/>
              <w:spacing w:after="0" w:line="173" w:lineRule="exact"/>
              <w:rPr>
                <w:sz w:val="20"/>
                <w:szCs w:val="20"/>
                <w:color w:val="auto"/>
              </w:rPr>
            </w:pPr>
            <w:r>
              <w:rPr>
                <w:rFonts w:ascii="Arial" w:cs="Arial" w:eastAsia="Arial" w:hAnsi="Arial"/>
                <w:sz w:val="16"/>
                <w:szCs w:val="16"/>
                <w:color w:val="auto"/>
              </w:rPr>
              <w:t>John T. McGinnis</w:t>
            </w:r>
          </w:p>
        </w:tc>
        <w:tc>
          <w:tcPr>
            <w:tcW w:w="1020" w:type="dxa"/>
            <w:vAlign w:val="bottom"/>
          </w:tcPr>
          <w:p>
            <w:pPr>
              <w:ind w:left="400"/>
              <w:spacing w:after="0" w:line="173" w:lineRule="exact"/>
              <w:rPr>
                <w:sz w:val="20"/>
                <w:szCs w:val="20"/>
                <w:color w:val="auto"/>
              </w:rPr>
            </w:pPr>
            <w:r>
              <w:rPr>
                <w:rFonts w:ascii="Arial" w:cs="Arial" w:eastAsia="Arial" w:hAnsi="Arial"/>
                <w:sz w:val="16"/>
                <w:szCs w:val="16"/>
                <w:color w:val="auto"/>
              </w:rPr>
              <w:t>NQSP</w:t>
            </w:r>
          </w:p>
        </w:tc>
        <w:tc>
          <w:tcPr>
            <w:tcW w:w="1260" w:type="dxa"/>
            <w:vAlign w:val="bottom"/>
          </w:tcPr>
          <w:p>
            <w:pPr>
              <w:jc w:val="right"/>
              <w:ind w:right="183"/>
              <w:spacing w:after="0" w:line="173" w:lineRule="exact"/>
              <w:rPr>
                <w:sz w:val="20"/>
                <w:szCs w:val="20"/>
                <w:color w:val="auto"/>
              </w:rPr>
            </w:pPr>
            <w:r>
              <w:rPr>
                <w:rFonts w:ascii="Arial" w:cs="Arial" w:eastAsia="Arial" w:hAnsi="Arial"/>
                <w:sz w:val="16"/>
                <w:szCs w:val="16"/>
                <w:color w:val="auto"/>
              </w:rPr>
              <w:t>32,212</w:t>
            </w:r>
          </w:p>
        </w:tc>
        <w:tc>
          <w:tcPr>
            <w:tcW w:w="1400" w:type="dxa"/>
            <w:vAlign w:val="bottom"/>
          </w:tcPr>
          <w:p>
            <w:pPr>
              <w:jc w:val="right"/>
              <w:ind w:right="323"/>
              <w:spacing w:after="0" w:line="173" w:lineRule="exact"/>
              <w:rPr>
                <w:sz w:val="20"/>
                <w:szCs w:val="20"/>
                <w:color w:val="auto"/>
              </w:rPr>
            </w:pPr>
            <w:r>
              <w:rPr>
                <w:rFonts w:ascii="Arial" w:cs="Arial" w:eastAsia="Arial" w:hAnsi="Arial"/>
                <w:sz w:val="16"/>
                <w:szCs w:val="16"/>
                <w:color w:val="auto"/>
              </w:rPr>
              <w:t>16,106</w:t>
            </w:r>
          </w:p>
        </w:tc>
        <w:tc>
          <w:tcPr>
            <w:tcW w:w="1380" w:type="dxa"/>
            <w:vAlign w:val="bottom"/>
          </w:tcPr>
          <w:p>
            <w:pPr>
              <w:jc w:val="right"/>
              <w:ind w:right="303"/>
              <w:spacing w:after="0" w:line="173" w:lineRule="exact"/>
              <w:rPr>
                <w:sz w:val="20"/>
                <w:szCs w:val="20"/>
                <w:color w:val="auto"/>
              </w:rPr>
            </w:pPr>
            <w:r>
              <w:rPr>
                <w:rFonts w:ascii="Arial" w:cs="Arial" w:eastAsia="Arial" w:hAnsi="Arial"/>
                <w:sz w:val="16"/>
                <w:szCs w:val="16"/>
                <w:color w:val="auto"/>
              </w:rPr>
              <w:t>3,966</w:t>
            </w:r>
          </w:p>
        </w:tc>
        <w:tc>
          <w:tcPr>
            <w:tcW w:w="1480" w:type="dxa"/>
            <w:vAlign w:val="bottom"/>
          </w:tcPr>
          <w:p>
            <w:pPr>
              <w:jc w:val="right"/>
              <w:ind w:right="483"/>
              <w:spacing w:after="0" w:line="173"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73" w:lineRule="exact"/>
              <w:rPr>
                <w:sz w:val="20"/>
                <w:szCs w:val="20"/>
                <w:color w:val="auto"/>
              </w:rPr>
            </w:pPr>
            <w:r>
              <w:rPr>
                <w:rFonts w:ascii="Arial" w:cs="Arial" w:eastAsia="Arial" w:hAnsi="Arial"/>
                <w:sz w:val="16"/>
                <w:szCs w:val="16"/>
                <w:color w:val="auto"/>
              </w:rPr>
              <w:t>52,284</w:t>
            </w:r>
          </w:p>
        </w:tc>
      </w:tr>
      <w:tr>
        <w:trPr>
          <w:trHeight w:val="218"/>
        </w:trPr>
        <w:tc>
          <w:tcPr>
            <w:tcW w:w="3240" w:type="dxa"/>
            <w:vAlign w:val="bottom"/>
          </w:tcPr>
          <w:p>
            <w:pPr>
              <w:ind w:left="220"/>
              <w:spacing w:after="0"/>
              <w:rPr>
                <w:sz w:val="20"/>
                <w:szCs w:val="20"/>
                <w:color w:val="auto"/>
              </w:rPr>
            </w:pPr>
            <w:r>
              <w:rPr>
                <w:rFonts w:ascii="Arial" w:cs="Arial" w:eastAsia="Arial" w:hAnsi="Arial"/>
                <w:sz w:val="16"/>
                <w:szCs w:val="16"/>
                <w:i w:val="1"/>
                <w:iCs w:val="1"/>
                <w:color w:val="auto"/>
              </w:rPr>
              <w:t>CFO</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74"/>
        </w:trPr>
        <w:tc>
          <w:tcPr>
            <w:tcW w:w="3240" w:type="dxa"/>
            <w:vAlign w:val="bottom"/>
            <w:shd w:val="clear" w:color="auto" w:fill="E6EDF3"/>
          </w:tcPr>
          <w:p>
            <w:pPr>
              <w:ind w:left="60"/>
              <w:spacing w:after="0" w:line="174" w:lineRule="exact"/>
              <w:rPr>
                <w:sz w:val="20"/>
                <w:szCs w:val="20"/>
                <w:color w:val="auto"/>
              </w:rPr>
            </w:pPr>
            <w:r>
              <w:rPr>
                <w:rFonts w:ascii="Arial" w:cs="Arial" w:eastAsia="Arial" w:hAnsi="Arial"/>
                <w:sz w:val="16"/>
                <w:szCs w:val="16"/>
                <w:color w:val="auto"/>
              </w:rPr>
              <w:t>Darryl Green</w:t>
            </w:r>
          </w:p>
        </w:tc>
        <w:tc>
          <w:tcPr>
            <w:tcW w:w="1020" w:type="dxa"/>
            <w:vAlign w:val="bottom"/>
            <w:shd w:val="clear" w:color="auto" w:fill="E6EDF3"/>
          </w:tcPr>
          <w:p>
            <w:pPr>
              <w:ind w:left="400"/>
              <w:spacing w:after="0" w:line="174" w:lineRule="exact"/>
              <w:rPr>
                <w:sz w:val="20"/>
                <w:szCs w:val="20"/>
                <w:color w:val="auto"/>
              </w:rPr>
            </w:pPr>
            <w:r>
              <w:rPr>
                <w:rFonts w:ascii="Arial" w:cs="Arial" w:eastAsia="Arial" w:hAnsi="Arial"/>
                <w:sz w:val="16"/>
                <w:szCs w:val="16"/>
                <w:color w:val="auto"/>
              </w:rPr>
              <w:t>NQSP</w:t>
            </w:r>
          </w:p>
        </w:tc>
        <w:tc>
          <w:tcPr>
            <w:tcW w:w="1260" w:type="dxa"/>
            <w:vAlign w:val="bottom"/>
            <w:shd w:val="clear" w:color="auto" w:fill="E6EDF3"/>
          </w:tcPr>
          <w:p>
            <w:pPr>
              <w:jc w:val="right"/>
              <w:ind w:right="183"/>
              <w:spacing w:after="0" w:line="174" w:lineRule="exact"/>
              <w:rPr>
                <w:sz w:val="20"/>
                <w:szCs w:val="20"/>
                <w:color w:val="auto"/>
              </w:rPr>
            </w:pPr>
            <w:r>
              <w:rPr>
                <w:rFonts w:ascii="Arial" w:cs="Arial" w:eastAsia="Arial" w:hAnsi="Arial"/>
                <w:sz w:val="16"/>
                <w:szCs w:val="16"/>
                <w:color w:val="auto"/>
              </w:rPr>
              <w:t>—</w:t>
            </w:r>
          </w:p>
        </w:tc>
        <w:tc>
          <w:tcPr>
            <w:tcW w:w="1400" w:type="dxa"/>
            <w:vAlign w:val="bottom"/>
            <w:shd w:val="clear" w:color="auto" w:fill="E6EDF3"/>
          </w:tcPr>
          <w:p>
            <w:pPr>
              <w:jc w:val="right"/>
              <w:ind w:right="323"/>
              <w:spacing w:after="0" w:line="174" w:lineRule="exact"/>
              <w:rPr>
                <w:sz w:val="20"/>
                <w:szCs w:val="20"/>
                <w:color w:val="auto"/>
              </w:rPr>
            </w:pPr>
            <w:r>
              <w:rPr>
                <w:rFonts w:ascii="Arial" w:cs="Arial" w:eastAsia="Arial" w:hAnsi="Arial"/>
                <w:sz w:val="16"/>
                <w:szCs w:val="16"/>
                <w:color w:val="auto"/>
              </w:rPr>
              <w:t>—</w:t>
            </w:r>
          </w:p>
        </w:tc>
        <w:tc>
          <w:tcPr>
            <w:tcW w:w="1380" w:type="dxa"/>
            <w:vAlign w:val="bottom"/>
            <w:shd w:val="clear" w:color="auto" w:fill="E6EDF3"/>
          </w:tcPr>
          <w:p>
            <w:pPr>
              <w:jc w:val="right"/>
              <w:ind w:right="303"/>
              <w:spacing w:after="0" w:line="174" w:lineRule="exact"/>
              <w:rPr>
                <w:sz w:val="20"/>
                <w:szCs w:val="20"/>
                <w:color w:val="auto"/>
              </w:rPr>
            </w:pPr>
            <w:r>
              <w:rPr>
                <w:rFonts w:ascii="Arial" w:cs="Arial" w:eastAsia="Arial" w:hAnsi="Arial"/>
                <w:sz w:val="16"/>
                <w:szCs w:val="16"/>
                <w:color w:val="auto"/>
              </w:rPr>
              <w:t>3,746</w:t>
            </w:r>
          </w:p>
        </w:tc>
        <w:tc>
          <w:tcPr>
            <w:tcW w:w="1480" w:type="dxa"/>
            <w:vAlign w:val="bottom"/>
            <w:shd w:val="clear" w:color="auto" w:fill="E6EDF3"/>
          </w:tcPr>
          <w:p>
            <w:pPr>
              <w:jc w:val="right"/>
              <w:ind w:right="483"/>
              <w:spacing w:after="0" w:line="174" w:lineRule="exact"/>
              <w:rPr>
                <w:sz w:val="20"/>
                <w:szCs w:val="20"/>
                <w:color w:val="auto"/>
              </w:rPr>
            </w:pPr>
            <w:r>
              <w:rPr>
                <w:rFonts w:ascii="Arial" w:cs="Arial" w:eastAsia="Arial" w:hAnsi="Arial"/>
                <w:sz w:val="16"/>
                <w:szCs w:val="16"/>
                <w:color w:val="auto"/>
              </w:rPr>
              <w:t>—</w:t>
            </w:r>
          </w:p>
        </w:tc>
        <w:tc>
          <w:tcPr>
            <w:tcW w:w="1240" w:type="dxa"/>
            <w:vAlign w:val="bottom"/>
            <w:shd w:val="clear" w:color="auto" w:fill="E6EDF3"/>
          </w:tcPr>
          <w:p>
            <w:pPr>
              <w:jc w:val="right"/>
              <w:spacing w:after="0" w:line="174" w:lineRule="exact"/>
              <w:rPr>
                <w:sz w:val="20"/>
                <w:szCs w:val="20"/>
                <w:color w:val="auto"/>
              </w:rPr>
            </w:pPr>
            <w:r>
              <w:rPr>
                <w:rFonts w:ascii="Arial" w:cs="Arial" w:eastAsia="Arial" w:hAnsi="Arial"/>
                <w:sz w:val="16"/>
                <w:szCs w:val="16"/>
                <w:color w:val="auto"/>
              </w:rPr>
              <w:t>25,781</w:t>
            </w:r>
          </w:p>
        </w:tc>
      </w:tr>
      <w:tr>
        <w:trPr>
          <w:trHeight w:val="219"/>
        </w:trPr>
        <w:tc>
          <w:tcPr>
            <w:tcW w:w="3240" w:type="dxa"/>
            <w:vAlign w:val="bottom"/>
            <w:shd w:val="clear" w:color="auto" w:fill="E6EDF3"/>
          </w:tcPr>
          <w:p>
            <w:pPr>
              <w:ind w:left="220"/>
              <w:spacing w:after="0"/>
              <w:rPr>
                <w:sz w:val="20"/>
                <w:szCs w:val="20"/>
                <w:color w:val="auto"/>
              </w:rPr>
            </w:pPr>
            <w:r>
              <w:rPr>
                <w:rFonts w:ascii="Arial" w:cs="Arial" w:eastAsia="Arial" w:hAnsi="Arial"/>
                <w:sz w:val="16"/>
                <w:szCs w:val="16"/>
                <w:i w:val="1"/>
                <w:iCs w:val="1"/>
                <w:color w:val="auto"/>
              </w:rPr>
              <w:t>President &amp; COO</w:t>
            </w:r>
          </w:p>
        </w:tc>
        <w:tc>
          <w:tcPr>
            <w:tcW w:w="1020" w:type="dxa"/>
            <w:vAlign w:val="bottom"/>
            <w:shd w:val="clear" w:color="auto" w:fill="E6EDF3"/>
          </w:tcPr>
          <w:p>
            <w:pPr>
              <w:spacing w:after="0"/>
              <w:rPr>
                <w:sz w:val="19"/>
                <w:szCs w:val="19"/>
                <w:color w:val="auto"/>
              </w:rPr>
            </w:pPr>
          </w:p>
        </w:tc>
        <w:tc>
          <w:tcPr>
            <w:tcW w:w="1260" w:type="dxa"/>
            <w:vAlign w:val="bottom"/>
            <w:shd w:val="clear" w:color="auto" w:fill="E6EDF3"/>
          </w:tcPr>
          <w:p>
            <w:pPr>
              <w:spacing w:after="0"/>
              <w:rPr>
                <w:sz w:val="19"/>
                <w:szCs w:val="19"/>
                <w:color w:val="auto"/>
              </w:rPr>
            </w:pPr>
          </w:p>
        </w:tc>
        <w:tc>
          <w:tcPr>
            <w:tcW w:w="1400" w:type="dxa"/>
            <w:vAlign w:val="bottom"/>
            <w:shd w:val="clear" w:color="auto" w:fill="E6EDF3"/>
          </w:tcPr>
          <w:p>
            <w:pPr>
              <w:spacing w:after="0"/>
              <w:rPr>
                <w:sz w:val="19"/>
                <w:szCs w:val="19"/>
                <w:color w:val="auto"/>
              </w:rPr>
            </w:pPr>
          </w:p>
        </w:tc>
        <w:tc>
          <w:tcPr>
            <w:tcW w:w="1380" w:type="dxa"/>
            <w:vAlign w:val="bottom"/>
            <w:shd w:val="clear" w:color="auto" w:fill="E6EDF3"/>
          </w:tcPr>
          <w:p>
            <w:pPr>
              <w:spacing w:after="0"/>
              <w:rPr>
                <w:sz w:val="19"/>
                <w:szCs w:val="19"/>
                <w:color w:val="auto"/>
              </w:rPr>
            </w:pPr>
          </w:p>
        </w:tc>
        <w:tc>
          <w:tcPr>
            <w:tcW w:w="1480" w:type="dxa"/>
            <w:vAlign w:val="bottom"/>
            <w:shd w:val="clear" w:color="auto" w:fill="E6EDF3"/>
          </w:tcPr>
          <w:p>
            <w:pPr>
              <w:spacing w:after="0"/>
              <w:rPr>
                <w:sz w:val="19"/>
                <w:szCs w:val="19"/>
                <w:color w:val="auto"/>
              </w:rPr>
            </w:pPr>
          </w:p>
        </w:tc>
        <w:tc>
          <w:tcPr>
            <w:tcW w:w="1240" w:type="dxa"/>
            <w:vAlign w:val="bottom"/>
            <w:shd w:val="clear" w:color="auto" w:fill="E6EDF3"/>
          </w:tcPr>
          <w:p>
            <w:pPr>
              <w:spacing w:after="0"/>
              <w:rPr>
                <w:sz w:val="19"/>
                <w:szCs w:val="19"/>
                <w:color w:val="auto"/>
              </w:rPr>
            </w:pPr>
          </w:p>
        </w:tc>
      </w:tr>
      <w:tr>
        <w:trPr>
          <w:trHeight w:val="173"/>
        </w:trPr>
        <w:tc>
          <w:tcPr>
            <w:tcW w:w="3240" w:type="dxa"/>
            <w:vAlign w:val="bottom"/>
          </w:tcPr>
          <w:p>
            <w:pPr>
              <w:ind w:left="60"/>
              <w:spacing w:after="0" w:line="173" w:lineRule="exact"/>
              <w:rPr>
                <w:sz w:val="20"/>
                <w:szCs w:val="20"/>
                <w:color w:val="auto"/>
              </w:rPr>
            </w:pPr>
            <w:r>
              <w:rPr>
                <w:rFonts w:ascii="Arial" w:cs="Arial" w:eastAsia="Arial" w:hAnsi="Arial"/>
                <w:sz w:val="16"/>
                <w:szCs w:val="16"/>
                <w:color w:val="auto"/>
              </w:rPr>
              <w:t>Ram Chandrashekar</w:t>
            </w:r>
          </w:p>
        </w:tc>
        <w:tc>
          <w:tcPr>
            <w:tcW w:w="1020" w:type="dxa"/>
            <w:vAlign w:val="bottom"/>
          </w:tcPr>
          <w:p>
            <w:pPr>
              <w:ind w:left="400"/>
              <w:spacing w:after="0" w:line="173" w:lineRule="exact"/>
              <w:rPr>
                <w:sz w:val="20"/>
                <w:szCs w:val="20"/>
                <w:color w:val="auto"/>
              </w:rPr>
            </w:pPr>
            <w:r>
              <w:rPr>
                <w:rFonts w:ascii="Arial" w:cs="Arial" w:eastAsia="Arial" w:hAnsi="Arial"/>
                <w:sz w:val="16"/>
                <w:szCs w:val="16"/>
                <w:color w:val="auto"/>
              </w:rPr>
              <w:t>NQSP</w:t>
            </w:r>
          </w:p>
        </w:tc>
        <w:tc>
          <w:tcPr>
            <w:tcW w:w="1260" w:type="dxa"/>
            <w:vAlign w:val="bottom"/>
          </w:tcPr>
          <w:p>
            <w:pPr>
              <w:jc w:val="right"/>
              <w:ind w:right="183"/>
              <w:spacing w:after="0" w:line="17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23"/>
              <w:spacing w:after="0" w:line="173"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303"/>
              <w:spacing w:after="0" w:line="173"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483"/>
              <w:spacing w:after="0" w:line="173"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r>
      <w:tr>
        <w:trPr>
          <w:trHeight w:val="189"/>
        </w:trPr>
        <w:tc>
          <w:tcPr>
            <w:tcW w:w="3240" w:type="dxa"/>
            <w:vAlign w:val="bottom"/>
          </w:tcPr>
          <w:p>
            <w:pPr>
              <w:ind w:left="220"/>
              <w:spacing w:after="0"/>
              <w:rPr>
                <w:sz w:val="20"/>
                <w:szCs w:val="20"/>
                <w:color w:val="auto"/>
              </w:rPr>
            </w:pPr>
            <w:r>
              <w:rPr>
                <w:rFonts w:ascii="Arial" w:cs="Arial" w:eastAsia="Arial" w:hAnsi="Arial"/>
                <w:sz w:val="16"/>
                <w:szCs w:val="16"/>
                <w:i w:val="1"/>
                <w:iCs w:val="1"/>
                <w:color w:val="auto"/>
              </w:rPr>
              <w:t>EVP, Operational Excellence &amp; IT and</w:t>
            </w: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8"/>
        </w:trPr>
        <w:tc>
          <w:tcPr>
            <w:tcW w:w="3240" w:type="dxa"/>
            <w:vAlign w:val="bottom"/>
          </w:tcPr>
          <w:p>
            <w:pPr>
              <w:ind w:left="220"/>
              <w:spacing w:after="0"/>
              <w:rPr>
                <w:sz w:val="20"/>
                <w:szCs w:val="20"/>
                <w:color w:val="auto"/>
              </w:rPr>
            </w:pPr>
            <w:r>
              <w:rPr>
                <w:rFonts w:ascii="Arial" w:cs="Arial" w:eastAsia="Arial" w:hAnsi="Arial"/>
                <w:sz w:val="16"/>
                <w:szCs w:val="16"/>
                <w:i w:val="1"/>
                <w:iCs w:val="1"/>
                <w:color w:val="auto"/>
              </w:rPr>
              <w:t>President, Asia Pacific Middle East</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74"/>
        </w:trPr>
        <w:tc>
          <w:tcPr>
            <w:tcW w:w="3240" w:type="dxa"/>
            <w:vAlign w:val="bottom"/>
            <w:shd w:val="clear" w:color="auto" w:fill="E6EDF3"/>
          </w:tcPr>
          <w:p>
            <w:pPr>
              <w:ind w:left="60"/>
              <w:spacing w:after="0" w:line="174" w:lineRule="exact"/>
              <w:rPr>
                <w:sz w:val="20"/>
                <w:szCs w:val="20"/>
                <w:color w:val="auto"/>
              </w:rPr>
            </w:pPr>
            <w:r>
              <w:rPr>
                <w:rFonts w:ascii="Arial" w:cs="Arial" w:eastAsia="Arial" w:hAnsi="Arial"/>
                <w:sz w:val="16"/>
                <w:szCs w:val="16"/>
                <w:color w:val="auto"/>
              </w:rPr>
              <w:t>Mara E. Swan</w:t>
            </w:r>
          </w:p>
        </w:tc>
        <w:tc>
          <w:tcPr>
            <w:tcW w:w="1020" w:type="dxa"/>
            <w:vAlign w:val="bottom"/>
            <w:shd w:val="clear" w:color="auto" w:fill="E6EDF3"/>
          </w:tcPr>
          <w:p>
            <w:pPr>
              <w:ind w:left="400"/>
              <w:spacing w:after="0" w:line="174" w:lineRule="exact"/>
              <w:rPr>
                <w:sz w:val="20"/>
                <w:szCs w:val="20"/>
                <w:color w:val="auto"/>
              </w:rPr>
            </w:pPr>
            <w:r>
              <w:rPr>
                <w:rFonts w:ascii="Arial" w:cs="Arial" w:eastAsia="Arial" w:hAnsi="Arial"/>
                <w:sz w:val="16"/>
                <w:szCs w:val="16"/>
                <w:color w:val="auto"/>
              </w:rPr>
              <w:t>NQSP</w:t>
            </w:r>
          </w:p>
        </w:tc>
        <w:tc>
          <w:tcPr>
            <w:tcW w:w="1260" w:type="dxa"/>
            <w:vAlign w:val="bottom"/>
            <w:shd w:val="clear" w:color="auto" w:fill="E6EDF3"/>
          </w:tcPr>
          <w:p>
            <w:pPr>
              <w:jc w:val="right"/>
              <w:ind w:right="183"/>
              <w:spacing w:after="0" w:line="174" w:lineRule="exact"/>
              <w:rPr>
                <w:sz w:val="20"/>
                <w:szCs w:val="20"/>
                <w:color w:val="auto"/>
              </w:rPr>
            </w:pPr>
            <w:r>
              <w:rPr>
                <w:rFonts w:ascii="Arial" w:cs="Arial" w:eastAsia="Arial" w:hAnsi="Arial"/>
                <w:sz w:val="16"/>
                <w:szCs w:val="16"/>
                <w:color w:val="auto"/>
              </w:rPr>
              <w:t>50,000</w:t>
            </w:r>
          </w:p>
        </w:tc>
        <w:tc>
          <w:tcPr>
            <w:tcW w:w="1400" w:type="dxa"/>
            <w:vAlign w:val="bottom"/>
            <w:shd w:val="clear" w:color="auto" w:fill="E6EDF3"/>
          </w:tcPr>
          <w:p>
            <w:pPr>
              <w:jc w:val="right"/>
              <w:ind w:right="323"/>
              <w:spacing w:after="0" w:line="174" w:lineRule="exact"/>
              <w:rPr>
                <w:sz w:val="20"/>
                <w:szCs w:val="20"/>
                <w:color w:val="auto"/>
              </w:rPr>
            </w:pPr>
            <w:r>
              <w:rPr>
                <w:rFonts w:ascii="Arial" w:cs="Arial" w:eastAsia="Arial" w:hAnsi="Arial"/>
                <w:sz w:val="16"/>
                <w:szCs w:val="16"/>
                <w:color w:val="auto"/>
              </w:rPr>
              <w:t>32,500</w:t>
            </w:r>
          </w:p>
        </w:tc>
        <w:tc>
          <w:tcPr>
            <w:tcW w:w="1380" w:type="dxa"/>
            <w:vAlign w:val="bottom"/>
            <w:shd w:val="clear" w:color="auto" w:fill="E6EDF3"/>
          </w:tcPr>
          <w:p>
            <w:pPr>
              <w:jc w:val="right"/>
              <w:ind w:right="303"/>
              <w:spacing w:after="0" w:line="174" w:lineRule="exact"/>
              <w:rPr>
                <w:sz w:val="20"/>
                <w:szCs w:val="20"/>
                <w:color w:val="auto"/>
              </w:rPr>
            </w:pPr>
            <w:r>
              <w:rPr>
                <w:rFonts w:ascii="Arial" w:cs="Arial" w:eastAsia="Arial" w:hAnsi="Arial"/>
                <w:sz w:val="16"/>
                <w:szCs w:val="16"/>
                <w:color w:val="auto"/>
              </w:rPr>
              <w:t>255,438</w:t>
            </w:r>
          </w:p>
        </w:tc>
        <w:tc>
          <w:tcPr>
            <w:tcW w:w="1480" w:type="dxa"/>
            <w:vAlign w:val="bottom"/>
            <w:shd w:val="clear" w:color="auto" w:fill="E6EDF3"/>
          </w:tcPr>
          <w:p>
            <w:pPr>
              <w:jc w:val="right"/>
              <w:ind w:right="483"/>
              <w:spacing w:after="0" w:line="174" w:lineRule="exact"/>
              <w:rPr>
                <w:sz w:val="20"/>
                <w:szCs w:val="20"/>
                <w:color w:val="auto"/>
              </w:rPr>
            </w:pPr>
            <w:r>
              <w:rPr>
                <w:rFonts w:ascii="Arial" w:cs="Arial" w:eastAsia="Arial" w:hAnsi="Arial"/>
                <w:sz w:val="16"/>
                <w:szCs w:val="16"/>
                <w:color w:val="auto"/>
              </w:rPr>
              <w:t>—</w:t>
            </w:r>
          </w:p>
        </w:tc>
        <w:tc>
          <w:tcPr>
            <w:tcW w:w="1240" w:type="dxa"/>
            <w:vAlign w:val="bottom"/>
            <w:shd w:val="clear" w:color="auto" w:fill="E6EDF3"/>
          </w:tcPr>
          <w:p>
            <w:pPr>
              <w:jc w:val="right"/>
              <w:spacing w:after="0" w:line="174" w:lineRule="exact"/>
              <w:rPr>
                <w:sz w:val="20"/>
                <w:szCs w:val="20"/>
                <w:color w:val="auto"/>
              </w:rPr>
            </w:pPr>
            <w:r>
              <w:rPr>
                <w:rFonts w:ascii="Arial" w:cs="Arial" w:eastAsia="Arial" w:hAnsi="Arial"/>
                <w:sz w:val="16"/>
                <w:szCs w:val="16"/>
                <w:color w:val="auto"/>
              </w:rPr>
              <w:t>1,459,546</w:t>
            </w:r>
          </w:p>
        </w:tc>
      </w:tr>
      <w:tr>
        <w:trPr>
          <w:trHeight w:val="218"/>
        </w:trPr>
        <w:tc>
          <w:tcPr>
            <w:tcW w:w="3240" w:type="dxa"/>
            <w:vAlign w:val="bottom"/>
            <w:tcBorders>
              <w:bottom w:val="single" w:sz="8" w:color="auto"/>
            </w:tcBorders>
            <w:shd w:val="clear" w:color="auto" w:fill="E6EDF3"/>
          </w:tcPr>
          <w:p>
            <w:pPr>
              <w:ind w:left="220"/>
              <w:spacing w:after="0"/>
              <w:rPr>
                <w:sz w:val="20"/>
                <w:szCs w:val="20"/>
                <w:color w:val="auto"/>
              </w:rPr>
            </w:pPr>
            <w:r>
              <w:rPr>
                <w:rFonts w:ascii="Arial" w:cs="Arial" w:eastAsia="Arial" w:hAnsi="Arial"/>
                <w:sz w:val="16"/>
                <w:szCs w:val="16"/>
                <w:i w:val="1"/>
                <w:iCs w:val="1"/>
                <w:color w:val="auto"/>
              </w:rPr>
              <w:t>EVP, Global Strategy and Talent</w:t>
            </w:r>
          </w:p>
        </w:tc>
        <w:tc>
          <w:tcPr>
            <w:tcW w:w="1020" w:type="dxa"/>
            <w:vAlign w:val="bottom"/>
            <w:tcBorders>
              <w:bottom w:val="single" w:sz="8" w:color="auto"/>
            </w:tcBorders>
            <w:shd w:val="clear" w:color="auto" w:fill="E6EDF3"/>
          </w:tcPr>
          <w:p>
            <w:pPr>
              <w:spacing w:after="0"/>
              <w:rPr>
                <w:sz w:val="18"/>
                <w:szCs w:val="18"/>
                <w:color w:val="auto"/>
              </w:rPr>
            </w:pPr>
          </w:p>
        </w:tc>
        <w:tc>
          <w:tcPr>
            <w:tcW w:w="1260" w:type="dxa"/>
            <w:vAlign w:val="bottom"/>
            <w:tcBorders>
              <w:bottom w:val="single" w:sz="8" w:color="auto"/>
            </w:tcBorders>
            <w:shd w:val="clear" w:color="auto" w:fill="E6EDF3"/>
          </w:tcPr>
          <w:p>
            <w:pPr>
              <w:spacing w:after="0"/>
              <w:rPr>
                <w:sz w:val="18"/>
                <w:szCs w:val="18"/>
                <w:color w:val="auto"/>
              </w:rPr>
            </w:pPr>
          </w:p>
        </w:tc>
        <w:tc>
          <w:tcPr>
            <w:tcW w:w="1400" w:type="dxa"/>
            <w:vAlign w:val="bottom"/>
            <w:tcBorders>
              <w:bottom w:val="single" w:sz="8" w:color="auto"/>
            </w:tcBorders>
            <w:shd w:val="clear" w:color="auto" w:fill="E6EDF3"/>
          </w:tcPr>
          <w:p>
            <w:pPr>
              <w:spacing w:after="0"/>
              <w:rPr>
                <w:sz w:val="18"/>
                <w:szCs w:val="18"/>
                <w:color w:val="auto"/>
              </w:rPr>
            </w:pPr>
          </w:p>
        </w:tc>
        <w:tc>
          <w:tcPr>
            <w:tcW w:w="1380" w:type="dxa"/>
            <w:vAlign w:val="bottom"/>
            <w:tcBorders>
              <w:bottom w:val="single" w:sz="8" w:color="auto"/>
            </w:tcBorders>
            <w:shd w:val="clear" w:color="auto" w:fill="E6EDF3"/>
          </w:tcPr>
          <w:p>
            <w:pPr>
              <w:spacing w:after="0"/>
              <w:rPr>
                <w:sz w:val="18"/>
                <w:szCs w:val="18"/>
                <w:color w:val="auto"/>
              </w:rPr>
            </w:pPr>
          </w:p>
        </w:tc>
        <w:tc>
          <w:tcPr>
            <w:tcW w:w="1480" w:type="dxa"/>
            <w:vAlign w:val="bottom"/>
            <w:tcBorders>
              <w:bottom w:val="single" w:sz="8" w:color="auto"/>
            </w:tcBorders>
            <w:shd w:val="clear" w:color="auto" w:fill="E6EDF3"/>
          </w:tcPr>
          <w:p>
            <w:pPr>
              <w:spacing w:after="0"/>
              <w:rPr>
                <w:sz w:val="18"/>
                <w:szCs w:val="18"/>
                <w:color w:val="auto"/>
              </w:rPr>
            </w:pPr>
          </w:p>
        </w:tc>
        <w:tc>
          <w:tcPr>
            <w:tcW w:w="1240" w:type="dxa"/>
            <w:vAlign w:val="bottom"/>
            <w:tcBorders>
              <w:bottom w:val="single" w:sz="8" w:color="auto"/>
            </w:tcBorders>
            <w:shd w:val="clear" w:color="auto" w:fill="E6EDF3"/>
          </w:tcPr>
          <w:p>
            <w:pPr>
              <w:spacing w:after="0"/>
              <w:rPr>
                <w:sz w:val="18"/>
                <w:szCs w:val="18"/>
                <w:color w:val="auto"/>
              </w:rPr>
            </w:pPr>
          </w:p>
        </w:tc>
      </w:tr>
    </w:tbl>
    <w:p>
      <w:pPr>
        <w:spacing w:after="0" w:line="54" w:lineRule="exact"/>
        <w:rPr>
          <w:sz w:val="20"/>
          <w:szCs w:val="20"/>
          <w:color w:val="auto"/>
        </w:rPr>
      </w:pPr>
    </w:p>
    <w:p>
      <w:pPr>
        <w:ind w:left="520" w:right="120" w:hanging="316"/>
        <w:spacing w:after="0" w:line="266"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These amounts reflect contributions made by the executive officers from their 2017 salary, which amounts were also included in the salary column for each executive officer in the Summary Compensation Table. Of the amounts disclosed in this column for the Nonqualified Savings Plan, the following contributions are attributable to a portion of the 2016 annual incentive, which was disclosed in the 2016 Summary Compensation Table: Mr. Prising — $41,692; and Ms. Swan — $31,359.</w:t>
      </w:r>
    </w:p>
    <w:p>
      <w:pPr>
        <w:spacing w:after="0" w:line="18" w:lineRule="exact"/>
        <w:rPr>
          <w:rFonts w:ascii="Arial" w:cs="Arial" w:eastAsia="Arial" w:hAnsi="Arial"/>
          <w:sz w:val="14"/>
          <w:szCs w:val="14"/>
          <w:color w:val="auto"/>
        </w:rPr>
      </w:pPr>
    </w:p>
    <w:p>
      <w:pPr>
        <w:ind w:left="520" w:right="120" w:hanging="316"/>
        <w:spacing w:after="0" w:line="258"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Of the amounts disclosed in this column for the Nonqualified Savings Plan, the following amounts were previously reported in the Summary Compensation Table in either 2017 or prior to 2017: Mr. Prising — $1,282,449; Mr. McGinnis — $48,317; Mr. Green — $19,735; and Ms. Swan — $403,714. The difference between the amounts disclosed in this footnote and the amounts disclosed in the above column for the Nonqualified Savings Plan reflect earnings (and losses) on the contributions, any salary or bonus deferrals by the executive prior to becoming an NEO, and any company contributions prior to the executive becoming an NEO.</w:t>
      </w:r>
    </w:p>
    <w:p>
      <w:pPr>
        <w:spacing w:after="0" w:line="93"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b w:val="1"/>
          <w:bCs w:val="1"/>
          <w:i w:val="1"/>
          <w:iCs w:val="1"/>
          <w:color w:val="auto"/>
        </w:rPr>
        <w:t>Nonqualified Savings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Nonqualified Savings Plan (the “NQSP Plan”), certain executives, including the NEOs,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 a portion of their salary and incentive awards. Elections must be made by the executive officers before December 31 of the year prior to the year in which it will be earned. The executive officers are permitted to defer up to 50% of their salary and 50% of their annual incentive under the plan. Pursuant to the plan, the executive officers, as well as all other plan participants, may receive a matching amount of 50% of the deferrals they have made during the year, up to a maximum of 6% of their annual compensation. Effective December 31, 2015, the plan was amended to allow ManpowerGroup to make a discretionary Enhanced Matching Contribution (“EMC”) to participants in the plan. The EMC is calculated as an additional matching contribution (over and above the regular 50% match of the deferrals made during the year on the first 6% of employee contributions). During 2017, ManpowerGroup made an EMC equal to a 15% match of the deferrals made for each NEO who participated in the plan in 2016. Also effective January 1, 2016, ManpowerGroup’s contributions to a participant’s account under the plan (both matching contributions and EMC’s) are not fully vested until a participant has at least three years of credited service with ManpowerGroup. Prior to 2016, employees were fully vested after five years of credited service. All of the executive officers who participate in the plan were fully vested in their matching contributions and enhanced matching contributions as of December 31, 2017, except for McGinnis, who joined the company in 2016.</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62</w:t>
      </w:r>
    </w:p>
    <w:p>
      <w:pPr>
        <w:sectPr>
          <w:pgSz w:w="11900" w:h="16838" w:orient="portrait"/>
          <w:cols w:equalWidth="0" w:num="1">
            <w:col w:w="11240"/>
          </w:cols>
          <w:pgMar w:left="240" w:top="455" w:right="41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39" w:lineRule="exact"/>
        <w:rPr>
          <w:sz w:val="20"/>
          <w:szCs w:val="20"/>
          <w:color w:val="auto"/>
        </w:rPr>
      </w:pPr>
    </w:p>
    <w:p>
      <w:pPr>
        <w:jc w:val="both"/>
        <w:ind w:left="200" w:right="80"/>
        <w:spacing w:after="0" w:line="248" w:lineRule="auto"/>
        <w:rPr>
          <w:sz w:val="20"/>
          <w:szCs w:val="20"/>
          <w:color w:val="auto"/>
        </w:rPr>
      </w:pPr>
      <w:r>
        <w:rPr>
          <w:rFonts w:ascii="Arial" w:cs="Arial" w:eastAsia="Arial" w:hAnsi="Arial"/>
          <w:sz w:val="18"/>
          <w:szCs w:val="18"/>
          <w:color w:val="auto"/>
        </w:rPr>
        <w:t>The investment alternatives available to the executive officers under the Nonqualified Savings Plan are selected by ManpowerGroup and may be changed from time to time. The executive officers are permitted to change their investment elections at any time on a prospective basis. The table below shows the funds available under the plan and their annual rate of return for the calendar year ended December 31, 2017.</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8440" w:type="dxa"/>
            <w:vAlign w:val="bottom"/>
            <w:tcBorders>
              <w:top w:val="single" w:sz="8" w:color="auto"/>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 of Fund</w:t>
            </w:r>
          </w:p>
        </w:tc>
        <w:tc>
          <w:tcPr>
            <w:tcW w:w="2580" w:type="dxa"/>
            <w:vAlign w:val="bottom"/>
            <w:tcBorders>
              <w:top w:val="single" w:sz="8" w:color="auto"/>
              <w:bottom w:val="single" w:sz="8" w:color="auto"/>
            </w:tcBorders>
            <w:shd w:val="clear" w:color="auto" w:fill="9DB8D2"/>
          </w:tcPr>
          <w:p>
            <w:pPr>
              <w:jc w:val="right"/>
              <w:ind w:right="219"/>
              <w:spacing w:after="0"/>
              <w:rPr>
                <w:sz w:val="20"/>
                <w:szCs w:val="20"/>
                <w:color w:val="auto"/>
              </w:rPr>
            </w:pPr>
            <w:r>
              <w:rPr>
                <w:rFonts w:ascii="Arial" w:cs="Arial" w:eastAsia="Arial" w:hAnsi="Arial"/>
                <w:sz w:val="14"/>
                <w:szCs w:val="14"/>
                <w:b w:val="1"/>
                <w:bCs w:val="1"/>
                <w:color w:val="auto"/>
              </w:rPr>
              <w:t>Annual Return</w:t>
            </w:r>
          </w:p>
        </w:tc>
      </w:tr>
      <w:tr>
        <w:trPr>
          <w:trHeight w:val="183"/>
        </w:trPr>
        <w:tc>
          <w:tcPr>
            <w:tcW w:w="8440" w:type="dxa"/>
            <w:vAlign w:val="bottom"/>
            <w:shd w:val="clear" w:color="auto" w:fill="E6EDF3"/>
          </w:tcPr>
          <w:p>
            <w:pPr>
              <w:ind w:left="60"/>
              <w:spacing w:after="0" w:line="183" w:lineRule="exact"/>
              <w:rPr>
                <w:sz w:val="20"/>
                <w:szCs w:val="20"/>
                <w:color w:val="auto"/>
              </w:rPr>
            </w:pPr>
            <w:r>
              <w:rPr>
                <w:rFonts w:ascii="Arial" w:cs="Arial" w:eastAsia="Arial" w:hAnsi="Arial"/>
                <w:sz w:val="16"/>
                <w:szCs w:val="16"/>
                <w:color w:val="auto"/>
              </w:rPr>
              <w:t>Mainstay Epoch US All Cap IS</w:t>
            </w:r>
          </w:p>
        </w:tc>
        <w:tc>
          <w:tcPr>
            <w:tcW w:w="2580" w:type="dxa"/>
            <w:vAlign w:val="bottom"/>
            <w:shd w:val="clear" w:color="auto" w:fill="E6EDF3"/>
          </w:tcPr>
          <w:p>
            <w:pPr>
              <w:jc w:val="right"/>
              <w:ind w:right="299"/>
              <w:spacing w:after="0" w:line="183" w:lineRule="exact"/>
              <w:rPr>
                <w:sz w:val="20"/>
                <w:szCs w:val="20"/>
                <w:color w:val="auto"/>
              </w:rPr>
            </w:pPr>
            <w:r>
              <w:rPr>
                <w:rFonts w:ascii="Arial" w:cs="Arial" w:eastAsia="Arial" w:hAnsi="Arial"/>
                <w:sz w:val="16"/>
                <w:szCs w:val="16"/>
                <w:color w:val="auto"/>
              </w:rPr>
              <w:t>22.73%</w:t>
            </w:r>
          </w:p>
        </w:tc>
      </w:tr>
      <w:tr>
        <w:trPr>
          <w:trHeight w:val="189"/>
        </w:trPr>
        <w:tc>
          <w:tcPr>
            <w:tcW w:w="8440" w:type="dxa"/>
            <w:vAlign w:val="bottom"/>
          </w:tcPr>
          <w:p>
            <w:pPr>
              <w:ind w:left="60"/>
              <w:spacing w:after="0"/>
              <w:rPr>
                <w:sz w:val="20"/>
                <w:szCs w:val="20"/>
                <w:color w:val="auto"/>
              </w:rPr>
            </w:pPr>
            <w:r>
              <w:rPr>
                <w:rFonts w:ascii="Arial" w:cs="Arial" w:eastAsia="Arial" w:hAnsi="Arial"/>
                <w:sz w:val="16"/>
                <w:szCs w:val="16"/>
                <w:color w:val="auto"/>
              </w:rPr>
              <w:t>Vanguard Total Stock Market Index Investor Share Fund</w:t>
            </w:r>
          </w:p>
        </w:tc>
        <w:tc>
          <w:tcPr>
            <w:tcW w:w="2580" w:type="dxa"/>
            <w:vAlign w:val="bottom"/>
          </w:tcPr>
          <w:p>
            <w:pPr>
              <w:jc w:val="right"/>
              <w:ind w:right="299"/>
              <w:spacing w:after="0"/>
              <w:rPr>
                <w:sz w:val="20"/>
                <w:szCs w:val="20"/>
                <w:color w:val="auto"/>
              </w:rPr>
            </w:pPr>
            <w:r>
              <w:rPr>
                <w:rFonts w:ascii="Arial" w:cs="Arial" w:eastAsia="Arial" w:hAnsi="Arial"/>
                <w:sz w:val="16"/>
                <w:szCs w:val="16"/>
                <w:color w:val="auto"/>
              </w:rPr>
              <w:t>21.17%</w:t>
            </w:r>
          </w:p>
        </w:tc>
      </w:tr>
      <w:tr>
        <w:trPr>
          <w:trHeight w:val="189"/>
        </w:trPr>
        <w:tc>
          <w:tcPr>
            <w:tcW w:w="8440" w:type="dxa"/>
            <w:vAlign w:val="bottom"/>
            <w:shd w:val="clear" w:color="auto" w:fill="E6EDF3"/>
          </w:tcPr>
          <w:p>
            <w:pPr>
              <w:ind w:left="60"/>
              <w:spacing w:after="0"/>
              <w:rPr>
                <w:sz w:val="20"/>
                <w:szCs w:val="20"/>
                <w:color w:val="auto"/>
              </w:rPr>
            </w:pPr>
            <w:r>
              <w:rPr>
                <w:rFonts w:ascii="Arial" w:cs="Arial" w:eastAsia="Arial" w:hAnsi="Arial"/>
                <w:sz w:val="16"/>
                <w:szCs w:val="16"/>
                <w:color w:val="auto"/>
              </w:rPr>
              <w:t>Dodge &amp; Cox International Stock</w:t>
            </w:r>
          </w:p>
        </w:tc>
        <w:tc>
          <w:tcPr>
            <w:tcW w:w="2580" w:type="dxa"/>
            <w:vAlign w:val="bottom"/>
            <w:shd w:val="clear" w:color="auto" w:fill="E6EDF3"/>
          </w:tcPr>
          <w:p>
            <w:pPr>
              <w:jc w:val="right"/>
              <w:ind w:right="299"/>
              <w:spacing w:after="0"/>
              <w:rPr>
                <w:sz w:val="20"/>
                <w:szCs w:val="20"/>
                <w:color w:val="auto"/>
              </w:rPr>
            </w:pPr>
            <w:r>
              <w:rPr>
                <w:rFonts w:ascii="Arial" w:cs="Arial" w:eastAsia="Arial" w:hAnsi="Arial"/>
                <w:sz w:val="16"/>
                <w:szCs w:val="16"/>
                <w:color w:val="auto"/>
              </w:rPr>
              <w:t>23.94%</w:t>
            </w:r>
          </w:p>
        </w:tc>
      </w:tr>
      <w:tr>
        <w:trPr>
          <w:trHeight w:val="189"/>
        </w:trPr>
        <w:tc>
          <w:tcPr>
            <w:tcW w:w="8440" w:type="dxa"/>
            <w:vAlign w:val="bottom"/>
          </w:tcPr>
          <w:p>
            <w:pPr>
              <w:ind w:left="60"/>
              <w:spacing w:after="0"/>
              <w:rPr>
                <w:sz w:val="20"/>
                <w:szCs w:val="20"/>
                <w:color w:val="auto"/>
              </w:rPr>
            </w:pPr>
            <w:r>
              <w:rPr>
                <w:rFonts w:ascii="Arial" w:cs="Arial" w:eastAsia="Arial" w:hAnsi="Arial"/>
                <w:sz w:val="16"/>
                <w:szCs w:val="16"/>
                <w:color w:val="auto"/>
              </w:rPr>
              <w:t>Vanguard Total International Stock AD</w:t>
            </w:r>
          </w:p>
        </w:tc>
        <w:tc>
          <w:tcPr>
            <w:tcW w:w="2580" w:type="dxa"/>
            <w:vAlign w:val="bottom"/>
          </w:tcPr>
          <w:p>
            <w:pPr>
              <w:jc w:val="right"/>
              <w:ind w:right="299"/>
              <w:spacing w:after="0"/>
              <w:rPr>
                <w:sz w:val="20"/>
                <w:szCs w:val="20"/>
                <w:color w:val="auto"/>
              </w:rPr>
            </w:pPr>
            <w:r>
              <w:rPr>
                <w:rFonts w:ascii="Arial" w:cs="Arial" w:eastAsia="Arial" w:hAnsi="Arial"/>
                <w:sz w:val="16"/>
                <w:szCs w:val="16"/>
                <w:color w:val="auto"/>
              </w:rPr>
              <w:t>27.55%</w:t>
            </w:r>
          </w:p>
        </w:tc>
      </w:tr>
      <w:tr>
        <w:trPr>
          <w:trHeight w:val="189"/>
        </w:trPr>
        <w:tc>
          <w:tcPr>
            <w:tcW w:w="8440" w:type="dxa"/>
            <w:vAlign w:val="bottom"/>
            <w:shd w:val="clear" w:color="auto" w:fill="E6EDF3"/>
          </w:tcPr>
          <w:p>
            <w:pPr>
              <w:ind w:left="60"/>
              <w:spacing w:after="0"/>
              <w:rPr>
                <w:sz w:val="20"/>
                <w:szCs w:val="20"/>
                <w:color w:val="auto"/>
              </w:rPr>
            </w:pPr>
            <w:r>
              <w:rPr>
                <w:rFonts w:ascii="Arial" w:cs="Arial" w:eastAsia="Arial" w:hAnsi="Arial"/>
                <w:sz w:val="16"/>
                <w:szCs w:val="16"/>
                <w:color w:val="auto"/>
              </w:rPr>
              <w:t>T. Rowe Price Institutional Global Focused Growth Equity</w:t>
            </w:r>
          </w:p>
        </w:tc>
        <w:tc>
          <w:tcPr>
            <w:tcW w:w="2580" w:type="dxa"/>
            <w:vAlign w:val="bottom"/>
            <w:shd w:val="clear" w:color="auto" w:fill="E6EDF3"/>
          </w:tcPr>
          <w:p>
            <w:pPr>
              <w:jc w:val="right"/>
              <w:ind w:right="299"/>
              <w:spacing w:after="0"/>
              <w:rPr>
                <w:sz w:val="20"/>
                <w:szCs w:val="20"/>
                <w:color w:val="auto"/>
              </w:rPr>
            </w:pPr>
            <w:r>
              <w:rPr>
                <w:rFonts w:ascii="Arial" w:cs="Arial" w:eastAsia="Arial" w:hAnsi="Arial"/>
                <w:sz w:val="16"/>
                <w:szCs w:val="16"/>
                <w:color w:val="auto"/>
              </w:rPr>
              <w:t>34.62%</w:t>
            </w:r>
          </w:p>
        </w:tc>
      </w:tr>
      <w:tr>
        <w:trPr>
          <w:trHeight w:val="189"/>
        </w:trPr>
        <w:tc>
          <w:tcPr>
            <w:tcW w:w="8440" w:type="dxa"/>
            <w:vAlign w:val="bottom"/>
          </w:tcPr>
          <w:p>
            <w:pPr>
              <w:ind w:left="60"/>
              <w:spacing w:after="0"/>
              <w:rPr>
                <w:sz w:val="20"/>
                <w:szCs w:val="20"/>
                <w:color w:val="auto"/>
              </w:rPr>
            </w:pPr>
            <w:r>
              <w:rPr>
                <w:rFonts w:ascii="Arial" w:cs="Arial" w:eastAsia="Arial" w:hAnsi="Arial"/>
                <w:sz w:val="16"/>
                <w:szCs w:val="16"/>
                <w:color w:val="auto"/>
              </w:rPr>
              <w:t>Fidelity Freedom 2005 Fund</w:t>
            </w:r>
          </w:p>
        </w:tc>
        <w:tc>
          <w:tcPr>
            <w:tcW w:w="2580" w:type="dxa"/>
            <w:vAlign w:val="bottom"/>
          </w:tcPr>
          <w:p>
            <w:pPr>
              <w:jc w:val="right"/>
              <w:ind w:right="299"/>
              <w:spacing w:after="0"/>
              <w:rPr>
                <w:sz w:val="20"/>
                <w:szCs w:val="20"/>
                <w:color w:val="auto"/>
              </w:rPr>
            </w:pPr>
            <w:r>
              <w:rPr>
                <w:rFonts w:ascii="Arial" w:cs="Arial" w:eastAsia="Arial" w:hAnsi="Arial"/>
                <w:sz w:val="16"/>
                <w:szCs w:val="16"/>
                <w:color w:val="auto"/>
              </w:rPr>
              <w:t>10.45%</w:t>
            </w:r>
          </w:p>
        </w:tc>
      </w:tr>
      <w:tr>
        <w:trPr>
          <w:trHeight w:val="189"/>
        </w:trPr>
        <w:tc>
          <w:tcPr>
            <w:tcW w:w="8440" w:type="dxa"/>
            <w:vAlign w:val="bottom"/>
            <w:shd w:val="clear" w:color="auto" w:fill="E6EDF3"/>
          </w:tcPr>
          <w:p>
            <w:pPr>
              <w:ind w:left="60"/>
              <w:spacing w:after="0"/>
              <w:rPr>
                <w:sz w:val="20"/>
                <w:szCs w:val="20"/>
                <w:color w:val="auto"/>
              </w:rPr>
            </w:pPr>
            <w:r>
              <w:rPr>
                <w:rFonts w:ascii="Arial" w:cs="Arial" w:eastAsia="Arial" w:hAnsi="Arial"/>
                <w:sz w:val="16"/>
                <w:szCs w:val="16"/>
                <w:color w:val="auto"/>
              </w:rPr>
              <w:t>Fidelity Freedom 2010 Fund</w:t>
            </w:r>
          </w:p>
        </w:tc>
        <w:tc>
          <w:tcPr>
            <w:tcW w:w="2580" w:type="dxa"/>
            <w:vAlign w:val="bottom"/>
            <w:shd w:val="clear" w:color="auto" w:fill="E6EDF3"/>
          </w:tcPr>
          <w:p>
            <w:pPr>
              <w:jc w:val="right"/>
              <w:ind w:right="299"/>
              <w:spacing w:after="0"/>
              <w:rPr>
                <w:sz w:val="20"/>
                <w:szCs w:val="20"/>
                <w:color w:val="auto"/>
              </w:rPr>
            </w:pPr>
            <w:r>
              <w:rPr>
                <w:rFonts w:ascii="Arial" w:cs="Arial" w:eastAsia="Arial" w:hAnsi="Arial"/>
                <w:sz w:val="16"/>
                <w:szCs w:val="16"/>
                <w:color w:val="auto"/>
              </w:rPr>
              <w:t>12.52%</w:t>
            </w:r>
          </w:p>
        </w:tc>
      </w:tr>
      <w:tr>
        <w:trPr>
          <w:trHeight w:val="189"/>
        </w:trPr>
        <w:tc>
          <w:tcPr>
            <w:tcW w:w="8440" w:type="dxa"/>
            <w:vAlign w:val="bottom"/>
          </w:tcPr>
          <w:p>
            <w:pPr>
              <w:ind w:left="60"/>
              <w:spacing w:after="0"/>
              <w:rPr>
                <w:sz w:val="20"/>
                <w:szCs w:val="20"/>
                <w:color w:val="auto"/>
              </w:rPr>
            </w:pPr>
            <w:r>
              <w:rPr>
                <w:rFonts w:ascii="Arial" w:cs="Arial" w:eastAsia="Arial" w:hAnsi="Arial"/>
                <w:sz w:val="16"/>
                <w:szCs w:val="16"/>
                <w:color w:val="auto"/>
              </w:rPr>
              <w:t>Fidelity Freedom 2015 Fund</w:t>
            </w:r>
          </w:p>
        </w:tc>
        <w:tc>
          <w:tcPr>
            <w:tcW w:w="2580" w:type="dxa"/>
            <w:vAlign w:val="bottom"/>
          </w:tcPr>
          <w:p>
            <w:pPr>
              <w:jc w:val="right"/>
              <w:ind w:right="299"/>
              <w:spacing w:after="0"/>
              <w:rPr>
                <w:sz w:val="20"/>
                <w:szCs w:val="20"/>
                <w:color w:val="auto"/>
              </w:rPr>
            </w:pPr>
            <w:r>
              <w:rPr>
                <w:rFonts w:ascii="Arial" w:cs="Arial" w:eastAsia="Arial" w:hAnsi="Arial"/>
                <w:sz w:val="16"/>
                <w:szCs w:val="16"/>
                <w:color w:val="auto"/>
              </w:rPr>
              <w:t>14.30%</w:t>
            </w:r>
          </w:p>
        </w:tc>
      </w:tr>
      <w:tr>
        <w:trPr>
          <w:trHeight w:val="189"/>
        </w:trPr>
        <w:tc>
          <w:tcPr>
            <w:tcW w:w="8440" w:type="dxa"/>
            <w:vAlign w:val="bottom"/>
            <w:shd w:val="clear" w:color="auto" w:fill="E6EDF3"/>
          </w:tcPr>
          <w:p>
            <w:pPr>
              <w:ind w:left="60"/>
              <w:spacing w:after="0"/>
              <w:rPr>
                <w:sz w:val="20"/>
                <w:szCs w:val="20"/>
                <w:color w:val="auto"/>
              </w:rPr>
            </w:pPr>
            <w:r>
              <w:rPr>
                <w:rFonts w:ascii="Arial" w:cs="Arial" w:eastAsia="Arial" w:hAnsi="Arial"/>
                <w:sz w:val="16"/>
                <w:szCs w:val="16"/>
                <w:color w:val="auto"/>
              </w:rPr>
              <w:t>Fidelity Freedom 2020 Fund</w:t>
            </w:r>
          </w:p>
        </w:tc>
        <w:tc>
          <w:tcPr>
            <w:tcW w:w="2580" w:type="dxa"/>
            <w:vAlign w:val="bottom"/>
            <w:shd w:val="clear" w:color="auto" w:fill="E6EDF3"/>
          </w:tcPr>
          <w:p>
            <w:pPr>
              <w:jc w:val="right"/>
              <w:ind w:right="299"/>
              <w:spacing w:after="0"/>
              <w:rPr>
                <w:sz w:val="20"/>
                <w:szCs w:val="20"/>
                <w:color w:val="auto"/>
              </w:rPr>
            </w:pPr>
            <w:r>
              <w:rPr>
                <w:rFonts w:ascii="Arial" w:cs="Arial" w:eastAsia="Arial" w:hAnsi="Arial"/>
                <w:sz w:val="16"/>
                <w:szCs w:val="16"/>
                <w:color w:val="auto"/>
              </w:rPr>
              <w:t>15.71%</w:t>
            </w:r>
          </w:p>
        </w:tc>
      </w:tr>
      <w:tr>
        <w:trPr>
          <w:trHeight w:val="189"/>
        </w:trPr>
        <w:tc>
          <w:tcPr>
            <w:tcW w:w="8440" w:type="dxa"/>
            <w:vAlign w:val="bottom"/>
          </w:tcPr>
          <w:p>
            <w:pPr>
              <w:ind w:left="60"/>
              <w:spacing w:after="0"/>
              <w:rPr>
                <w:sz w:val="20"/>
                <w:szCs w:val="20"/>
                <w:color w:val="auto"/>
              </w:rPr>
            </w:pPr>
            <w:r>
              <w:rPr>
                <w:rFonts w:ascii="Arial" w:cs="Arial" w:eastAsia="Arial" w:hAnsi="Arial"/>
                <w:sz w:val="16"/>
                <w:szCs w:val="16"/>
                <w:color w:val="auto"/>
              </w:rPr>
              <w:t>Fidelity Freedom 2025 Fund</w:t>
            </w:r>
          </w:p>
        </w:tc>
        <w:tc>
          <w:tcPr>
            <w:tcW w:w="2580" w:type="dxa"/>
            <w:vAlign w:val="bottom"/>
          </w:tcPr>
          <w:p>
            <w:pPr>
              <w:jc w:val="right"/>
              <w:ind w:right="299"/>
              <w:spacing w:after="0"/>
              <w:rPr>
                <w:sz w:val="20"/>
                <w:szCs w:val="20"/>
                <w:color w:val="auto"/>
              </w:rPr>
            </w:pPr>
            <w:r>
              <w:rPr>
                <w:rFonts w:ascii="Arial" w:cs="Arial" w:eastAsia="Arial" w:hAnsi="Arial"/>
                <w:sz w:val="16"/>
                <w:szCs w:val="16"/>
                <w:color w:val="auto"/>
              </w:rPr>
              <w:t>16.87%</w:t>
            </w:r>
          </w:p>
        </w:tc>
      </w:tr>
      <w:tr>
        <w:trPr>
          <w:trHeight w:val="189"/>
        </w:trPr>
        <w:tc>
          <w:tcPr>
            <w:tcW w:w="8440" w:type="dxa"/>
            <w:vAlign w:val="bottom"/>
            <w:shd w:val="clear" w:color="auto" w:fill="E6EDF3"/>
          </w:tcPr>
          <w:p>
            <w:pPr>
              <w:ind w:left="60"/>
              <w:spacing w:after="0"/>
              <w:rPr>
                <w:sz w:val="20"/>
                <w:szCs w:val="20"/>
                <w:color w:val="auto"/>
              </w:rPr>
            </w:pPr>
            <w:r>
              <w:rPr>
                <w:rFonts w:ascii="Arial" w:cs="Arial" w:eastAsia="Arial" w:hAnsi="Arial"/>
                <w:sz w:val="16"/>
                <w:szCs w:val="16"/>
                <w:color w:val="auto"/>
              </w:rPr>
              <w:t>Fidelity Freedom 2030 Fund</w:t>
            </w:r>
          </w:p>
        </w:tc>
        <w:tc>
          <w:tcPr>
            <w:tcW w:w="2580" w:type="dxa"/>
            <w:vAlign w:val="bottom"/>
            <w:shd w:val="clear" w:color="auto" w:fill="E6EDF3"/>
          </w:tcPr>
          <w:p>
            <w:pPr>
              <w:jc w:val="right"/>
              <w:ind w:right="299"/>
              <w:spacing w:after="0"/>
              <w:rPr>
                <w:sz w:val="20"/>
                <w:szCs w:val="20"/>
                <w:color w:val="auto"/>
              </w:rPr>
            </w:pPr>
            <w:r>
              <w:rPr>
                <w:rFonts w:ascii="Arial" w:cs="Arial" w:eastAsia="Arial" w:hAnsi="Arial"/>
                <w:sz w:val="16"/>
                <w:szCs w:val="16"/>
                <w:color w:val="auto"/>
              </w:rPr>
              <w:t>19.86%</w:t>
            </w:r>
          </w:p>
        </w:tc>
      </w:tr>
      <w:tr>
        <w:trPr>
          <w:trHeight w:val="189"/>
        </w:trPr>
        <w:tc>
          <w:tcPr>
            <w:tcW w:w="8440" w:type="dxa"/>
            <w:vAlign w:val="bottom"/>
          </w:tcPr>
          <w:p>
            <w:pPr>
              <w:ind w:left="60"/>
              <w:spacing w:after="0"/>
              <w:rPr>
                <w:sz w:val="20"/>
                <w:szCs w:val="20"/>
                <w:color w:val="auto"/>
              </w:rPr>
            </w:pPr>
            <w:r>
              <w:rPr>
                <w:rFonts w:ascii="Arial" w:cs="Arial" w:eastAsia="Arial" w:hAnsi="Arial"/>
                <w:sz w:val="16"/>
                <w:szCs w:val="16"/>
                <w:color w:val="auto"/>
              </w:rPr>
              <w:t>Fidelity Freedom 2035 Fund</w:t>
            </w:r>
          </w:p>
        </w:tc>
        <w:tc>
          <w:tcPr>
            <w:tcW w:w="2580" w:type="dxa"/>
            <w:vAlign w:val="bottom"/>
          </w:tcPr>
          <w:p>
            <w:pPr>
              <w:jc w:val="right"/>
              <w:ind w:right="299"/>
              <w:spacing w:after="0"/>
              <w:rPr>
                <w:sz w:val="20"/>
                <w:szCs w:val="20"/>
                <w:color w:val="auto"/>
              </w:rPr>
            </w:pPr>
            <w:r>
              <w:rPr>
                <w:rFonts w:ascii="Arial" w:cs="Arial" w:eastAsia="Arial" w:hAnsi="Arial"/>
                <w:sz w:val="16"/>
                <w:szCs w:val="16"/>
                <w:color w:val="auto"/>
              </w:rPr>
              <w:t>22.01%</w:t>
            </w:r>
          </w:p>
        </w:tc>
      </w:tr>
      <w:tr>
        <w:trPr>
          <w:trHeight w:val="189"/>
        </w:trPr>
        <w:tc>
          <w:tcPr>
            <w:tcW w:w="8440" w:type="dxa"/>
            <w:vAlign w:val="bottom"/>
            <w:shd w:val="clear" w:color="auto" w:fill="E6EDF3"/>
          </w:tcPr>
          <w:p>
            <w:pPr>
              <w:ind w:left="60"/>
              <w:spacing w:after="0"/>
              <w:rPr>
                <w:sz w:val="20"/>
                <w:szCs w:val="20"/>
                <w:color w:val="auto"/>
              </w:rPr>
            </w:pPr>
            <w:r>
              <w:rPr>
                <w:rFonts w:ascii="Arial" w:cs="Arial" w:eastAsia="Arial" w:hAnsi="Arial"/>
                <w:sz w:val="16"/>
                <w:szCs w:val="16"/>
                <w:color w:val="auto"/>
              </w:rPr>
              <w:t>Fidelity Freedom 2040 Fund</w:t>
            </w:r>
          </w:p>
        </w:tc>
        <w:tc>
          <w:tcPr>
            <w:tcW w:w="2580" w:type="dxa"/>
            <w:vAlign w:val="bottom"/>
            <w:shd w:val="clear" w:color="auto" w:fill="E6EDF3"/>
          </w:tcPr>
          <w:p>
            <w:pPr>
              <w:jc w:val="right"/>
              <w:ind w:right="299"/>
              <w:spacing w:after="0"/>
              <w:rPr>
                <w:sz w:val="20"/>
                <w:szCs w:val="20"/>
                <w:color w:val="auto"/>
              </w:rPr>
            </w:pPr>
            <w:r>
              <w:rPr>
                <w:rFonts w:ascii="Arial" w:cs="Arial" w:eastAsia="Arial" w:hAnsi="Arial"/>
                <w:sz w:val="16"/>
                <w:szCs w:val="16"/>
                <w:color w:val="auto"/>
              </w:rPr>
              <w:t>22.38%</w:t>
            </w:r>
          </w:p>
        </w:tc>
      </w:tr>
      <w:tr>
        <w:trPr>
          <w:trHeight w:val="189"/>
        </w:trPr>
        <w:tc>
          <w:tcPr>
            <w:tcW w:w="8440" w:type="dxa"/>
            <w:vAlign w:val="bottom"/>
          </w:tcPr>
          <w:p>
            <w:pPr>
              <w:ind w:left="60"/>
              <w:spacing w:after="0"/>
              <w:rPr>
                <w:sz w:val="20"/>
                <w:szCs w:val="20"/>
                <w:color w:val="auto"/>
              </w:rPr>
            </w:pPr>
            <w:r>
              <w:rPr>
                <w:rFonts w:ascii="Arial" w:cs="Arial" w:eastAsia="Arial" w:hAnsi="Arial"/>
                <w:sz w:val="16"/>
                <w:szCs w:val="16"/>
                <w:color w:val="auto"/>
              </w:rPr>
              <w:t>Fidelity Freedom 2045 Fund</w:t>
            </w:r>
          </w:p>
        </w:tc>
        <w:tc>
          <w:tcPr>
            <w:tcW w:w="2580" w:type="dxa"/>
            <w:vAlign w:val="bottom"/>
          </w:tcPr>
          <w:p>
            <w:pPr>
              <w:jc w:val="right"/>
              <w:ind w:right="299"/>
              <w:spacing w:after="0"/>
              <w:rPr>
                <w:sz w:val="20"/>
                <w:szCs w:val="20"/>
                <w:color w:val="auto"/>
              </w:rPr>
            </w:pPr>
            <w:r>
              <w:rPr>
                <w:rFonts w:ascii="Arial" w:cs="Arial" w:eastAsia="Arial" w:hAnsi="Arial"/>
                <w:sz w:val="16"/>
                <w:szCs w:val="16"/>
                <w:color w:val="auto"/>
              </w:rPr>
              <w:t>22.36%</w:t>
            </w:r>
          </w:p>
        </w:tc>
      </w:tr>
      <w:tr>
        <w:trPr>
          <w:trHeight w:val="189"/>
        </w:trPr>
        <w:tc>
          <w:tcPr>
            <w:tcW w:w="8440" w:type="dxa"/>
            <w:vAlign w:val="bottom"/>
            <w:shd w:val="clear" w:color="auto" w:fill="E6EDF3"/>
          </w:tcPr>
          <w:p>
            <w:pPr>
              <w:ind w:left="60"/>
              <w:spacing w:after="0"/>
              <w:rPr>
                <w:sz w:val="20"/>
                <w:szCs w:val="20"/>
                <w:color w:val="auto"/>
              </w:rPr>
            </w:pPr>
            <w:r>
              <w:rPr>
                <w:rFonts w:ascii="Arial" w:cs="Arial" w:eastAsia="Arial" w:hAnsi="Arial"/>
                <w:sz w:val="16"/>
                <w:szCs w:val="16"/>
                <w:color w:val="auto"/>
              </w:rPr>
              <w:t>Fidelity Freedom 2050 Fund</w:t>
            </w:r>
          </w:p>
        </w:tc>
        <w:tc>
          <w:tcPr>
            <w:tcW w:w="2580" w:type="dxa"/>
            <w:vAlign w:val="bottom"/>
            <w:shd w:val="clear" w:color="auto" w:fill="E6EDF3"/>
          </w:tcPr>
          <w:p>
            <w:pPr>
              <w:jc w:val="right"/>
              <w:ind w:right="299"/>
              <w:spacing w:after="0"/>
              <w:rPr>
                <w:sz w:val="20"/>
                <w:szCs w:val="20"/>
                <w:color w:val="auto"/>
              </w:rPr>
            </w:pPr>
            <w:r>
              <w:rPr>
                <w:rFonts w:ascii="Arial" w:cs="Arial" w:eastAsia="Arial" w:hAnsi="Arial"/>
                <w:sz w:val="16"/>
                <w:szCs w:val="16"/>
                <w:color w:val="auto"/>
              </w:rPr>
              <w:t>22.33%</w:t>
            </w:r>
          </w:p>
        </w:tc>
      </w:tr>
      <w:tr>
        <w:trPr>
          <w:trHeight w:val="189"/>
        </w:trPr>
        <w:tc>
          <w:tcPr>
            <w:tcW w:w="8440" w:type="dxa"/>
            <w:vAlign w:val="bottom"/>
          </w:tcPr>
          <w:p>
            <w:pPr>
              <w:ind w:left="60"/>
              <w:spacing w:after="0"/>
              <w:rPr>
                <w:sz w:val="20"/>
                <w:szCs w:val="20"/>
                <w:color w:val="auto"/>
              </w:rPr>
            </w:pPr>
            <w:r>
              <w:rPr>
                <w:rFonts w:ascii="Arial" w:cs="Arial" w:eastAsia="Arial" w:hAnsi="Arial"/>
                <w:sz w:val="16"/>
                <w:szCs w:val="16"/>
                <w:color w:val="auto"/>
              </w:rPr>
              <w:t>Fidelity Freedom 2055 Fund</w:t>
            </w:r>
          </w:p>
        </w:tc>
        <w:tc>
          <w:tcPr>
            <w:tcW w:w="2580" w:type="dxa"/>
            <w:vAlign w:val="bottom"/>
          </w:tcPr>
          <w:p>
            <w:pPr>
              <w:jc w:val="right"/>
              <w:ind w:right="299"/>
              <w:spacing w:after="0"/>
              <w:rPr>
                <w:sz w:val="20"/>
                <w:szCs w:val="20"/>
                <w:color w:val="auto"/>
              </w:rPr>
            </w:pPr>
            <w:r>
              <w:rPr>
                <w:rFonts w:ascii="Arial" w:cs="Arial" w:eastAsia="Arial" w:hAnsi="Arial"/>
                <w:sz w:val="16"/>
                <w:szCs w:val="16"/>
                <w:color w:val="auto"/>
              </w:rPr>
              <w:t>22.37%</w:t>
            </w:r>
          </w:p>
        </w:tc>
      </w:tr>
      <w:tr>
        <w:trPr>
          <w:trHeight w:val="189"/>
        </w:trPr>
        <w:tc>
          <w:tcPr>
            <w:tcW w:w="8440" w:type="dxa"/>
            <w:vAlign w:val="bottom"/>
            <w:shd w:val="clear" w:color="auto" w:fill="E6EDF3"/>
          </w:tcPr>
          <w:p>
            <w:pPr>
              <w:ind w:left="60"/>
              <w:spacing w:after="0"/>
              <w:rPr>
                <w:sz w:val="20"/>
                <w:szCs w:val="20"/>
                <w:color w:val="auto"/>
              </w:rPr>
            </w:pPr>
            <w:r>
              <w:rPr>
                <w:rFonts w:ascii="Arial" w:cs="Arial" w:eastAsia="Arial" w:hAnsi="Arial"/>
                <w:sz w:val="16"/>
                <w:szCs w:val="16"/>
                <w:color w:val="auto"/>
              </w:rPr>
              <w:t>Fidelity Freedom 2060 Fund</w:t>
            </w:r>
          </w:p>
        </w:tc>
        <w:tc>
          <w:tcPr>
            <w:tcW w:w="2580" w:type="dxa"/>
            <w:vAlign w:val="bottom"/>
            <w:shd w:val="clear" w:color="auto" w:fill="E6EDF3"/>
          </w:tcPr>
          <w:p>
            <w:pPr>
              <w:jc w:val="right"/>
              <w:ind w:right="299"/>
              <w:spacing w:after="0"/>
              <w:rPr>
                <w:sz w:val="20"/>
                <w:szCs w:val="20"/>
                <w:color w:val="auto"/>
              </w:rPr>
            </w:pPr>
            <w:r>
              <w:rPr>
                <w:rFonts w:ascii="Arial" w:cs="Arial" w:eastAsia="Arial" w:hAnsi="Arial"/>
                <w:sz w:val="16"/>
                <w:szCs w:val="16"/>
                <w:color w:val="auto"/>
              </w:rPr>
              <w:t>22.21%</w:t>
            </w:r>
          </w:p>
        </w:tc>
      </w:tr>
      <w:tr>
        <w:trPr>
          <w:trHeight w:val="189"/>
        </w:trPr>
        <w:tc>
          <w:tcPr>
            <w:tcW w:w="8440" w:type="dxa"/>
            <w:vAlign w:val="bottom"/>
          </w:tcPr>
          <w:p>
            <w:pPr>
              <w:ind w:left="60"/>
              <w:spacing w:after="0"/>
              <w:rPr>
                <w:sz w:val="20"/>
                <w:szCs w:val="20"/>
                <w:color w:val="auto"/>
              </w:rPr>
            </w:pPr>
            <w:r>
              <w:rPr>
                <w:rFonts w:ascii="Arial" w:cs="Arial" w:eastAsia="Arial" w:hAnsi="Arial"/>
                <w:sz w:val="16"/>
                <w:szCs w:val="16"/>
                <w:color w:val="auto"/>
              </w:rPr>
              <w:t>Fidelity Freedom Income Fund</w:t>
            </w:r>
          </w:p>
        </w:tc>
        <w:tc>
          <w:tcPr>
            <w:tcW w:w="2580" w:type="dxa"/>
            <w:vAlign w:val="bottom"/>
          </w:tcPr>
          <w:p>
            <w:pPr>
              <w:jc w:val="right"/>
              <w:ind w:right="299"/>
              <w:spacing w:after="0"/>
              <w:rPr>
                <w:sz w:val="20"/>
                <w:szCs w:val="20"/>
                <w:color w:val="auto"/>
              </w:rPr>
            </w:pPr>
            <w:r>
              <w:rPr>
                <w:rFonts w:ascii="Arial" w:cs="Arial" w:eastAsia="Arial" w:hAnsi="Arial"/>
                <w:sz w:val="16"/>
                <w:szCs w:val="16"/>
                <w:color w:val="auto"/>
              </w:rPr>
              <w:t>8.14%</w:t>
            </w:r>
          </w:p>
        </w:tc>
      </w:tr>
      <w:tr>
        <w:trPr>
          <w:trHeight w:val="189"/>
        </w:trPr>
        <w:tc>
          <w:tcPr>
            <w:tcW w:w="8440" w:type="dxa"/>
            <w:vAlign w:val="bottom"/>
            <w:shd w:val="clear" w:color="auto" w:fill="E6EDF3"/>
          </w:tcPr>
          <w:p>
            <w:pPr>
              <w:ind w:left="60"/>
              <w:spacing w:after="0"/>
              <w:rPr>
                <w:sz w:val="20"/>
                <w:szCs w:val="20"/>
                <w:color w:val="auto"/>
              </w:rPr>
            </w:pPr>
            <w:r>
              <w:rPr>
                <w:rFonts w:ascii="Arial" w:cs="Arial" w:eastAsia="Arial" w:hAnsi="Arial"/>
                <w:sz w:val="16"/>
                <w:szCs w:val="16"/>
                <w:color w:val="auto"/>
              </w:rPr>
              <w:t>Fidelity Short Term Bond</w:t>
            </w:r>
          </w:p>
        </w:tc>
        <w:tc>
          <w:tcPr>
            <w:tcW w:w="2580" w:type="dxa"/>
            <w:vAlign w:val="bottom"/>
            <w:shd w:val="clear" w:color="auto" w:fill="E6EDF3"/>
          </w:tcPr>
          <w:p>
            <w:pPr>
              <w:jc w:val="right"/>
              <w:ind w:right="299"/>
              <w:spacing w:after="0"/>
              <w:rPr>
                <w:sz w:val="20"/>
                <w:szCs w:val="20"/>
                <w:color w:val="auto"/>
              </w:rPr>
            </w:pPr>
            <w:r>
              <w:rPr>
                <w:rFonts w:ascii="Arial" w:cs="Arial" w:eastAsia="Arial" w:hAnsi="Arial"/>
                <w:sz w:val="16"/>
                <w:szCs w:val="16"/>
                <w:color w:val="auto"/>
              </w:rPr>
              <w:t>1.15%</w:t>
            </w:r>
          </w:p>
        </w:tc>
      </w:tr>
      <w:tr>
        <w:trPr>
          <w:trHeight w:val="189"/>
        </w:trPr>
        <w:tc>
          <w:tcPr>
            <w:tcW w:w="8440" w:type="dxa"/>
            <w:vAlign w:val="bottom"/>
          </w:tcPr>
          <w:p>
            <w:pPr>
              <w:ind w:left="60"/>
              <w:spacing w:after="0"/>
              <w:rPr>
                <w:sz w:val="20"/>
                <w:szCs w:val="20"/>
                <w:color w:val="auto"/>
              </w:rPr>
            </w:pPr>
            <w:r>
              <w:rPr>
                <w:rFonts w:ascii="Arial" w:cs="Arial" w:eastAsia="Arial" w:hAnsi="Arial"/>
                <w:sz w:val="16"/>
                <w:szCs w:val="16"/>
                <w:color w:val="auto"/>
              </w:rPr>
              <w:t>Vanguard Total Bond Market Index Fund</w:t>
            </w:r>
          </w:p>
        </w:tc>
        <w:tc>
          <w:tcPr>
            <w:tcW w:w="2580" w:type="dxa"/>
            <w:vAlign w:val="bottom"/>
          </w:tcPr>
          <w:p>
            <w:pPr>
              <w:jc w:val="right"/>
              <w:ind w:right="299"/>
              <w:spacing w:after="0"/>
              <w:rPr>
                <w:sz w:val="20"/>
                <w:szCs w:val="20"/>
                <w:color w:val="auto"/>
              </w:rPr>
            </w:pPr>
            <w:r>
              <w:rPr>
                <w:rFonts w:ascii="Arial" w:cs="Arial" w:eastAsia="Arial" w:hAnsi="Arial"/>
                <w:sz w:val="16"/>
                <w:szCs w:val="16"/>
                <w:color w:val="auto"/>
              </w:rPr>
              <w:t>3.57%</w:t>
            </w:r>
          </w:p>
        </w:tc>
      </w:tr>
      <w:tr>
        <w:trPr>
          <w:trHeight w:val="189"/>
        </w:trPr>
        <w:tc>
          <w:tcPr>
            <w:tcW w:w="8440" w:type="dxa"/>
            <w:vAlign w:val="bottom"/>
            <w:shd w:val="clear" w:color="auto" w:fill="E6EDF3"/>
          </w:tcPr>
          <w:p>
            <w:pPr>
              <w:ind w:left="60"/>
              <w:spacing w:after="0"/>
              <w:rPr>
                <w:sz w:val="20"/>
                <w:szCs w:val="20"/>
                <w:color w:val="auto"/>
              </w:rPr>
            </w:pPr>
            <w:r>
              <w:rPr>
                <w:rFonts w:ascii="Arial" w:cs="Arial" w:eastAsia="Arial" w:hAnsi="Arial"/>
                <w:sz w:val="16"/>
                <w:szCs w:val="16"/>
                <w:color w:val="auto"/>
              </w:rPr>
              <w:t>Prudential Total Return Bond Fund Class Q</w:t>
            </w:r>
          </w:p>
        </w:tc>
        <w:tc>
          <w:tcPr>
            <w:tcW w:w="2580" w:type="dxa"/>
            <w:vAlign w:val="bottom"/>
            <w:shd w:val="clear" w:color="auto" w:fill="E6EDF3"/>
          </w:tcPr>
          <w:p>
            <w:pPr>
              <w:jc w:val="right"/>
              <w:ind w:right="299"/>
              <w:spacing w:after="0"/>
              <w:rPr>
                <w:sz w:val="20"/>
                <w:szCs w:val="20"/>
                <w:color w:val="auto"/>
              </w:rPr>
            </w:pPr>
            <w:r>
              <w:rPr>
                <w:rFonts w:ascii="Arial" w:cs="Arial" w:eastAsia="Arial" w:hAnsi="Arial"/>
                <w:sz w:val="16"/>
                <w:szCs w:val="16"/>
                <w:color w:val="auto"/>
              </w:rPr>
              <w:t>6.71%</w:t>
            </w:r>
          </w:p>
        </w:tc>
      </w:tr>
      <w:tr>
        <w:trPr>
          <w:trHeight w:val="189"/>
        </w:trPr>
        <w:tc>
          <w:tcPr>
            <w:tcW w:w="8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Vanguard Federal Money Market Fund</w:t>
            </w:r>
          </w:p>
        </w:tc>
        <w:tc>
          <w:tcPr>
            <w:tcW w:w="2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0.81%</w:t>
            </w:r>
          </w:p>
        </w:tc>
      </w:tr>
    </w:tbl>
    <w:p>
      <w:pPr>
        <w:spacing w:after="0" w:line="126" w:lineRule="exact"/>
        <w:rPr>
          <w:sz w:val="20"/>
          <w:szCs w:val="20"/>
          <w:color w:val="auto"/>
        </w:rPr>
      </w:pPr>
    </w:p>
    <w:p>
      <w:pPr>
        <w:ind w:left="200" w:right="240"/>
        <w:spacing w:after="0" w:line="276" w:lineRule="auto"/>
        <w:rPr>
          <w:sz w:val="20"/>
          <w:szCs w:val="20"/>
          <w:color w:val="auto"/>
        </w:rPr>
      </w:pPr>
      <w:r>
        <w:rPr>
          <w:rFonts w:ascii="Arial" w:cs="Arial" w:eastAsia="Arial" w:hAnsi="Arial"/>
          <w:sz w:val="18"/>
          <w:szCs w:val="18"/>
          <w:color w:val="auto"/>
        </w:rPr>
        <w:t>Benefits paid under the Nonqualified Savings Plan will be paid to the executive officers upon their termination of employment, either in a lump sum, or in three, five or ten annual installments, as elected by the executive officers in accordance with the plan rules.</w:t>
      </w:r>
    </w:p>
    <w:p>
      <w:pPr>
        <w:spacing w:after="0" w:line="66"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63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Termination of Employment and Change of Control Arrangements</w:t>
      </w:r>
    </w:p>
    <w:p>
      <w:pPr>
        <w:spacing w:after="0" w:line="170"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ManpowerGroup has entered into severance agreements (which include change of control benefits) with each of the NEOs.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the NEOs participate in a number of equity grants and benefit plans that contain vesting provisions that are triggered upon a change of control of ManpowerGroup and/or certain terminations of employment. Generally, benefits under these arrangements are triggered upon the involuntary termination of the executive’s employment not for cause or upon a voluntary termination of employment for good reason. Terminations for other reasons (such as retirement, death, disability or a change of control) also trigger enhanced benefits under certain of these arrangements. The tables following the descriptions of these arrangements illustrate the amount of enhanced benefits the NEOs would receive under all such arrangements if ManpowerGroup terminated their employment on December 31, 2017 for the reasons specified within the tables. None of the tables illustrate the value of any vested benefits payable to the NEOs upon a termination of employment (i.e., vested equity awards, or vested balances accrued under the Nonqualified Savings Plan), nor does any table illustrate the value of any enhanced benefits upon retirement of an NEO who was not eligible for retirement treatment as of December 31, 2017 with respect to any of their unvested benefits. As of December 31, 2017, only Mr. Green and Ms. Swan were eligible for retirement treatment under certain of their outstanding awards. The tables below assume that in a “change of control,” the acquiring or surviving company would have assumed all unvested equity awards.</w:t>
      </w:r>
    </w:p>
    <w:p>
      <w:pPr>
        <w:spacing w:after="0" w:line="108" w:lineRule="exact"/>
        <w:rPr>
          <w:sz w:val="20"/>
          <w:szCs w:val="20"/>
          <w:color w:val="auto"/>
        </w:rPr>
      </w:pPr>
    </w:p>
    <w:p>
      <w:pPr>
        <w:ind w:left="200" w:right="100"/>
        <w:spacing w:after="0" w:line="245" w:lineRule="auto"/>
        <w:rPr>
          <w:sz w:val="20"/>
          <w:szCs w:val="20"/>
          <w:color w:val="auto"/>
        </w:rPr>
      </w:pPr>
      <w:r>
        <w:rPr>
          <w:rFonts w:ascii="Arial" w:cs="Arial" w:eastAsia="Arial" w:hAnsi="Arial"/>
          <w:sz w:val="18"/>
          <w:szCs w:val="18"/>
          <w:b w:val="1"/>
          <w:bCs w:val="1"/>
          <w:i w:val="1"/>
          <w:iCs w:val="1"/>
          <w:color w:val="auto"/>
        </w:rPr>
        <w:t xml:space="preserve">Severance agreements. </w:t>
      </w:r>
      <w:r>
        <w:rPr>
          <w:rFonts w:ascii="Arial" w:cs="Arial" w:eastAsia="Arial" w:hAnsi="Arial"/>
          <w:sz w:val="18"/>
          <w:szCs w:val="18"/>
          <w:color w:val="auto"/>
        </w:rPr>
        <w:t>Under the severance agreements, upon the involuntary termination of the NEO’s employment (other than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described below) or upon the voluntary termination of employment by the NEO for good reason (as described below), the NEO is entitled to receive a severance payment equal to the sum of the executive’s base salary and annual incentive. The severance payment to the CEO is capped at 2-1/2 times his base salary in effect at the time of the termination, while the CFO’s severance payment is capped at 2 times his base salary in effect at the time of the termination. There is no cap applicable to the other NEOs.</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event an NEO’s termination occurs in the two-year period following a change of control of ManpowerGroup or during a “protected period” (generally, the six-month period prior to a change of control), the severance payment payable to the CEO and CFO is equal to three times the sum of their base salary and annual incentive, while the severance payment to the other NEOs is equal to two times the sum of their base salary and annual incentive. The caps on payments to the CEO and CFO described in the paragraph above do not apply in the event of a change of control. All severance payments under the NEOs’ agreements will generally be paid in a lump sum on the 30th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tables below.</w:t>
      </w:r>
    </w:p>
    <w:p>
      <w:pPr>
        <w:spacing w:after="0" w:line="11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 termination for good reason in the severance agreements for the NEOs is triggered by (i) any material breach by the Company or one of its affiliates of a material obligation to pay or provide benefits or compensation to the executive, (ii) a material diminution in base salary, (iii) a material diminution in the executive’s authority, duties or responsibility, coupled with a material reduction in the executive’s target bonus opportunity, (iv) a material diminution in the executive’s authority, duties or responsibility that is not coupled with a material reduction in the executive’s target bonus opportunity, but that occurs within 2 years after a change of control; or (v) a material reduction in the executive’s target bonus opportunity that is not coupled with a material diminution in the executive’s authority, duties or responsibilities, but that occurs within two years after a change of control. In addition, under the severance agreements with Mr. Prising, Mr. Green, Mr. McGinnis and Ms. Swan, good reason is triggered by a relocation to a new principal office that is in excess of 50 miles from the NEO’s prior principal office.</w:t>
      </w:r>
    </w:p>
    <w:p>
      <w:pPr>
        <w:spacing w:after="0" w:line="116" w:lineRule="exact"/>
        <w:rPr>
          <w:sz w:val="20"/>
          <w:szCs w:val="20"/>
          <w:color w:val="auto"/>
        </w:rPr>
      </w:pPr>
    </w:p>
    <w:p>
      <w:pPr>
        <w:ind w:left="200" w:right="480"/>
        <w:spacing w:after="0" w:line="276" w:lineRule="auto"/>
        <w:rPr>
          <w:sz w:val="20"/>
          <w:szCs w:val="20"/>
          <w:color w:val="auto"/>
        </w:rPr>
      </w:pPr>
      <w:r>
        <w:rPr>
          <w:rFonts w:ascii="Arial" w:cs="Arial" w:eastAsia="Arial" w:hAnsi="Arial"/>
          <w:sz w:val="18"/>
          <w:szCs w:val="18"/>
          <w:color w:val="auto"/>
        </w:rPr>
        <w:t>Under the severance agreements, the NEOs are bound by non-competition agreements in favor of ManpowerGroup for the one-year period following the termination of their employment for any reason, except</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64</w:t>
      </w:r>
    </w:p>
    <w:p>
      <w:pPr>
        <w:sectPr>
          <w:pgSz w:w="11900" w:h="16838" w:orient="portrait"/>
          <w:cols w:equalWidth="0" w:num="1">
            <w:col w:w="11220"/>
          </w:cols>
          <w:pgMar w:left="240" w:top="455" w:right="4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39" w:lineRule="exact"/>
        <w:rPr>
          <w:sz w:val="20"/>
          <w:szCs w:val="20"/>
          <w:color w:val="auto"/>
        </w:rPr>
      </w:pPr>
    </w:p>
    <w:p>
      <w:pPr>
        <w:ind w:left="200" w:right="60"/>
        <w:spacing w:after="0" w:line="276" w:lineRule="auto"/>
        <w:rPr>
          <w:sz w:val="20"/>
          <w:szCs w:val="20"/>
          <w:color w:val="auto"/>
        </w:rPr>
      </w:pPr>
      <w:r>
        <w:rPr>
          <w:rFonts w:ascii="Arial" w:cs="Arial" w:eastAsia="Arial" w:hAnsi="Arial"/>
          <w:sz w:val="18"/>
          <w:szCs w:val="18"/>
          <w:color w:val="auto"/>
        </w:rPr>
        <w:t>where the termination occurs within the two-year period following a change of control or during a protected period and is either involuntary (other than for cause) or is for good reason.</w:t>
      </w:r>
    </w:p>
    <w:p>
      <w:pPr>
        <w:spacing w:after="0" w:line="78"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Under the severance agreements, upon the NEO’s (i) involuntary termination (other than for cause), (ii) voluntary termination for good reason or (iii) termination due to the death or disability of the NEO, the NEOs are entitled to receive a prorated incentive for the year in which termination occurs. In addition, for all NEOs covered by U.S. health insurance,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agreement with Mr. Prising.</w:t>
      </w:r>
    </w:p>
    <w:p>
      <w:pPr>
        <w:spacing w:after="0" w:line="113" w:lineRule="exact"/>
        <w:rPr>
          <w:sz w:val="20"/>
          <w:szCs w:val="20"/>
          <w:color w:val="auto"/>
        </w:rPr>
      </w:pPr>
    </w:p>
    <w:p>
      <w:pPr>
        <w:ind w:left="200" w:right="740"/>
        <w:spacing w:after="0" w:line="262" w:lineRule="auto"/>
        <w:rPr>
          <w:sz w:val="20"/>
          <w:szCs w:val="20"/>
          <w:color w:val="auto"/>
        </w:rPr>
      </w:pPr>
      <w:r>
        <w:rPr>
          <w:rFonts w:ascii="Arial" w:cs="Arial" w:eastAsia="Arial" w:hAnsi="Arial"/>
          <w:sz w:val="17"/>
          <w:szCs w:val="17"/>
          <w:color w:val="auto"/>
        </w:rPr>
        <w:t>Effective as of May 2, 2017, the Company entered into a new severance agreement with Mr. Prising replacing his prior severance agreement that expired May 1, 2017. This severance agreement replaces his previous severance agreement dated as of May 1,</w:t>
      </w:r>
    </w:p>
    <w:p>
      <w:pPr>
        <w:ind w:left="200" w:right="180"/>
        <w:spacing w:after="0" w:line="234" w:lineRule="auto"/>
        <w:rPr>
          <w:sz w:val="20"/>
          <w:szCs w:val="20"/>
          <w:color w:val="auto"/>
        </w:rPr>
      </w:pPr>
      <w:r>
        <w:rPr>
          <w:rFonts w:ascii="Arial" w:cs="Arial" w:eastAsia="Arial" w:hAnsi="Arial"/>
          <w:sz w:val="18"/>
          <w:szCs w:val="18"/>
          <w:color w:val="auto"/>
        </w:rPr>
        <w:t>2014. The new severance agreement is substantially similar to the one it replaced and expires on the first to occur of (1) the date two years after the occurrence of a change of control of the Company or (2) May 2, 2020 if no such change of control occurs before May 2, 2020. Effective as of December 11, 2017, the Company entered into a new severance agreement with Ms. Swan replacing her prior severance agreement that was set to expire February 10, 2018. This severance agreement replaces her previous severance agreement dated February 10, 2015. The new severance agreement is substantially similar to the one it replaced and expires on the first to occur of</w:t>
      </w:r>
    </w:p>
    <w:p>
      <w:pPr>
        <w:spacing w:after="0" w:line="4" w:lineRule="exact"/>
        <w:rPr>
          <w:sz w:val="20"/>
          <w:szCs w:val="20"/>
          <w:color w:val="auto"/>
        </w:rPr>
      </w:pPr>
    </w:p>
    <w:p>
      <w:pPr>
        <w:ind w:left="200" w:right="180" w:firstLine="4"/>
        <w:spacing w:after="0" w:line="251" w:lineRule="auto"/>
        <w:tabs>
          <w:tab w:leader="none" w:pos="4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 two years after the occurrence of a change of control of the Company or (2) December 11, 2020 if no such change of control occurs before December 11, 2020.</w:t>
      </w:r>
    </w:p>
    <w:p>
      <w:pPr>
        <w:spacing w:after="0" w:line="85"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As of December 31, 2017, each of the NEOs held unvested stock options granted under the 2011 Equity Incentive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terms of the stock option agreements that ManpowerGroup entered into with each of the NEOs, unvested options immediately vest upon the NEO’s death or disability. Furthermore, upon a change of control where the options are converted on a tax free basis or where ManpowerGroup’s shares remain publicly traded, the options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options into options over the acquirer’s shares on a tax free basis, such options immediately vest upon the change of control. For purposes of these stock option agreements, the definitions of cause and good reason are generally the same as those used in the NEO’s severance agreements. Under the terms of the stock option agreements entered into with each of the NEOs, unvested options also immediately vest upon the NEO’s “retirement.” Here, retirement means the termination of the NEO’s employment on or after age 55 and the NEO has completed 10 years of service with ManpowerGroup.</w:t>
      </w:r>
    </w:p>
    <w:p>
      <w:pPr>
        <w:spacing w:after="0" w:line="114" w:lineRule="exact"/>
        <w:rPr>
          <w:sz w:val="20"/>
          <w:szCs w:val="20"/>
          <w:color w:val="auto"/>
        </w:rPr>
      </w:pPr>
    </w:p>
    <w:p>
      <w:pPr>
        <w:ind w:left="200" w:right="60"/>
        <w:spacing w:after="0"/>
        <w:rPr>
          <w:sz w:val="20"/>
          <w:szCs w:val="20"/>
          <w:color w:val="auto"/>
        </w:rPr>
      </w:pPr>
      <w:r>
        <w:rPr>
          <w:rFonts w:ascii="Arial" w:cs="Arial" w:eastAsia="Arial" w:hAnsi="Arial"/>
          <w:sz w:val="18"/>
          <w:szCs w:val="18"/>
          <w:b w:val="1"/>
          <w:bCs w:val="1"/>
          <w:i w:val="1"/>
          <w:iCs w:val="1"/>
          <w:color w:val="auto"/>
        </w:rPr>
        <w:t>Restricted stock units and career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31, 2017, the NEOs held unvested restricted stock units and career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units that vest completely on a single date several years into the future, for example, four or five years) granted under the 2011 Equity Incentive Plan. A NEO will become fully vested in his or her restricted stock units or career shares upon a termination of employment due to death or disability. All restricted stock units held by the NEOs will become fully vested upon a termination of employment due to the NEO’s retirement. For these awards, “retirement” generally means the termination of the NEO’s employment on or after age 55 if the NEO has completed 10 years of service with ManpowerGroup. Career shares do not vest upon retirement. Upon a change of control, the restricted stock units or career shares shall vest according to the same terms as described above for stock options. Also, restricted stock units and career shares are forfeited upon the NEO’s involuntary termination of employment or a voluntary termination for good reason.</w:t>
      </w:r>
    </w:p>
    <w:p>
      <w:pPr>
        <w:spacing w:after="0" w:line="109" w:lineRule="exact"/>
        <w:rPr>
          <w:sz w:val="20"/>
          <w:szCs w:val="20"/>
          <w:color w:val="auto"/>
        </w:rPr>
      </w:pPr>
    </w:p>
    <w:p>
      <w:pPr>
        <w:jc w:val="both"/>
        <w:ind w:left="200" w:right="60"/>
        <w:spacing w:after="0" w:line="249" w:lineRule="auto"/>
        <w:rPr>
          <w:sz w:val="20"/>
          <w:szCs w:val="20"/>
          <w:color w:val="auto"/>
        </w:rPr>
      </w:pPr>
      <w:r>
        <w:rPr>
          <w:rFonts w:ascii="Arial" w:cs="Arial" w:eastAsia="Arial" w:hAnsi="Arial"/>
          <w:sz w:val="18"/>
          <w:szCs w:val="18"/>
          <w:b w:val="1"/>
          <w:bCs w:val="1"/>
          <w:i w:val="1"/>
          <w:iCs w:val="1"/>
          <w:color w:val="auto"/>
        </w:rPr>
        <w:t>Performance share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31, 2017, all NEOs held outstanding performance share units granted under the 2011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Generally, under these awards, upon a NEO’s termination of employment due to retirement (here, employment termination after age 55 with 10 years of completed service), the NEO is entitled to receive a pro-rata number of shares based on the actual results at the end of the applicable performance</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65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39" w:lineRule="exact"/>
        <w:rPr>
          <w:sz w:val="20"/>
          <w:szCs w:val="20"/>
          <w:color w:val="auto"/>
        </w:rPr>
      </w:pPr>
    </w:p>
    <w:p>
      <w:pPr>
        <w:ind w:left="200" w:right="120"/>
        <w:spacing w:after="0" w:line="245" w:lineRule="auto"/>
        <w:rPr>
          <w:sz w:val="20"/>
          <w:szCs w:val="20"/>
          <w:color w:val="auto"/>
        </w:rPr>
      </w:pPr>
      <w:r>
        <w:rPr>
          <w:rFonts w:ascii="Arial" w:cs="Arial" w:eastAsia="Arial" w:hAnsi="Arial"/>
          <w:sz w:val="18"/>
          <w:szCs w:val="18"/>
          <w:color w:val="auto"/>
        </w:rPr>
        <w:t>period, prorated based on the time elapsed after the agreement date and during the applicable service periods. No proration will apply under the 2016 and 2017 award of performance units upon a NEO’s termination of employment due to retirement (here, employment termination after age 55 with 10 years of completed service), if the Committee has approved a succession plan, as recommended by the CEO, for the NEO or with respect to his position. Performance share units are forfeited upon an involuntary termination of employment or a voluntary employment termination for good reason prior to the end of the performance period.</w:t>
      </w:r>
    </w:p>
    <w:p>
      <w:pPr>
        <w:spacing w:after="0" w:line="105" w:lineRule="exact"/>
        <w:rPr>
          <w:sz w:val="20"/>
          <w:szCs w:val="20"/>
          <w:color w:val="auto"/>
        </w:rPr>
      </w:pPr>
    </w:p>
    <w:p>
      <w:pPr>
        <w:ind w:left="200"/>
        <w:spacing w:after="0" w:line="245" w:lineRule="auto"/>
        <w:rPr>
          <w:sz w:val="20"/>
          <w:szCs w:val="20"/>
          <w:color w:val="auto"/>
        </w:rPr>
      </w:pPr>
      <w:r>
        <w:rPr>
          <w:rFonts w:ascii="Arial" w:cs="Arial" w:eastAsia="Arial" w:hAnsi="Arial"/>
          <w:sz w:val="18"/>
          <w:szCs w:val="18"/>
          <w:color w:val="auto"/>
        </w:rPr>
        <w:t>Generally, upon the death or disability of a NEO during the performance period, the NEO is entitled to receive the target amount of shares. In the event of a change of control of ManpowerGroup, if the NEO’s employment were terminated prior to the end of the vesting period for such awards (either by ManpowerGroup other than for cause or by the NEO for good reason), the NEO generally would be entitled to accelerated vesting of any unpaid performance share units, where the total number of shares payable under the award will be based on an amount determined by the committee.</w:t>
      </w:r>
    </w:p>
    <w:p>
      <w:pPr>
        <w:spacing w:after="0" w:line="103" w:lineRule="exact"/>
        <w:rPr>
          <w:sz w:val="20"/>
          <w:szCs w:val="20"/>
          <w:color w:val="auto"/>
        </w:rPr>
      </w:pPr>
    </w:p>
    <w:p>
      <w:pPr>
        <w:ind w:left="200" w:right="160"/>
        <w:spacing w:after="0" w:line="243" w:lineRule="auto"/>
        <w:rPr>
          <w:sz w:val="20"/>
          <w:szCs w:val="20"/>
          <w:color w:val="auto"/>
        </w:rPr>
      </w:pPr>
      <w:r>
        <w:rPr>
          <w:rFonts w:ascii="Arial" w:cs="Arial" w:eastAsia="Arial" w:hAnsi="Arial"/>
          <w:sz w:val="18"/>
          <w:szCs w:val="18"/>
          <w:b w:val="1"/>
          <w:bCs w:val="1"/>
          <w:i w:val="1"/>
          <w:iCs w:val="1"/>
          <w:color w:val="auto"/>
        </w:rPr>
        <w:t>Nonqualified Savings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amount of any unvested benefits under the Nonqualified Savings Plan will become vested upon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death, disability or retirement. For purposes of this plan, “retirement” means a NEO terminates employment after he or she has (i) reached age 60, (ii) has reached age 55 and completed 20 years of service with ManpowerGroup or (iii) has reached age 55, and ManpowerGroup determines that the retirement is bona fide and that the NEO will not perform services for any competitor of ManpowerGroup. All of the NEOs that participate in this plan other than Mr. McGinnis are already fully vested in their benefits under this plan and therefore, only Mr. McGinnis would receive any enhanced benefit upon his death, disability or retirement.</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66</w:t>
      </w:r>
    </w:p>
    <w:p>
      <w:pPr>
        <w:sectPr>
          <w:pgSz w:w="11900" w:h="16838" w:orient="portrait"/>
          <w:cols w:equalWidth="0" w:num="1">
            <w:col w:w="11200"/>
          </w:cols>
          <w:pgMar w:left="24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Jonas Prising, CEO (1)</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436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28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Double</w:t>
            </w:r>
          </w:p>
        </w:tc>
        <w:tc>
          <w:tcPr>
            <w:tcW w:w="260" w:type="dxa"/>
            <w:vAlign w:val="bottom"/>
            <w:tcBorders>
              <w:top w:val="single" w:sz="8" w:color="auto"/>
            </w:tcBorders>
            <w:shd w:val="clear" w:color="auto" w:fill="9DB8D2"/>
          </w:tcPr>
          <w:p>
            <w:pPr>
              <w:spacing w:after="0"/>
              <w:rPr>
                <w:sz w:val="22"/>
                <w:szCs w:val="22"/>
                <w:color w:val="auto"/>
              </w:rPr>
            </w:pPr>
          </w:p>
        </w:tc>
        <w:tc>
          <w:tcPr>
            <w:tcW w:w="72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r>
      <w:tr>
        <w:trPr>
          <w:trHeight w:val="162"/>
        </w:trPr>
        <w:tc>
          <w:tcPr>
            <w:tcW w:w="436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Termination</w:t>
            </w: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Trigger</w:t>
            </w:r>
          </w:p>
        </w:tc>
        <w:tc>
          <w:tcPr>
            <w:tcW w:w="260" w:type="dxa"/>
            <w:vAlign w:val="bottom"/>
            <w:shd w:val="clear" w:color="auto" w:fill="9DB8D2"/>
          </w:tcPr>
          <w:p>
            <w:pPr>
              <w:spacing w:after="0"/>
              <w:rPr>
                <w:sz w:val="14"/>
                <w:szCs w:val="14"/>
                <w:color w:val="auto"/>
              </w:rPr>
            </w:pPr>
          </w:p>
        </w:tc>
        <w:tc>
          <w:tcPr>
            <w:tcW w:w="72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436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or Good</w:t>
            </w: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260" w:type="dxa"/>
            <w:vAlign w:val="bottom"/>
            <w:shd w:val="clear" w:color="auto" w:fill="9DB8D2"/>
          </w:tcPr>
          <w:p>
            <w:pPr>
              <w:spacing w:after="0"/>
              <w:rPr>
                <w:sz w:val="14"/>
                <w:szCs w:val="14"/>
                <w:color w:val="auto"/>
              </w:rPr>
            </w:pPr>
          </w:p>
        </w:tc>
        <w:tc>
          <w:tcPr>
            <w:tcW w:w="72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436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left="201"/>
              <w:spacing w:after="0"/>
              <w:rPr>
                <w:sz w:val="20"/>
                <w:szCs w:val="20"/>
                <w:color w:val="auto"/>
              </w:rPr>
            </w:pPr>
            <w:r>
              <w:rPr>
                <w:rFonts w:ascii="Arial" w:cs="Arial" w:eastAsia="Arial" w:hAnsi="Arial"/>
                <w:sz w:val="14"/>
                <w:szCs w:val="14"/>
                <w:b w:val="1"/>
                <w:bCs w:val="1"/>
                <w:color w:val="auto"/>
              </w:rPr>
              <w:t>Reason – no</w:t>
            </w: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Termination)</w:t>
            </w:r>
          </w:p>
        </w:tc>
        <w:tc>
          <w:tcPr>
            <w:tcW w:w="260" w:type="dxa"/>
            <w:vAlign w:val="bottom"/>
            <w:shd w:val="clear" w:color="auto" w:fill="9DB8D2"/>
          </w:tcPr>
          <w:p>
            <w:pPr>
              <w:spacing w:after="0"/>
              <w:rPr>
                <w:sz w:val="14"/>
                <w:szCs w:val="14"/>
                <w:color w:val="auto"/>
              </w:rPr>
            </w:pPr>
          </w:p>
        </w:tc>
        <w:tc>
          <w:tcPr>
            <w:tcW w:w="7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7"/>
              </w:rPr>
              <w:t>For</w:t>
            </w: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236"/>
        </w:trPr>
        <w:tc>
          <w:tcPr>
            <w:tcW w:w="4360" w:type="dxa"/>
            <w:vAlign w:val="bottom"/>
            <w:tcBorders>
              <w:bottom w:val="single" w:sz="8" w:color="9DB8D2"/>
            </w:tcBorders>
            <w:shd w:val="clear" w:color="auto" w:fill="9DB8D2"/>
          </w:tcPr>
          <w:p>
            <w:pPr>
              <w:spacing w:after="0"/>
              <w:rPr>
                <w:sz w:val="20"/>
                <w:szCs w:val="20"/>
                <w:color w:val="auto"/>
              </w:rPr>
            </w:pPr>
          </w:p>
        </w:tc>
        <w:tc>
          <w:tcPr>
            <w:tcW w:w="220" w:type="dxa"/>
            <w:vAlign w:val="bottom"/>
            <w:tcBorders>
              <w:bottom w:val="single" w:sz="8" w:color="9DB8D2"/>
            </w:tcBorders>
            <w:shd w:val="clear" w:color="auto" w:fill="9DB8D2"/>
          </w:tcPr>
          <w:p>
            <w:pPr>
              <w:spacing w:after="0"/>
              <w:rPr>
                <w:sz w:val="20"/>
                <w:szCs w:val="20"/>
                <w:color w:val="auto"/>
              </w:rPr>
            </w:pPr>
          </w:p>
        </w:tc>
        <w:tc>
          <w:tcPr>
            <w:tcW w:w="880" w:type="dxa"/>
            <w:vAlign w:val="bottom"/>
            <w:tcBorders>
              <w:bottom w:val="single" w:sz="8" w:color="9DB8D2"/>
            </w:tcBorders>
            <w:shd w:val="clear" w:color="auto" w:fill="9DB8D2"/>
          </w:tcPr>
          <w:p>
            <w:pPr>
              <w:jc w:val="right"/>
              <w:ind w:right="82"/>
              <w:spacing w:after="0"/>
              <w:rPr>
                <w:sz w:val="20"/>
                <w:szCs w:val="20"/>
                <w:color w:val="auto"/>
              </w:rPr>
            </w:pPr>
            <w:r>
              <w:rPr>
                <w:rFonts w:ascii="Arial" w:cs="Arial" w:eastAsia="Arial" w:hAnsi="Arial"/>
                <w:sz w:val="14"/>
                <w:szCs w:val="14"/>
                <w:b w:val="1"/>
                <w:bCs w:val="1"/>
                <w:color w:val="auto"/>
              </w:rPr>
              <w:t>Death($)</w:t>
            </w:r>
          </w:p>
        </w:tc>
        <w:tc>
          <w:tcPr>
            <w:tcW w:w="280" w:type="dxa"/>
            <w:vAlign w:val="bottom"/>
            <w:tcBorders>
              <w:bottom w:val="single" w:sz="8" w:color="9DB8D2"/>
            </w:tcBorders>
            <w:shd w:val="clear" w:color="auto" w:fill="9DB8D2"/>
          </w:tcPr>
          <w:p>
            <w:pPr>
              <w:spacing w:after="0"/>
              <w:rPr>
                <w:sz w:val="20"/>
                <w:szCs w:val="20"/>
                <w:color w:val="auto"/>
              </w:rPr>
            </w:pPr>
          </w:p>
        </w:tc>
        <w:tc>
          <w:tcPr>
            <w:tcW w:w="860" w:type="dxa"/>
            <w:vAlign w:val="bottom"/>
            <w:tcBorders>
              <w:bottom w:val="single" w:sz="8" w:color="9DB8D2"/>
            </w:tcBorders>
            <w:shd w:val="clear" w:color="auto" w:fill="9DB8D2"/>
          </w:tcPr>
          <w:p>
            <w:pPr>
              <w:jc w:val="right"/>
              <w:spacing w:after="0"/>
              <w:rPr>
                <w:sz w:val="20"/>
                <w:szCs w:val="20"/>
                <w:color w:val="auto"/>
              </w:rPr>
            </w:pPr>
            <w:r>
              <w:rPr>
                <w:rFonts w:ascii="Arial" w:cs="Arial" w:eastAsia="Arial" w:hAnsi="Arial"/>
                <w:sz w:val="14"/>
                <w:szCs w:val="14"/>
                <w:b w:val="1"/>
                <w:bCs w:val="1"/>
                <w:color w:val="auto"/>
              </w:rPr>
              <w:t>Disability($)</w:t>
            </w:r>
          </w:p>
        </w:tc>
        <w:tc>
          <w:tcPr>
            <w:tcW w:w="280" w:type="dxa"/>
            <w:vAlign w:val="bottom"/>
            <w:tcBorders>
              <w:bottom w:val="single" w:sz="8" w:color="9DB8D2"/>
            </w:tcBorders>
            <w:shd w:val="clear" w:color="auto" w:fill="9DB8D2"/>
          </w:tcPr>
          <w:p>
            <w:pPr>
              <w:spacing w:after="0"/>
              <w:rPr>
                <w:sz w:val="20"/>
                <w:szCs w:val="20"/>
                <w:color w:val="auto"/>
              </w:rPr>
            </w:pPr>
          </w:p>
        </w:tc>
        <w:tc>
          <w:tcPr>
            <w:tcW w:w="86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160" w:type="dxa"/>
            <w:vAlign w:val="bottom"/>
            <w:tcBorders>
              <w:bottom w:val="single" w:sz="8" w:color="9DB8D2"/>
            </w:tcBorders>
            <w:gridSpan w:val="2"/>
            <w:shd w:val="clear" w:color="auto" w:fill="9DB8D2"/>
          </w:tcPr>
          <w:p>
            <w:pPr>
              <w:jc w:val="center"/>
              <w:ind w:left="160"/>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9DB8D2"/>
            </w:tcBorders>
            <w:shd w:val="clear" w:color="auto" w:fill="9DB8D2"/>
          </w:tcPr>
          <w:p>
            <w:pPr>
              <w:spacing w:after="0"/>
              <w:rPr>
                <w:sz w:val="20"/>
                <w:szCs w:val="20"/>
                <w:color w:val="auto"/>
              </w:rPr>
            </w:pPr>
          </w:p>
        </w:tc>
        <w:tc>
          <w:tcPr>
            <w:tcW w:w="72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Cause($)</w:t>
            </w:r>
          </w:p>
        </w:tc>
        <w:tc>
          <w:tcPr>
            <w:tcW w:w="1140" w:type="dxa"/>
            <w:vAlign w:val="bottom"/>
            <w:tcBorders>
              <w:bottom w:val="single" w:sz="8" w:color="9DB8D2"/>
            </w:tcBorders>
            <w:gridSpan w:val="2"/>
            <w:shd w:val="clear" w:color="auto" w:fill="9DB8D2"/>
          </w:tcPr>
          <w:p>
            <w:pPr>
              <w:ind w:left="220"/>
              <w:spacing w:after="0"/>
              <w:rPr>
                <w:sz w:val="20"/>
                <w:szCs w:val="20"/>
                <w:color w:val="auto"/>
              </w:rPr>
            </w:pPr>
            <w:r>
              <w:rPr>
                <w:rFonts w:ascii="Arial" w:cs="Arial" w:eastAsia="Arial" w:hAnsi="Arial"/>
                <w:sz w:val="14"/>
                <w:szCs w:val="14"/>
                <w:b w:val="1"/>
                <w:bCs w:val="1"/>
                <w:color w:val="auto"/>
              </w:rPr>
              <w:t>Voluntary($)</w:t>
            </w:r>
          </w:p>
        </w:tc>
      </w:tr>
      <w:tr>
        <w:trPr>
          <w:trHeight w:val="264"/>
        </w:trPr>
        <w:tc>
          <w:tcPr>
            <w:tcW w:w="4360" w:type="dxa"/>
            <w:vAlign w:val="bottom"/>
            <w:tcBorders>
              <w:top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Severance Payment(3)</w:t>
            </w:r>
          </w:p>
        </w:tc>
        <w:tc>
          <w:tcPr>
            <w:tcW w:w="220" w:type="dxa"/>
            <w:vAlign w:val="bottom"/>
            <w:tcBorders>
              <w:top w:val="single" w:sz="8" w:color="auto"/>
            </w:tcBorders>
            <w:shd w:val="clear" w:color="auto" w:fill="E6EDF3"/>
          </w:tcPr>
          <w:p>
            <w:pPr>
              <w:spacing w:after="0"/>
              <w:rPr>
                <w:sz w:val="22"/>
                <w:szCs w:val="22"/>
                <w:color w:val="auto"/>
              </w:rPr>
            </w:pPr>
          </w:p>
        </w:tc>
        <w:tc>
          <w:tcPr>
            <w:tcW w:w="88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E6EDF3"/>
          </w:tcPr>
          <w:p>
            <w:pPr>
              <w:spacing w:after="0"/>
              <w:rPr>
                <w:sz w:val="22"/>
                <w:szCs w:val="22"/>
                <w:color w:val="auto"/>
              </w:rPr>
            </w:pPr>
          </w:p>
        </w:tc>
        <w:tc>
          <w:tcPr>
            <w:tcW w:w="86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3,125,000</w:t>
            </w:r>
          </w:p>
        </w:tc>
        <w:tc>
          <w:tcPr>
            <w:tcW w:w="116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9,375,000</w:t>
            </w:r>
          </w:p>
        </w:tc>
        <w:tc>
          <w:tcPr>
            <w:tcW w:w="260" w:type="dxa"/>
            <w:vAlign w:val="bottom"/>
            <w:tcBorders>
              <w:top w:val="single" w:sz="8" w:color="auto"/>
            </w:tcBorders>
            <w:shd w:val="clear" w:color="auto" w:fill="E6EDF3"/>
          </w:tcPr>
          <w:p>
            <w:pPr>
              <w:spacing w:after="0"/>
              <w:rPr>
                <w:sz w:val="22"/>
                <w:szCs w:val="22"/>
                <w:color w:val="auto"/>
              </w:rPr>
            </w:pPr>
          </w:p>
        </w:tc>
        <w:tc>
          <w:tcPr>
            <w:tcW w:w="720" w:type="dxa"/>
            <w:vAlign w:val="bottom"/>
            <w:tcBorders>
              <w:top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auto"/>
            </w:tcBorders>
            <w:shd w:val="clear" w:color="auto" w:fill="E6EDF3"/>
          </w:tcPr>
          <w:p>
            <w:pPr>
              <w:spacing w:after="0"/>
              <w:rPr>
                <w:sz w:val="22"/>
                <w:szCs w:val="22"/>
                <w:color w:val="auto"/>
              </w:rPr>
            </w:pPr>
          </w:p>
        </w:tc>
        <w:tc>
          <w:tcPr>
            <w:tcW w:w="920" w:type="dxa"/>
            <w:vAlign w:val="bottom"/>
            <w:tcBorders>
              <w:top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360" w:type="dxa"/>
            <w:vAlign w:val="bottom"/>
          </w:tcPr>
          <w:p>
            <w:pPr>
              <w:ind w:left="60"/>
              <w:spacing w:after="0"/>
              <w:rPr>
                <w:sz w:val="20"/>
                <w:szCs w:val="20"/>
                <w:color w:val="auto"/>
              </w:rPr>
            </w:pPr>
            <w:r>
              <w:rPr>
                <w:rFonts w:ascii="Arial" w:cs="Arial" w:eastAsia="Arial" w:hAnsi="Arial"/>
                <w:sz w:val="16"/>
                <w:szCs w:val="16"/>
                <w:color w:val="auto"/>
              </w:rPr>
              <w:t>Prorated Incentive(4)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1,875,000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1,875,000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1,990,546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1,875,000</w:t>
            </w:r>
          </w:p>
        </w:tc>
        <w:tc>
          <w:tcPr>
            <w:tcW w:w="26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360" w:type="dxa"/>
            <w:vAlign w:val="bottom"/>
            <w:shd w:val="clear" w:color="auto" w:fill="E6EDF3"/>
          </w:tcPr>
          <w:p>
            <w:pPr>
              <w:ind w:left="60"/>
              <w:spacing w:after="0"/>
              <w:rPr>
                <w:sz w:val="20"/>
                <w:szCs w:val="20"/>
                <w:color w:val="auto"/>
              </w:rPr>
            </w:pPr>
            <w:r>
              <w:rPr>
                <w:rFonts w:ascii="Arial" w:cs="Arial" w:eastAsia="Arial" w:hAnsi="Arial"/>
                <w:sz w:val="16"/>
                <w:szCs w:val="16"/>
                <w:color w:val="auto"/>
              </w:rPr>
              <w:t>Options(5)</w:t>
            </w:r>
          </w:p>
        </w:tc>
        <w:tc>
          <w:tcPr>
            <w:tcW w:w="11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6,611,204</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6,611,204</w:t>
            </w:r>
          </w:p>
        </w:tc>
        <w:tc>
          <w:tcPr>
            <w:tcW w:w="28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6,611,204</w:t>
            </w:r>
          </w:p>
        </w:tc>
        <w:tc>
          <w:tcPr>
            <w:tcW w:w="26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360" w:type="dxa"/>
            <w:vAlign w:val="bottom"/>
          </w:tcPr>
          <w:p>
            <w:pPr>
              <w:ind w:left="60"/>
              <w:spacing w:after="0"/>
              <w:rPr>
                <w:sz w:val="20"/>
                <w:szCs w:val="20"/>
                <w:color w:val="auto"/>
              </w:rPr>
            </w:pPr>
            <w:r>
              <w:rPr>
                <w:rFonts w:ascii="Arial" w:cs="Arial" w:eastAsia="Arial" w:hAnsi="Arial"/>
                <w:sz w:val="16"/>
                <w:szCs w:val="16"/>
                <w:color w:val="auto"/>
              </w:rPr>
              <w:t>Performance Share Units(6)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19,699,895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19,699,895</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21,917,716</w:t>
            </w:r>
          </w:p>
        </w:tc>
        <w:tc>
          <w:tcPr>
            <w:tcW w:w="26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360" w:type="dxa"/>
            <w:vAlign w:val="bottom"/>
            <w:shd w:val="clear" w:color="auto" w:fill="E6EDF3"/>
          </w:tcPr>
          <w:p>
            <w:pPr>
              <w:ind w:left="60"/>
              <w:spacing w:after="0"/>
              <w:rPr>
                <w:sz w:val="20"/>
                <w:szCs w:val="20"/>
                <w:color w:val="auto"/>
              </w:rPr>
            </w:pPr>
            <w:r>
              <w:rPr>
                <w:rFonts w:ascii="Arial" w:cs="Arial" w:eastAsia="Arial" w:hAnsi="Arial"/>
                <w:sz w:val="16"/>
                <w:szCs w:val="16"/>
                <w:color w:val="auto"/>
              </w:rPr>
              <w:t>Restricted Stock Units/ Career Shares(7)</w:t>
            </w:r>
          </w:p>
        </w:tc>
        <w:tc>
          <w:tcPr>
            <w:tcW w:w="11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10,721,242</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10,721,242</w:t>
            </w:r>
          </w:p>
        </w:tc>
        <w:tc>
          <w:tcPr>
            <w:tcW w:w="28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10,721,242</w:t>
            </w:r>
          </w:p>
        </w:tc>
        <w:tc>
          <w:tcPr>
            <w:tcW w:w="26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7"/>
        </w:trPr>
        <w:tc>
          <w:tcPr>
            <w:tcW w:w="4360" w:type="dxa"/>
            <w:vAlign w:val="bottom"/>
          </w:tcPr>
          <w:p>
            <w:pPr>
              <w:ind w:left="60"/>
              <w:spacing w:after="0"/>
              <w:rPr>
                <w:sz w:val="20"/>
                <w:szCs w:val="20"/>
                <w:color w:val="auto"/>
              </w:rPr>
            </w:pPr>
            <w:r>
              <w:rPr>
                <w:rFonts w:ascii="Arial" w:cs="Arial" w:eastAsia="Arial" w:hAnsi="Arial"/>
                <w:sz w:val="16"/>
                <w:szCs w:val="16"/>
                <w:color w:val="auto"/>
              </w:rPr>
              <w:t>Health Benefits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21,006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32,162</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4"/>
                <w:szCs w:val="24"/>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r>
      <w:tr>
        <w:trPr>
          <w:trHeight w:val="277"/>
        </w:trPr>
        <w:tc>
          <w:tcPr>
            <w:tcW w:w="4360" w:type="dxa"/>
            <w:vAlign w:val="bottom"/>
            <w:shd w:val="clear" w:color="auto" w:fill="E6EDF3"/>
          </w:tcPr>
          <w:p>
            <w:pPr>
              <w:ind w:left="60"/>
              <w:spacing w:after="0"/>
              <w:rPr>
                <w:sz w:val="20"/>
                <w:szCs w:val="20"/>
                <w:color w:val="auto"/>
              </w:rPr>
            </w:pPr>
            <w:r>
              <w:rPr>
                <w:rFonts w:ascii="Arial" w:cs="Arial" w:eastAsia="Arial" w:hAnsi="Arial"/>
                <w:sz w:val="16"/>
                <w:szCs w:val="16"/>
                <w:color w:val="auto"/>
              </w:rPr>
              <w:t>Total</w:t>
            </w:r>
          </w:p>
        </w:tc>
        <w:tc>
          <w:tcPr>
            <w:tcW w:w="11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38,907,341</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38,907,341</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5,136,552</w:t>
            </w:r>
          </w:p>
        </w:tc>
        <w:tc>
          <w:tcPr>
            <w:tcW w:w="116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50,532,324</w:t>
            </w:r>
          </w:p>
        </w:tc>
        <w:tc>
          <w:tcPr>
            <w:tcW w:w="26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right="80" w:hanging="316"/>
        <w:spacing w:after="0" w:line="291"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On May 2, 2017, ManpowerGroup entered into a new severance agreement with Mr. Prising. His previous agreement expired on May 1, 2017. The term of Mr. Prising’s new severance agreement expires on May 2, 2020.</w:t>
      </w:r>
    </w:p>
    <w:p>
      <w:pPr>
        <w:spacing w:after="0" w:line="1" w:lineRule="exact"/>
        <w:rPr>
          <w:rFonts w:ascii="Arial" w:cs="Arial" w:eastAsia="Arial" w:hAnsi="Arial"/>
          <w:sz w:val="14"/>
          <w:szCs w:val="14"/>
          <w:color w:val="auto"/>
        </w:rPr>
      </w:pPr>
    </w:p>
    <w:p>
      <w:pPr>
        <w:ind w:left="520" w:right="20" w:hanging="316"/>
        <w:spacing w:after="0" w:line="291"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 w:lineRule="exact"/>
        <w:rPr>
          <w:rFonts w:ascii="Arial" w:cs="Arial" w:eastAsia="Arial" w:hAnsi="Arial"/>
          <w:sz w:val="14"/>
          <w:szCs w:val="14"/>
          <w:color w:val="auto"/>
        </w:rPr>
      </w:pPr>
    </w:p>
    <w:p>
      <w:pPr>
        <w:ind w:left="520" w:right="200" w:hanging="316"/>
        <w:spacing w:after="0" w:line="266"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 of the severance payment under Mr. Prising’s severance agreement is equal to his annual base salary at the highest rate in effect during the terms of the agreement (here, $1,250,000) and his target bonus for the year of the termination (here, $1,875,000). In a double-trigger scenario, the amount of his severance payment is multiplied by three.</w:t>
      </w:r>
    </w:p>
    <w:p>
      <w:pPr>
        <w:spacing w:after="0" w:line="18" w:lineRule="exact"/>
        <w:rPr>
          <w:rFonts w:ascii="Arial" w:cs="Arial" w:eastAsia="Arial" w:hAnsi="Arial"/>
          <w:sz w:val="14"/>
          <w:szCs w:val="14"/>
          <w:color w:val="auto"/>
        </w:rPr>
      </w:pPr>
    </w:p>
    <w:p>
      <w:pPr>
        <w:ind w:left="520" w:right="120" w:hanging="316"/>
        <w:spacing w:after="0" w:line="251"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Mr. Prising under his severance agreement is based on the actual incentive earned for 2017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2017, immediately before the incentive was earned, so as not to understate the potential value of the benefit upon the applicable termination of employment. Note that an incentive amount has also been reported as 2017 compensation for Mr. Prising in the Summary Compensation Table, as well as in the Grants of Plan-Based Awards Table.</w:t>
      </w:r>
    </w:p>
    <w:p>
      <w:pPr>
        <w:spacing w:after="0" w:line="29" w:lineRule="exact"/>
        <w:rPr>
          <w:rFonts w:ascii="Arial" w:cs="Arial" w:eastAsia="Arial" w:hAnsi="Arial"/>
          <w:sz w:val="14"/>
          <w:szCs w:val="14"/>
          <w:color w:val="auto"/>
        </w:rPr>
      </w:pPr>
    </w:p>
    <w:p>
      <w:pPr>
        <w:ind w:left="520" w:right="300" w:hanging="316"/>
        <w:spacing w:after="0" w:line="291"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2017 ($126.11) and the exercise price of each unvested stock option held by Mr. Prising on such date.</w:t>
      </w:r>
    </w:p>
    <w:p>
      <w:pPr>
        <w:spacing w:after="0" w:line="1" w:lineRule="exact"/>
        <w:rPr>
          <w:rFonts w:ascii="Arial" w:cs="Arial" w:eastAsia="Arial" w:hAnsi="Arial"/>
          <w:sz w:val="14"/>
          <w:szCs w:val="14"/>
          <w:color w:val="auto"/>
        </w:rPr>
      </w:pPr>
    </w:p>
    <w:p>
      <w:pPr>
        <w:ind w:left="520" w:right="60" w:hanging="316"/>
        <w:spacing w:after="0" w:line="249"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value of performance share units is illustrated here by measuring the value of the number of shares payable under outstanding awards (2015, 2016 and 2017 grants) using the closing stock price on December 31, 2017 ($126.11). In the case of a change of control, the payout is shown based on the number of shares earned based on actual performance for the 2015 award and assuming the Committee would determine the amount of shares earned relating to the 2016 and 2017 awards will equal the target award. In the case of a death or disability, the payout is shown based on the target awards for 2015, 2016 and 2017. Although the performance share units for the 2015 grant vested on December 31, 2017, the values shown in the table above were calculated to illustrate the value of vesting in the event of an applicable termination occurring on December 31, 2017, immediately before vesting, and includes the performance shares that vested on that date so as not to understate the potential value of an acceleration upon the applicable termination of employment.</w:t>
      </w:r>
    </w:p>
    <w:p>
      <w:pPr>
        <w:spacing w:after="0" w:line="32" w:lineRule="exact"/>
        <w:rPr>
          <w:rFonts w:ascii="Arial" w:cs="Arial" w:eastAsia="Arial" w:hAnsi="Arial"/>
          <w:sz w:val="14"/>
          <w:szCs w:val="14"/>
          <w:color w:val="auto"/>
        </w:rPr>
      </w:pPr>
    </w:p>
    <w:p>
      <w:pPr>
        <w:ind w:left="520" w:right="180" w:hanging="316"/>
        <w:spacing w:after="0" w:line="291"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2017 ($126.11).</w:t>
      </w:r>
    </w:p>
    <w:p>
      <w:pPr>
        <w:spacing w:after="0" w:line="61"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67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John T. McGinnis, CFO (1)</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452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78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28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Double</w:t>
            </w:r>
          </w:p>
        </w:tc>
        <w:tc>
          <w:tcPr>
            <w:tcW w:w="260" w:type="dxa"/>
            <w:vAlign w:val="bottom"/>
            <w:tcBorders>
              <w:top w:val="single" w:sz="8" w:color="auto"/>
            </w:tcBorders>
            <w:shd w:val="clear" w:color="auto" w:fill="9DB8D2"/>
          </w:tcPr>
          <w:p>
            <w:pPr>
              <w:spacing w:after="0"/>
              <w:rPr>
                <w:sz w:val="22"/>
                <w:szCs w:val="22"/>
                <w:color w:val="auto"/>
              </w:rPr>
            </w:pPr>
          </w:p>
        </w:tc>
        <w:tc>
          <w:tcPr>
            <w:tcW w:w="72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r>
      <w:tr>
        <w:trPr>
          <w:trHeight w:val="162"/>
        </w:trPr>
        <w:tc>
          <w:tcPr>
            <w:tcW w:w="452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Termination</w:t>
            </w: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Trigger</w:t>
            </w:r>
          </w:p>
        </w:tc>
        <w:tc>
          <w:tcPr>
            <w:tcW w:w="260" w:type="dxa"/>
            <w:vAlign w:val="bottom"/>
            <w:shd w:val="clear" w:color="auto" w:fill="9DB8D2"/>
          </w:tcPr>
          <w:p>
            <w:pPr>
              <w:spacing w:after="0"/>
              <w:rPr>
                <w:sz w:val="14"/>
                <w:szCs w:val="14"/>
                <w:color w:val="auto"/>
              </w:rPr>
            </w:pPr>
          </w:p>
        </w:tc>
        <w:tc>
          <w:tcPr>
            <w:tcW w:w="72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452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or Good</w:t>
            </w: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260" w:type="dxa"/>
            <w:vAlign w:val="bottom"/>
            <w:shd w:val="clear" w:color="auto" w:fill="9DB8D2"/>
          </w:tcPr>
          <w:p>
            <w:pPr>
              <w:spacing w:after="0"/>
              <w:rPr>
                <w:sz w:val="14"/>
                <w:szCs w:val="14"/>
                <w:color w:val="auto"/>
              </w:rPr>
            </w:pPr>
          </w:p>
        </w:tc>
        <w:tc>
          <w:tcPr>
            <w:tcW w:w="72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452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left="200"/>
              <w:spacing w:after="0"/>
              <w:rPr>
                <w:sz w:val="20"/>
                <w:szCs w:val="20"/>
                <w:color w:val="auto"/>
              </w:rPr>
            </w:pPr>
            <w:r>
              <w:rPr>
                <w:rFonts w:ascii="Arial" w:cs="Arial" w:eastAsia="Arial" w:hAnsi="Arial"/>
                <w:sz w:val="14"/>
                <w:szCs w:val="14"/>
                <w:b w:val="1"/>
                <w:bCs w:val="1"/>
                <w:color w:val="auto"/>
              </w:rPr>
              <w:t>Reason – no</w:t>
            </w: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Termination)</w:t>
            </w:r>
          </w:p>
        </w:tc>
        <w:tc>
          <w:tcPr>
            <w:tcW w:w="260" w:type="dxa"/>
            <w:vAlign w:val="bottom"/>
            <w:shd w:val="clear" w:color="auto" w:fill="9DB8D2"/>
          </w:tcPr>
          <w:p>
            <w:pPr>
              <w:spacing w:after="0"/>
              <w:rPr>
                <w:sz w:val="14"/>
                <w:szCs w:val="14"/>
                <w:color w:val="auto"/>
              </w:rPr>
            </w:pPr>
          </w:p>
        </w:tc>
        <w:tc>
          <w:tcPr>
            <w:tcW w:w="7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7"/>
              </w:rPr>
              <w:t>For</w:t>
            </w: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236"/>
        </w:trPr>
        <w:tc>
          <w:tcPr>
            <w:tcW w:w="4520" w:type="dxa"/>
            <w:vAlign w:val="bottom"/>
            <w:tcBorders>
              <w:bottom w:val="single" w:sz="8" w:color="9DB8D2"/>
            </w:tcBorders>
            <w:shd w:val="clear" w:color="auto" w:fill="9DB8D2"/>
          </w:tcPr>
          <w:p>
            <w:pPr>
              <w:spacing w:after="0"/>
              <w:rPr>
                <w:sz w:val="20"/>
                <w:szCs w:val="20"/>
                <w:color w:val="auto"/>
              </w:rPr>
            </w:pPr>
          </w:p>
        </w:tc>
        <w:tc>
          <w:tcPr>
            <w:tcW w:w="220" w:type="dxa"/>
            <w:vAlign w:val="bottom"/>
            <w:tcBorders>
              <w:bottom w:val="single" w:sz="8" w:color="9DB8D2"/>
            </w:tcBorders>
            <w:shd w:val="clear" w:color="auto" w:fill="9DB8D2"/>
          </w:tcPr>
          <w:p>
            <w:pPr>
              <w:spacing w:after="0"/>
              <w:rPr>
                <w:sz w:val="20"/>
                <w:szCs w:val="20"/>
                <w:color w:val="auto"/>
              </w:rPr>
            </w:pPr>
          </w:p>
        </w:tc>
        <w:tc>
          <w:tcPr>
            <w:tcW w:w="780" w:type="dxa"/>
            <w:vAlign w:val="bottom"/>
            <w:tcBorders>
              <w:bottom w:val="single" w:sz="8" w:color="9DB8D2"/>
            </w:tcBorders>
            <w:shd w:val="clear" w:color="auto" w:fill="9DB8D2"/>
          </w:tcPr>
          <w:p>
            <w:pPr>
              <w:jc w:val="right"/>
              <w:ind w:right="41"/>
              <w:spacing w:after="0"/>
              <w:rPr>
                <w:sz w:val="20"/>
                <w:szCs w:val="20"/>
                <w:color w:val="auto"/>
              </w:rPr>
            </w:pPr>
            <w:r>
              <w:rPr>
                <w:rFonts w:ascii="Arial" w:cs="Arial" w:eastAsia="Arial" w:hAnsi="Arial"/>
                <w:sz w:val="14"/>
                <w:szCs w:val="14"/>
                <w:b w:val="1"/>
                <w:bCs w:val="1"/>
                <w:color w:val="auto"/>
              </w:rPr>
              <w:t>Death($)</w:t>
            </w:r>
          </w:p>
        </w:tc>
        <w:tc>
          <w:tcPr>
            <w:tcW w:w="1080" w:type="dxa"/>
            <w:vAlign w:val="bottom"/>
            <w:tcBorders>
              <w:bottom w:val="single" w:sz="8" w:color="9DB8D2"/>
            </w:tcBorders>
            <w:gridSpan w:val="2"/>
            <w:shd w:val="clear" w:color="auto" w:fill="9DB8D2"/>
          </w:tcPr>
          <w:p>
            <w:pPr>
              <w:jc w:val="right"/>
              <w:spacing w:after="0"/>
              <w:rPr>
                <w:sz w:val="20"/>
                <w:szCs w:val="20"/>
                <w:color w:val="auto"/>
              </w:rPr>
            </w:pPr>
            <w:r>
              <w:rPr>
                <w:rFonts w:ascii="Arial" w:cs="Arial" w:eastAsia="Arial" w:hAnsi="Arial"/>
                <w:sz w:val="14"/>
                <w:szCs w:val="14"/>
                <w:b w:val="1"/>
                <w:bCs w:val="1"/>
                <w:color w:val="auto"/>
              </w:rPr>
              <w:t>Disability($)</w:t>
            </w:r>
          </w:p>
        </w:tc>
        <w:tc>
          <w:tcPr>
            <w:tcW w:w="280" w:type="dxa"/>
            <w:vAlign w:val="bottom"/>
            <w:tcBorders>
              <w:bottom w:val="single" w:sz="8" w:color="9DB8D2"/>
            </w:tcBorders>
            <w:shd w:val="clear" w:color="auto" w:fill="9DB8D2"/>
          </w:tcPr>
          <w:p>
            <w:pPr>
              <w:spacing w:after="0"/>
              <w:rPr>
                <w:sz w:val="20"/>
                <w:szCs w:val="20"/>
                <w:color w:val="auto"/>
              </w:rPr>
            </w:pPr>
          </w:p>
        </w:tc>
        <w:tc>
          <w:tcPr>
            <w:tcW w:w="86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160" w:type="dxa"/>
            <w:vAlign w:val="bottom"/>
            <w:tcBorders>
              <w:bottom w:val="single" w:sz="8" w:color="9DB8D2"/>
            </w:tcBorders>
            <w:gridSpan w:val="2"/>
            <w:shd w:val="clear" w:color="auto" w:fill="9DB8D2"/>
          </w:tcPr>
          <w:p>
            <w:pPr>
              <w:jc w:val="center"/>
              <w:ind w:left="160"/>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9DB8D2"/>
            </w:tcBorders>
            <w:shd w:val="clear" w:color="auto" w:fill="9DB8D2"/>
          </w:tcPr>
          <w:p>
            <w:pPr>
              <w:spacing w:after="0"/>
              <w:rPr>
                <w:sz w:val="20"/>
                <w:szCs w:val="20"/>
                <w:color w:val="auto"/>
              </w:rPr>
            </w:pPr>
          </w:p>
        </w:tc>
        <w:tc>
          <w:tcPr>
            <w:tcW w:w="72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Cause($)</w:t>
            </w:r>
          </w:p>
        </w:tc>
        <w:tc>
          <w:tcPr>
            <w:tcW w:w="1140" w:type="dxa"/>
            <w:vAlign w:val="bottom"/>
            <w:tcBorders>
              <w:bottom w:val="single" w:sz="8" w:color="9DB8D2"/>
            </w:tcBorders>
            <w:gridSpan w:val="2"/>
            <w:shd w:val="clear" w:color="auto" w:fill="9DB8D2"/>
          </w:tcPr>
          <w:p>
            <w:pPr>
              <w:ind w:left="220"/>
              <w:spacing w:after="0"/>
              <w:rPr>
                <w:sz w:val="20"/>
                <w:szCs w:val="20"/>
                <w:color w:val="auto"/>
              </w:rPr>
            </w:pPr>
            <w:r>
              <w:rPr>
                <w:rFonts w:ascii="Arial" w:cs="Arial" w:eastAsia="Arial" w:hAnsi="Arial"/>
                <w:sz w:val="14"/>
                <w:szCs w:val="14"/>
                <w:b w:val="1"/>
                <w:bCs w:val="1"/>
                <w:color w:val="auto"/>
              </w:rPr>
              <w:t>Voluntary($)</w:t>
            </w:r>
          </w:p>
        </w:tc>
      </w:tr>
      <w:tr>
        <w:trPr>
          <w:trHeight w:val="264"/>
        </w:trPr>
        <w:tc>
          <w:tcPr>
            <w:tcW w:w="4520" w:type="dxa"/>
            <w:vAlign w:val="bottom"/>
            <w:tcBorders>
              <w:top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Severance Payment(3)</w:t>
            </w:r>
          </w:p>
        </w:tc>
        <w:tc>
          <w:tcPr>
            <w:tcW w:w="220" w:type="dxa"/>
            <w:vAlign w:val="bottom"/>
            <w:tcBorders>
              <w:top w:val="single" w:sz="8" w:color="auto"/>
            </w:tcBorders>
            <w:shd w:val="clear" w:color="auto" w:fill="E6EDF3"/>
          </w:tcPr>
          <w:p>
            <w:pPr>
              <w:spacing w:after="0"/>
              <w:rPr>
                <w:sz w:val="22"/>
                <w:szCs w:val="22"/>
                <w:color w:val="auto"/>
              </w:rPr>
            </w:pPr>
          </w:p>
        </w:tc>
        <w:tc>
          <w:tcPr>
            <w:tcW w:w="78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E6EDF3"/>
          </w:tcPr>
          <w:p>
            <w:pPr>
              <w:spacing w:after="0"/>
              <w:rPr>
                <w:sz w:val="22"/>
                <w:szCs w:val="22"/>
                <w:color w:val="auto"/>
              </w:rPr>
            </w:pPr>
          </w:p>
        </w:tc>
        <w:tc>
          <w:tcPr>
            <w:tcW w:w="82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1,300,000</w:t>
            </w:r>
          </w:p>
        </w:tc>
        <w:tc>
          <w:tcPr>
            <w:tcW w:w="116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3,900,000</w:t>
            </w:r>
          </w:p>
        </w:tc>
        <w:tc>
          <w:tcPr>
            <w:tcW w:w="260" w:type="dxa"/>
            <w:vAlign w:val="bottom"/>
            <w:tcBorders>
              <w:top w:val="single" w:sz="8" w:color="auto"/>
            </w:tcBorders>
            <w:shd w:val="clear" w:color="auto" w:fill="E6EDF3"/>
          </w:tcPr>
          <w:p>
            <w:pPr>
              <w:spacing w:after="0"/>
              <w:rPr>
                <w:sz w:val="22"/>
                <w:szCs w:val="22"/>
                <w:color w:val="auto"/>
              </w:rPr>
            </w:pPr>
          </w:p>
        </w:tc>
        <w:tc>
          <w:tcPr>
            <w:tcW w:w="720" w:type="dxa"/>
            <w:vAlign w:val="bottom"/>
            <w:tcBorders>
              <w:top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auto"/>
            </w:tcBorders>
            <w:shd w:val="clear" w:color="auto" w:fill="E6EDF3"/>
          </w:tcPr>
          <w:p>
            <w:pPr>
              <w:spacing w:after="0"/>
              <w:rPr>
                <w:sz w:val="22"/>
                <w:szCs w:val="22"/>
                <w:color w:val="auto"/>
              </w:rPr>
            </w:pPr>
          </w:p>
        </w:tc>
        <w:tc>
          <w:tcPr>
            <w:tcW w:w="920" w:type="dxa"/>
            <w:vAlign w:val="bottom"/>
            <w:tcBorders>
              <w:top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520" w:type="dxa"/>
            <w:vAlign w:val="bottom"/>
          </w:tcPr>
          <w:p>
            <w:pPr>
              <w:ind w:left="60"/>
              <w:spacing w:after="0"/>
              <w:rPr>
                <w:sz w:val="20"/>
                <w:szCs w:val="20"/>
                <w:color w:val="auto"/>
              </w:rPr>
            </w:pPr>
            <w:r>
              <w:rPr>
                <w:rFonts w:ascii="Arial" w:cs="Arial" w:eastAsia="Arial" w:hAnsi="Arial"/>
                <w:sz w:val="16"/>
                <w:szCs w:val="16"/>
                <w:color w:val="auto"/>
              </w:rPr>
              <w:t>Prorated Incentive(4)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650,000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650,000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690,040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650,000</w:t>
            </w:r>
          </w:p>
        </w:tc>
        <w:tc>
          <w:tcPr>
            <w:tcW w:w="26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520" w:type="dxa"/>
            <w:vAlign w:val="bottom"/>
            <w:shd w:val="clear" w:color="auto" w:fill="E6EDF3"/>
          </w:tcPr>
          <w:p>
            <w:pPr>
              <w:ind w:left="60"/>
              <w:spacing w:after="0"/>
              <w:rPr>
                <w:sz w:val="20"/>
                <w:szCs w:val="20"/>
                <w:color w:val="auto"/>
              </w:rPr>
            </w:pPr>
            <w:r>
              <w:rPr>
                <w:rFonts w:ascii="Arial" w:cs="Arial" w:eastAsia="Arial" w:hAnsi="Arial"/>
                <w:sz w:val="16"/>
                <w:szCs w:val="16"/>
                <w:color w:val="auto"/>
              </w:rPr>
              <w:t>Options(5)</w:t>
            </w:r>
          </w:p>
        </w:tc>
        <w:tc>
          <w:tcPr>
            <w:tcW w:w="10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1,302,669</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1,302,669</w:t>
            </w:r>
          </w:p>
        </w:tc>
        <w:tc>
          <w:tcPr>
            <w:tcW w:w="28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1,302,699</w:t>
            </w:r>
          </w:p>
        </w:tc>
        <w:tc>
          <w:tcPr>
            <w:tcW w:w="26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520" w:type="dxa"/>
            <w:vAlign w:val="bottom"/>
          </w:tcPr>
          <w:p>
            <w:pPr>
              <w:ind w:left="60"/>
              <w:spacing w:after="0"/>
              <w:rPr>
                <w:sz w:val="20"/>
                <w:szCs w:val="20"/>
                <w:color w:val="auto"/>
              </w:rPr>
            </w:pPr>
            <w:r>
              <w:rPr>
                <w:rFonts w:ascii="Arial" w:cs="Arial" w:eastAsia="Arial" w:hAnsi="Arial"/>
                <w:sz w:val="16"/>
                <w:szCs w:val="16"/>
                <w:color w:val="auto"/>
              </w:rPr>
              <w:t>Performance Share Units(6)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3,811,296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3,811,296</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3,811,296</w:t>
            </w:r>
          </w:p>
        </w:tc>
        <w:tc>
          <w:tcPr>
            <w:tcW w:w="26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520" w:type="dxa"/>
            <w:vAlign w:val="bottom"/>
            <w:shd w:val="clear" w:color="auto" w:fill="E6EDF3"/>
          </w:tcPr>
          <w:p>
            <w:pPr>
              <w:ind w:left="60"/>
              <w:spacing w:after="0"/>
              <w:rPr>
                <w:sz w:val="20"/>
                <w:szCs w:val="20"/>
                <w:color w:val="auto"/>
              </w:rPr>
            </w:pPr>
            <w:r>
              <w:rPr>
                <w:rFonts w:ascii="Arial" w:cs="Arial" w:eastAsia="Arial" w:hAnsi="Arial"/>
                <w:sz w:val="16"/>
                <w:szCs w:val="16"/>
                <w:color w:val="auto"/>
              </w:rPr>
              <w:t>Restricted Stock Units/Career Shares(7)</w:t>
            </w:r>
          </w:p>
        </w:tc>
        <w:tc>
          <w:tcPr>
            <w:tcW w:w="10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3,051,736</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3,051,736</w:t>
            </w:r>
          </w:p>
        </w:tc>
        <w:tc>
          <w:tcPr>
            <w:tcW w:w="28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3,051,736</w:t>
            </w:r>
          </w:p>
        </w:tc>
        <w:tc>
          <w:tcPr>
            <w:tcW w:w="26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520" w:type="dxa"/>
            <w:vAlign w:val="bottom"/>
          </w:tcPr>
          <w:p>
            <w:pPr>
              <w:ind w:left="60"/>
              <w:spacing w:after="0"/>
              <w:rPr>
                <w:sz w:val="20"/>
                <w:szCs w:val="20"/>
                <w:color w:val="auto"/>
              </w:rPr>
            </w:pPr>
            <w:r>
              <w:rPr>
                <w:rFonts w:ascii="Arial" w:cs="Arial" w:eastAsia="Arial" w:hAnsi="Arial"/>
                <w:sz w:val="16"/>
                <w:szCs w:val="16"/>
                <w:color w:val="auto"/>
              </w:rPr>
              <w:t>Nonqualified Savings Plan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52,284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52,284</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91"/>
        </w:trPr>
        <w:tc>
          <w:tcPr>
            <w:tcW w:w="4520" w:type="dxa"/>
            <w:vAlign w:val="bottom"/>
            <w:shd w:val="clear" w:color="auto" w:fill="E6EDF3"/>
          </w:tcPr>
          <w:p>
            <w:pPr>
              <w:ind w:left="60"/>
              <w:spacing w:after="0"/>
              <w:rPr>
                <w:sz w:val="20"/>
                <w:szCs w:val="20"/>
                <w:color w:val="auto"/>
              </w:rPr>
            </w:pPr>
            <w:r>
              <w:rPr>
                <w:rFonts w:ascii="Arial" w:cs="Arial" w:eastAsia="Arial" w:hAnsi="Arial"/>
                <w:sz w:val="16"/>
                <w:szCs w:val="16"/>
                <w:color w:val="auto"/>
              </w:rPr>
              <w:t>Health Benefits</w:t>
            </w:r>
          </w:p>
        </w:tc>
        <w:tc>
          <w:tcPr>
            <w:tcW w:w="220" w:type="dxa"/>
            <w:vAlign w:val="bottom"/>
            <w:shd w:val="clear" w:color="auto" w:fill="E6EDF3"/>
          </w:tcPr>
          <w:p>
            <w:pPr>
              <w:spacing w:after="0"/>
              <w:rPr>
                <w:sz w:val="24"/>
                <w:szCs w:val="24"/>
                <w:color w:val="auto"/>
              </w:rPr>
            </w:pPr>
          </w:p>
        </w:tc>
        <w:tc>
          <w:tcPr>
            <w:tcW w:w="78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20,899</w:t>
            </w:r>
          </w:p>
        </w:tc>
        <w:tc>
          <w:tcPr>
            <w:tcW w:w="116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32,004</w:t>
            </w:r>
          </w:p>
        </w:tc>
        <w:tc>
          <w:tcPr>
            <w:tcW w:w="26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7"/>
        </w:trPr>
        <w:tc>
          <w:tcPr>
            <w:tcW w:w="4520" w:type="dxa"/>
            <w:vAlign w:val="bottom"/>
          </w:tcPr>
          <w:p>
            <w:pPr>
              <w:ind w:left="60"/>
              <w:spacing w:after="0"/>
              <w:rPr>
                <w:sz w:val="20"/>
                <w:szCs w:val="20"/>
                <w:color w:val="auto"/>
              </w:rPr>
            </w:pPr>
            <w:r>
              <w:rPr>
                <w:rFonts w:ascii="Arial" w:cs="Arial" w:eastAsia="Arial" w:hAnsi="Arial"/>
                <w:sz w:val="16"/>
                <w:szCs w:val="16"/>
                <w:color w:val="auto"/>
              </w:rPr>
              <w:t>Outplacement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4"/>
                <w:szCs w:val="24"/>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0"/>
        </w:trPr>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r>
      <w:tr>
        <w:trPr>
          <w:trHeight w:val="277"/>
        </w:trPr>
        <w:tc>
          <w:tcPr>
            <w:tcW w:w="4520" w:type="dxa"/>
            <w:vAlign w:val="bottom"/>
            <w:shd w:val="clear" w:color="auto" w:fill="E6EDF3"/>
          </w:tcPr>
          <w:p>
            <w:pPr>
              <w:ind w:left="60"/>
              <w:spacing w:after="0"/>
              <w:rPr>
                <w:sz w:val="20"/>
                <w:szCs w:val="20"/>
                <w:color w:val="auto"/>
              </w:rPr>
            </w:pPr>
            <w:r>
              <w:rPr>
                <w:rFonts w:ascii="Arial" w:cs="Arial" w:eastAsia="Arial" w:hAnsi="Arial"/>
                <w:sz w:val="16"/>
                <w:szCs w:val="16"/>
                <w:color w:val="auto"/>
              </w:rPr>
              <w:t>Total</w:t>
            </w:r>
          </w:p>
        </w:tc>
        <w:tc>
          <w:tcPr>
            <w:tcW w:w="10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8,867,985</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8,867,985</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2,035,939</w:t>
            </w:r>
          </w:p>
        </w:tc>
        <w:tc>
          <w:tcPr>
            <w:tcW w:w="116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12,772,735</w:t>
            </w:r>
          </w:p>
        </w:tc>
        <w:tc>
          <w:tcPr>
            <w:tcW w:w="26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0"/>
        </w:trPr>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316"/>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term of Mr. McGinnis’s severance agreement expires on February 15, 2019.</w:t>
      </w:r>
    </w:p>
    <w:p>
      <w:pPr>
        <w:spacing w:after="0" w:line="68" w:lineRule="exact"/>
        <w:rPr>
          <w:rFonts w:ascii="Arial" w:cs="Arial" w:eastAsia="Arial" w:hAnsi="Arial"/>
          <w:sz w:val="14"/>
          <w:szCs w:val="14"/>
          <w:color w:val="auto"/>
        </w:rPr>
      </w:pPr>
    </w:p>
    <w:p>
      <w:pPr>
        <w:ind w:left="520" w:right="20" w:hanging="316"/>
        <w:spacing w:after="0" w:line="291"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 w:lineRule="exact"/>
        <w:rPr>
          <w:rFonts w:ascii="Arial" w:cs="Arial" w:eastAsia="Arial" w:hAnsi="Arial"/>
          <w:sz w:val="14"/>
          <w:szCs w:val="14"/>
          <w:color w:val="auto"/>
        </w:rPr>
      </w:pPr>
    </w:p>
    <w:p>
      <w:pPr>
        <w:ind w:left="520" w:right="40" w:hanging="316"/>
        <w:spacing w:after="0" w:line="266"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 of the severance payment under Mr. McGinnis’s severance agreement is equal to his annual base salary at the highest rate in effect during the term of the agreement (here, $650,000) and his target annual incentive for the fiscal year in which the termination occurs (here, $650,000). In a double-trigger scenario, the amount of his severance payment is multiplied by three.</w:t>
      </w:r>
    </w:p>
    <w:p>
      <w:pPr>
        <w:spacing w:after="0" w:line="18" w:lineRule="exact"/>
        <w:rPr>
          <w:rFonts w:ascii="Arial" w:cs="Arial" w:eastAsia="Arial" w:hAnsi="Arial"/>
          <w:sz w:val="14"/>
          <w:szCs w:val="14"/>
          <w:color w:val="auto"/>
        </w:rPr>
      </w:pPr>
    </w:p>
    <w:p>
      <w:pPr>
        <w:ind w:left="520" w:right="20" w:hanging="316"/>
        <w:spacing w:after="0" w:line="251"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2017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2017, immediately before the incentive was earned, so as not to understate the potential value of the benefit upon the applicable termination of employment. Note that an incentive amount has also been reported as 2017 compensation for him in the Summary Compensation Table, as well as in the Grants of Plan-Based Awards Table.</w:t>
      </w:r>
    </w:p>
    <w:p>
      <w:pPr>
        <w:spacing w:after="0" w:line="29" w:lineRule="exact"/>
        <w:rPr>
          <w:rFonts w:ascii="Arial" w:cs="Arial" w:eastAsia="Arial" w:hAnsi="Arial"/>
          <w:sz w:val="14"/>
          <w:szCs w:val="14"/>
          <w:color w:val="auto"/>
        </w:rPr>
      </w:pPr>
    </w:p>
    <w:p>
      <w:pPr>
        <w:ind w:left="520" w:right="300" w:hanging="316"/>
        <w:spacing w:after="0" w:line="291"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2017 ($126.11) and the exercise price of each unvested stock option held by Mr. McGinnis on such date.</w:t>
      </w:r>
    </w:p>
    <w:p>
      <w:pPr>
        <w:spacing w:after="0" w:line="1" w:lineRule="exact"/>
        <w:rPr>
          <w:rFonts w:ascii="Arial" w:cs="Arial" w:eastAsia="Arial" w:hAnsi="Arial"/>
          <w:sz w:val="14"/>
          <w:szCs w:val="14"/>
          <w:color w:val="auto"/>
        </w:rPr>
      </w:pPr>
    </w:p>
    <w:p>
      <w:pPr>
        <w:ind w:left="520" w:right="120" w:hanging="316"/>
        <w:spacing w:after="0" w:line="266"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value of performance share units is illustrated here by measuring the value of the number of shares payable under his outstanding awards (2016 and 2017 grants) using the closing stock price on December 31, 2017 ($126.11). In the case of a change of control, the payout is shown assuming the Committee will determine the amount of shares earned relating to the 2016 and 2017 awards will equal the target award. In the case of a death or disability, the payout is also shown at target.</w:t>
      </w:r>
    </w:p>
    <w:p>
      <w:pPr>
        <w:spacing w:after="0" w:line="18" w:lineRule="exact"/>
        <w:rPr>
          <w:rFonts w:ascii="Arial" w:cs="Arial" w:eastAsia="Arial" w:hAnsi="Arial"/>
          <w:sz w:val="14"/>
          <w:szCs w:val="14"/>
          <w:color w:val="auto"/>
        </w:rPr>
      </w:pPr>
    </w:p>
    <w:p>
      <w:pPr>
        <w:ind w:left="520" w:right="180" w:hanging="316"/>
        <w:spacing w:after="0" w:line="291"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2017 ($126.11).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68</w:t>
      </w:r>
    </w:p>
    <w:p>
      <w:pPr>
        <w:sectPr>
          <w:pgSz w:w="11900" w:h="16838" w:orient="portrait"/>
          <w:cols w:equalWidth="0" w:num="1">
            <w:col w:w="11240"/>
          </w:cols>
          <w:pgMar w:left="240" w:top="455" w:right="41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Darryl Green, President and COO (1)</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3280" w:type="dxa"/>
            <w:vAlign w:val="bottom"/>
            <w:tcBorders>
              <w:top w:val="single" w:sz="8" w:color="auto"/>
            </w:tcBorders>
            <w:shd w:val="clear" w:color="auto" w:fill="9DB8D2"/>
          </w:tcPr>
          <w:p>
            <w:pPr>
              <w:spacing w:after="0"/>
              <w:rPr>
                <w:sz w:val="22"/>
                <w:szCs w:val="22"/>
                <w:color w:val="auto"/>
              </w:rPr>
            </w:pPr>
          </w:p>
        </w:tc>
        <w:tc>
          <w:tcPr>
            <w:tcW w:w="20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spacing w:after="0"/>
              <w:rPr>
                <w:sz w:val="22"/>
                <w:szCs w:val="22"/>
                <w:color w:val="auto"/>
              </w:rPr>
            </w:pPr>
          </w:p>
        </w:tc>
        <w:tc>
          <w:tcPr>
            <w:tcW w:w="24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2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Double</w:t>
            </w:r>
          </w:p>
        </w:tc>
        <w:tc>
          <w:tcPr>
            <w:tcW w:w="260" w:type="dxa"/>
            <w:vAlign w:val="bottom"/>
            <w:tcBorders>
              <w:top w:val="single" w:sz="8" w:color="auto"/>
            </w:tcBorders>
            <w:shd w:val="clear" w:color="auto" w:fill="9DB8D2"/>
          </w:tcPr>
          <w:p>
            <w:pPr>
              <w:spacing w:after="0"/>
              <w:rPr>
                <w:sz w:val="22"/>
                <w:szCs w:val="22"/>
                <w:color w:val="auto"/>
              </w:rPr>
            </w:pPr>
          </w:p>
        </w:tc>
        <w:tc>
          <w:tcPr>
            <w:tcW w:w="94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70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r>
      <w:tr>
        <w:trPr>
          <w:trHeight w:val="162"/>
        </w:trPr>
        <w:tc>
          <w:tcPr>
            <w:tcW w:w="328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4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Termination</w:t>
            </w: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Trigger</w:t>
            </w:r>
          </w:p>
        </w:tc>
        <w:tc>
          <w:tcPr>
            <w:tcW w:w="260" w:type="dxa"/>
            <w:vAlign w:val="bottom"/>
            <w:shd w:val="clear" w:color="auto" w:fill="9DB8D2"/>
          </w:tcPr>
          <w:p>
            <w:pPr>
              <w:spacing w:after="0"/>
              <w:rPr>
                <w:sz w:val="14"/>
                <w:szCs w:val="14"/>
                <w:color w:val="auto"/>
              </w:rPr>
            </w:pPr>
          </w:p>
        </w:tc>
        <w:tc>
          <w:tcPr>
            <w:tcW w:w="94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328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4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or Good</w:t>
            </w: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260" w:type="dxa"/>
            <w:vAlign w:val="bottom"/>
            <w:shd w:val="clear" w:color="auto" w:fill="9DB8D2"/>
          </w:tcPr>
          <w:p>
            <w:pPr>
              <w:spacing w:after="0"/>
              <w:rPr>
                <w:sz w:val="14"/>
                <w:szCs w:val="14"/>
                <w:color w:val="auto"/>
              </w:rPr>
            </w:pPr>
          </w:p>
        </w:tc>
        <w:tc>
          <w:tcPr>
            <w:tcW w:w="94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328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4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1120" w:type="dxa"/>
            <w:vAlign w:val="bottom"/>
            <w:gridSpan w:val="2"/>
            <w:shd w:val="clear" w:color="auto" w:fill="9DB8D2"/>
          </w:tcPr>
          <w:p>
            <w:pPr>
              <w:jc w:val="center"/>
              <w:ind w:left="141"/>
              <w:spacing w:after="0"/>
              <w:rPr>
                <w:sz w:val="20"/>
                <w:szCs w:val="20"/>
                <w:color w:val="auto"/>
              </w:rPr>
            </w:pPr>
            <w:r>
              <w:rPr>
                <w:rFonts w:ascii="Arial" w:cs="Arial" w:eastAsia="Arial" w:hAnsi="Arial"/>
                <w:sz w:val="14"/>
                <w:szCs w:val="14"/>
                <w:b w:val="1"/>
                <w:bCs w:val="1"/>
                <w:color w:val="auto"/>
              </w:rPr>
              <w:t>Reason – no</w:t>
            </w: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Termination)</w:t>
            </w:r>
          </w:p>
        </w:tc>
        <w:tc>
          <w:tcPr>
            <w:tcW w:w="260" w:type="dxa"/>
            <w:vAlign w:val="bottom"/>
            <w:shd w:val="clear" w:color="auto" w:fill="9DB8D2"/>
          </w:tcPr>
          <w:p>
            <w:pPr>
              <w:spacing w:after="0"/>
              <w:rPr>
                <w:sz w:val="14"/>
                <w:szCs w:val="14"/>
                <w:color w:val="auto"/>
              </w:rPr>
            </w:pPr>
          </w:p>
        </w:tc>
        <w:tc>
          <w:tcPr>
            <w:tcW w:w="94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For</w:t>
            </w: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236"/>
        </w:trPr>
        <w:tc>
          <w:tcPr>
            <w:tcW w:w="3280" w:type="dxa"/>
            <w:vAlign w:val="bottom"/>
            <w:tcBorders>
              <w:bottom w:val="single" w:sz="8" w:color="9DB8D2"/>
            </w:tcBorders>
            <w:shd w:val="clear" w:color="auto" w:fill="9DB8D2"/>
          </w:tcPr>
          <w:p>
            <w:pPr>
              <w:spacing w:after="0"/>
              <w:rPr>
                <w:sz w:val="20"/>
                <w:szCs w:val="20"/>
                <w:color w:val="auto"/>
              </w:rPr>
            </w:pPr>
          </w:p>
        </w:tc>
        <w:tc>
          <w:tcPr>
            <w:tcW w:w="200" w:type="dxa"/>
            <w:vAlign w:val="bottom"/>
            <w:tcBorders>
              <w:bottom w:val="single" w:sz="8" w:color="9DB8D2"/>
            </w:tcBorders>
            <w:shd w:val="clear" w:color="auto" w:fill="9DB8D2"/>
          </w:tcPr>
          <w:p>
            <w:pPr>
              <w:spacing w:after="0"/>
              <w:rPr>
                <w:sz w:val="20"/>
                <w:szCs w:val="20"/>
                <w:color w:val="auto"/>
              </w:rPr>
            </w:pPr>
          </w:p>
        </w:tc>
        <w:tc>
          <w:tcPr>
            <w:tcW w:w="880" w:type="dxa"/>
            <w:vAlign w:val="bottom"/>
            <w:tcBorders>
              <w:bottom w:val="single" w:sz="8" w:color="9DB8D2"/>
            </w:tcBorders>
            <w:shd w:val="clear" w:color="auto" w:fill="9DB8D2"/>
          </w:tcPr>
          <w:p>
            <w:pPr>
              <w:jc w:val="right"/>
              <w:ind w:right="81"/>
              <w:spacing w:after="0"/>
              <w:rPr>
                <w:sz w:val="20"/>
                <w:szCs w:val="20"/>
                <w:color w:val="auto"/>
              </w:rPr>
            </w:pPr>
            <w:r>
              <w:rPr>
                <w:rFonts w:ascii="Arial" w:cs="Arial" w:eastAsia="Arial" w:hAnsi="Arial"/>
                <w:sz w:val="14"/>
                <w:szCs w:val="14"/>
                <w:b w:val="1"/>
                <w:bCs w:val="1"/>
                <w:color w:val="auto"/>
              </w:rPr>
              <w:t>Death($)</w:t>
            </w:r>
          </w:p>
        </w:tc>
        <w:tc>
          <w:tcPr>
            <w:tcW w:w="240" w:type="dxa"/>
            <w:vAlign w:val="bottom"/>
            <w:tcBorders>
              <w:bottom w:val="single" w:sz="8" w:color="9DB8D2"/>
            </w:tcBorders>
            <w:shd w:val="clear" w:color="auto" w:fill="9DB8D2"/>
          </w:tcPr>
          <w:p>
            <w:pPr>
              <w:spacing w:after="0"/>
              <w:rPr>
                <w:sz w:val="20"/>
                <w:szCs w:val="20"/>
                <w:color w:val="auto"/>
              </w:rPr>
            </w:pPr>
          </w:p>
        </w:tc>
        <w:tc>
          <w:tcPr>
            <w:tcW w:w="880" w:type="dxa"/>
            <w:vAlign w:val="bottom"/>
            <w:tcBorders>
              <w:bottom w:val="single" w:sz="8" w:color="9DB8D2"/>
            </w:tcBorders>
            <w:shd w:val="clear" w:color="auto" w:fill="9DB8D2"/>
          </w:tcPr>
          <w:p>
            <w:pPr>
              <w:jc w:val="right"/>
              <w:spacing w:after="0"/>
              <w:rPr>
                <w:sz w:val="20"/>
                <w:szCs w:val="20"/>
                <w:color w:val="auto"/>
              </w:rPr>
            </w:pPr>
            <w:r>
              <w:rPr>
                <w:rFonts w:ascii="Arial" w:cs="Arial" w:eastAsia="Arial" w:hAnsi="Arial"/>
                <w:sz w:val="14"/>
                <w:szCs w:val="14"/>
                <w:b w:val="1"/>
                <w:bCs w:val="1"/>
                <w:color w:val="auto"/>
              </w:rPr>
              <w:t>Disability($)</w:t>
            </w:r>
          </w:p>
        </w:tc>
        <w:tc>
          <w:tcPr>
            <w:tcW w:w="260" w:type="dxa"/>
            <w:vAlign w:val="bottom"/>
            <w:tcBorders>
              <w:bottom w:val="single" w:sz="8" w:color="9DB8D2"/>
            </w:tcBorders>
            <w:shd w:val="clear" w:color="auto" w:fill="9DB8D2"/>
          </w:tcPr>
          <w:p>
            <w:pPr>
              <w:spacing w:after="0"/>
              <w:rPr>
                <w:sz w:val="20"/>
                <w:szCs w:val="20"/>
                <w:color w:val="auto"/>
              </w:rPr>
            </w:pPr>
          </w:p>
        </w:tc>
        <w:tc>
          <w:tcPr>
            <w:tcW w:w="86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120" w:type="dxa"/>
            <w:vAlign w:val="bottom"/>
            <w:tcBorders>
              <w:bottom w:val="single" w:sz="8" w:color="9DB8D2"/>
            </w:tcBorders>
            <w:gridSpan w:val="2"/>
            <w:shd w:val="clear" w:color="auto" w:fill="9DB8D2"/>
          </w:tcPr>
          <w:p>
            <w:pPr>
              <w:jc w:val="center"/>
              <w:ind w:left="160"/>
              <w:spacing w:after="0"/>
              <w:rPr>
                <w:sz w:val="20"/>
                <w:szCs w:val="20"/>
                <w:color w:val="auto"/>
              </w:rPr>
            </w:pPr>
            <w:r>
              <w:rPr>
                <w:rFonts w:ascii="Arial" w:cs="Arial" w:eastAsia="Arial" w:hAnsi="Arial"/>
                <w:sz w:val="14"/>
                <w:szCs w:val="14"/>
                <w:b w:val="1"/>
                <w:bCs w:val="1"/>
                <w:color w:val="auto"/>
              </w:rPr>
              <w:t>($)(2)</w:t>
            </w:r>
          </w:p>
        </w:tc>
        <w:tc>
          <w:tcPr>
            <w:tcW w:w="1200" w:type="dxa"/>
            <w:vAlign w:val="bottom"/>
            <w:tcBorders>
              <w:bottom w:val="single" w:sz="8" w:color="9DB8D2"/>
            </w:tcBorders>
            <w:gridSpan w:val="2"/>
            <w:shd w:val="clear" w:color="auto" w:fill="9DB8D2"/>
          </w:tcPr>
          <w:p>
            <w:pPr>
              <w:jc w:val="right"/>
              <w:spacing w:after="0"/>
              <w:rPr>
                <w:sz w:val="20"/>
                <w:szCs w:val="20"/>
                <w:color w:val="auto"/>
              </w:rPr>
            </w:pPr>
            <w:r>
              <w:rPr>
                <w:rFonts w:ascii="Arial" w:cs="Arial" w:eastAsia="Arial" w:hAnsi="Arial"/>
                <w:sz w:val="14"/>
                <w:szCs w:val="14"/>
                <w:b w:val="1"/>
                <w:bCs w:val="1"/>
                <w:color w:val="auto"/>
              </w:rPr>
              <w:t>Retirement($)</w:t>
            </w:r>
          </w:p>
        </w:tc>
        <w:tc>
          <w:tcPr>
            <w:tcW w:w="260" w:type="dxa"/>
            <w:vAlign w:val="bottom"/>
            <w:tcBorders>
              <w:bottom w:val="single" w:sz="8" w:color="9DB8D2"/>
            </w:tcBorders>
            <w:shd w:val="clear" w:color="auto" w:fill="9DB8D2"/>
          </w:tcPr>
          <w:p>
            <w:pPr>
              <w:spacing w:after="0"/>
              <w:rPr>
                <w:sz w:val="20"/>
                <w:szCs w:val="20"/>
                <w:color w:val="auto"/>
              </w:rPr>
            </w:pPr>
          </w:p>
        </w:tc>
        <w:tc>
          <w:tcPr>
            <w:tcW w:w="70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Cause($)</w:t>
            </w:r>
          </w:p>
        </w:tc>
        <w:tc>
          <w:tcPr>
            <w:tcW w:w="1140" w:type="dxa"/>
            <w:vAlign w:val="bottom"/>
            <w:tcBorders>
              <w:bottom w:val="single" w:sz="8" w:color="9DB8D2"/>
            </w:tcBorders>
            <w:gridSpan w:val="2"/>
            <w:shd w:val="clear" w:color="auto" w:fill="9DB8D2"/>
          </w:tcPr>
          <w:p>
            <w:pPr>
              <w:ind w:left="220"/>
              <w:spacing w:after="0"/>
              <w:rPr>
                <w:sz w:val="20"/>
                <w:szCs w:val="20"/>
                <w:color w:val="auto"/>
              </w:rPr>
            </w:pPr>
            <w:r>
              <w:rPr>
                <w:rFonts w:ascii="Arial" w:cs="Arial" w:eastAsia="Arial" w:hAnsi="Arial"/>
                <w:sz w:val="14"/>
                <w:szCs w:val="14"/>
                <w:b w:val="1"/>
                <w:bCs w:val="1"/>
                <w:color w:val="auto"/>
              </w:rPr>
              <w:t>Voluntary($)</w:t>
            </w:r>
          </w:p>
        </w:tc>
      </w:tr>
      <w:tr>
        <w:trPr>
          <w:trHeight w:val="264"/>
        </w:trPr>
        <w:tc>
          <w:tcPr>
            <w:tcW w:w="3280" w:type="dxa"/>
            <w:vAlign w:val="bottom"/>
            <w:tcBorders>
              <w:top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Severance Payment(3)</w:t>
            </w:r>
          </w:p>
        </w:tc>
        <w:tc>
          <w:tcPr>
            <w:tcW w:w="200" w:type="dxa"/>
            <w:vAlign w:val="bottom"/>
            <w:tcBorders>
              <w:top w:val="single" w:sz="8" w:color="auto"/>
            </w:tcBorders>
            <w:shd w:val="clear" w:color="auto" w:fill="E6EDF3"/>
          </w:tcPr>
          <w:p>
            <w:pPr>
              <w:spacing w:after="0"/>
              <w:rPr>
                <w:sz w:val="22"/>
                <w:szCs w:val="22"/>
                <w:color w:val="auto"/>
              </w:rPr>
            </w:pPr>
          </w:p>
        </w:tc>
        <w:tc>
          <w:tcPr>
            <w:tcW w:w="88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E6EDF3"/>
          </w:tcPr>
          <w:p>
            <w:pPr>
              <w:spacing w:after="0"/>
              <w:rPr>
                <w:sz w:val="22"/>
                <w:szCs w:val="22"/>
                <w:color w:val="auto"/>
              </w:rPr>
            </w:pPr>
          </w:p>
        </w:tc>
        <w:tc>
          <w:tcPr>
            <w:tcW w:w="88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1,700,000</w:t>
            </w:r>
          </w:p>
        </w:tc>
        <w:tc>
          <w:tcPr>
            <w:tcW w:w="112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3,400,000</w:t>
            </w:r>
          </w:p>
        </w:tc>
        <w:tc>
          <w:tcPr>
            <w:tcW w:w="260" w:type="dxa"/>
            <w:vAlign w:val="bottom"/>
            <w:tcBorders>
              <w:top w:val="single" w:sz="8" w:color="auto"/>
            </w:tcBorders>
            <w:shd w:val="clear" w:color="auto" w:fill="E6EDF3"/>
          </w:tcPr>
          <w:p>
            <w:pPr>
              <w:spacing w:after="0"/>
              <w:rPr>
                <w:sz w:val="22"/>
                <w:szCs w:val="22"/>
                <w:color w:val="auto"/>
              </w:rPr>
            </w:pPr>
          </w:p>
        </w:tc>
        <w:tc>
          <w:tcPr>
            <w:tcW w:w="94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E6EDF3"/>
          </w:tcPr>
          <w:p>
            <w:pPr>
              <w:spacing w:after="0"/>
              <w:rPr>
                <w:sz w:val="22"/>
                <w:szCs w:val="22"/>
                <w:color w:val="auto"/>
              </w:rPr>
            </w:pPr>
          </w:p>
        </w:tc>
        <w:tc>
          <w:tcPr>
            <w:tcW w:w="700" w:type="dxa"/>
            <w:vAlign w:val="bottom"/>
            <w:tcBorders>
              <w:top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auto"/>
            </w:tcBorders>
            <w:shd w:val="clear" w:color="auto" w:fill="E6EDF3"/>
          </w:tcPr>
          <w:p>
            <w:pPr>
              <w:spacing w:after="0"/>
              <w:rPr>
                <w:sz w:val="22"/>
                <w:szCs w:val="22"/>
                <w:color w:val="auto"/>
              </w:rPr>
            </w:pPr>
          </w:p>
        </w:tc>
        <w:tc>
          <w:tcPr>
            <w:tcW w:w="920" w:type="dxa"/>
            <w:vAlign w:val="bottom"/>
            <w:tcBorders>
              <w:top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3280" w:type="dxa"/>
            <w:vAlign w:val="bottom"/>
          </w:tcPr>
          <w:p>
            <w:pPr>
              <w:ind w:left="60"/>
              <w:spacing w:after="0"/>
              <w:rPr>
                <w:sz w:val="20"/>
                <w:szCs w:val="20"/>
                <w:color w:val="auto"/>
              </w:rPr>
            </w:pPr>
            <w:r>
              <w:rPr>
                <w:rFonts w:ascii="Arial" w:cs="Arial" w:eastAsia="Arial" w:hAnsi="Arial"/>
                <w:sz w:val="16"/>
                <w:szCs w:val="16"/>
                <w:color w:val="auto"/>
              </w:rPr>
              <w:t>Prorated Incentive(4)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850,000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850,000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902,360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850,000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1,004,360</w:t>
            </w:r>
          </w:p>
        </w:tc>
        <w:tc>
          <w:tcPr>
            <w:tcW w:w="2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3280" w:type="dxa"/>
            <w:vAlign w:val="bottom"/>
            <w:shd w:val="clear" w:color="auto" w:fill="E6EDF3"/>
          </w:tcPr>
          <w:p>
            <w:pPr>
              <w:ind w:left="60"/>
              <w:spacing w:after="0"/>
              <w:rPr>
                <w:sz w:val="20"/>
                <w:szCs w:val="20"/>
                <w:color w:val="auto"/>
              </w:rPr>
            </w:pPr>
            <w:r>
              <w:rPr>
                <w:rFonts w:ascii="Arial" w:cs="Arial" w:eastAsia="Arial" w:hAnsi="Arial"/>
                <w:sz w:val="16"/>
                <w:szCs w:val="16"/>
                <w:color w:val="auto"/>
              </w:rPr>
              <w:t>Options(5)</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3,339,509</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3,339,509</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3,339,509</w:t>
            </w:r>
          </w:p>
        </w:tc>
        <w:tc>
          <w:tcPr>
            <w:tcW w:w="12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3,339,509</w:t>
            </w:r>
          </w:p>
        </w:tc>
        <w:tc>
          <w:tcPr>
            <w:tcW w:w="2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3280" w:type="dxa"/>
            <w:vAlign w:val="bottom"/>
          </w:tcPr>
          <w:p>
            <w:pPr>
              <w:ind w:left="60"/>
              <w:spacing w:after="0"/>
              <w:rPr>
                <w:sz w:val="20"/>
                <w:szCs w:val="20"/>
                <w:color w:val="auto"/>
              </w:rPr>
            </w:pPr>
            <w:r>
              <w:rPr>
                <w:rFonts w:ascii="Arial" w:cs="Arial" w:eastAsia="Arial" w:hAnsi="Arial"/>
                <w:sz w:val="16"/>
                <w:szCs w:val="16"/>
                <w:color w:val="auto"/>
              </w:rPr>
              <w:t>Performance Share Units(6)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9,934,694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9,934,694</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11,311,008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17,804,916</w:t>
            </w:r>
          </w:p>
        </w:tc>
        <w:tc>
          <w:tcPr>
            <w:tcW w:w="2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3280" w:type="dxa"/>
            <w:vAlign w:val="bottom"/>
            <w:shd w:val="clear" w:color="auto" w:fill="E6EDF3"/>
          </w:tcPr>
          <w:p>
            <w:pPr>
              <w:ind w:left="60"/>
              <w:spacing w:after="0"/>
              <w:rPr>
                <w:sz w:val="20"/>
                <w:szCs w:val="20"/>
                <w:color w:val="auto"/>
              </w:rPr>
            </w:pPr>
            <w:r>
              <w:rPr>
                <w:rFonts w:ascii="Arial" w:cs="Arial" w:eastAsia="Arial" w:hAnsi="Arial"/>
                <w:sz w:val="16"/>
                <w:szCs w:val="16"/>
                <w:color w:val="auto"/>
              </w:rPr>
              <w:t>Restricted Stock Units/Career Shares(7)</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3,287,183</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3,287,183</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3,287,183</w:t>
            </w:r>
          </w:p>
        </w:tc>
        <w:tc>
          <w:tcPr>
            <w:tcW w:w="12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3,287,183</w:t>
            </w:r>
          </w:p>
        </w:tc>
        <w:tc>
          <w:tcPr>
            <w:tcW w:w="2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3280" w:type="dxa"/>
            <w:vAlign w:val="bottom"/>
          </w:tcPr>
          <w:p>
            <w:pPr>
              <w:ind w:left="60"/>
              <w:spacing w:after="0"/>
              <w:rPr>
                <w:sz w:val="20"/>
                <w:szCs w:val="20"/>
                <w:color w:val="auto"/>
              </w:rPr>
            </w:pPr>
            <w:r>
              <w:rPr>
                <w:rFonts w:ascii="Arial" w:cs="Arial" w:eastAsia="Arial" w:hAnsi="Arial"/>
                <w:sz w:val="16"/>
                <w:szCs w:val="16"/>
                <w:color w:val="auto"/>
              </w:rPr>
              <w:t>Health Benefits</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25,340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38,797</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85"/>
        </w:trPr>
        <w:tc>
          <w:tcPr>
            <w:tcW w:w="3280" w:type="dxa"/>
            <w:vAlign w:val="bottom"/>
            <w:shd w:val="clear" w:color="auto" w:fill="E6EDF3"/>
          </w:tcPr>
          <w:p>
            <w:pPr>
              <w:ind w:left="60"/>
              <w:spacing w:after="0"/>
              <w:rPr>
                <w:sz w:val="20"/>
                <w:szCs w:val="20"/>
                <w:color w:val="auto"/>
              </w:rPr>
            </w:pPr>
            <w:r>
              <w:rPr>
                <w:rFonts w:ascii="Arial" w:cs="Arial" w:eastAsia="Arial" w:hAnsi="Arial"/>
                <w:sz w:val="16"/>
                <w:szCs w:val="16"/>
                <w:color w:val="auto"/>
              </w:rPr>
              <w:t>Outplacement</w:t>
            </w:r>
          </w:p>
        </w:tc>
        <w:tc>
          <w:tcPr>
            <w:tcW w:w="200" w:type="dxa"/>
            <w:vAlign w:val="bottom"/>
            <w:shd w:val="clear" w:color="auto" w:fill="E6EDF3"/>
          </w:tcPr>
          <w:p>
            <w:pPr>
              <w:spacing w:after="0"/>
              <w:rPr>
                <w:sz w:val="24"/>
                <w:szCs w:val="24"/>
                <w:color w:val="auto"/>
              </w:rPr>
            </w:pPr>
          </w:p>
        </w:tc>
        <w:tc>
          <w:tcPr>
            <w:tcW w:w="8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6EDF3"/>
          </w:tcPr>
          <w:p>
            <w:pPr>
              <w:spacing w:after="0"/>
              <w:rPr>
                <w:sz w:val="24"/>
                <w:szCs w:val="24"/>
                <w:color w:val="auto"/>
              </w:rPr>
            </w:pPr>
          </w:p>
        </w:tc>
        <w:tc>
          <w:tcPr>
            <w:tcW w:w="8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shd w:val="clear" w:color="auto" w:fill="E6EDF3"/>
          </w:tcPr>
          <w:p>
            <w:pPr>
              <w:spacing w:after="0"/>
              <w:rPr>
                <w:sz w:val="24"/>
                <w:szCs w:val="24"/>
                <w:color w:val="auto"/>
              </w:rPr>
            </w:pP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shd w:val="clear" w:color="auto" w:fill="E6EDF3"/>
          </w:tcPr>
          <w:p>
            <w:pPr>
              <w:spacing w:after="0"/>
              <w:rPr>
                <w:sz w:val="24"/>
                <w:szCs w:val="24"/>
                <w:color w:val="auto"/>
              </w:rPr>
            </w:pPr>
          </w:p>
        </w:tc>
        <w:tc>
          <w:tcPr>
            <w:tcW w:w="9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70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tcBorders>
              <w:bottom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3280" w:type="dxa"/>
            <w:vAlign w:val="bottom"/>
          </w:tcPr>
          <w:p>
            <w:pPr>
              <w:ind w:left="60"/>
              <w:spacing w:after="0"/>
              <w:rPr>
                <w:sz w:val="20"/>
                <w:szCs w:val="20"/>
                <w:color w:val="auto"/>
              </w:rPr>
            </w:pPr>
            <w:r>
              <w:rPr>
                <w:rFonts w:ascii="Arial" w:cs="Arial" w:eastAsia="Arial" w:hAnsi="Arial"/>
                <w:sz w:val="16"/>
                <w:szCs w:val="16"/>
                <w:color w:val="auto"/>
              </w:rPr>
              <w:t>Total</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17,411,386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17,411,386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2,652,700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22,251,497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25,435,968</w:t>
            </w:r>
          </w:p>
        </w:tc>
        <w:tc>
          <w:tcPr>
            <w:tcW w:w="2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4"/>
                <w:szCs w:val="24"/>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0"/>
        </w:trPr>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316"/>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term of Mr. Green’s severance agreement expires on July 28, 2019.</w:t>
      </w:r>
    </w:p>
    <w:p>
      <w:pPr>
        <w:spacing w:after="0" w:line="68" w:lineRule="exact"/>
        <w:rPr>
          <w:rFonts w:ascii="Arial" w:cs="Arial" w:eastAsia="Arial" w:hAnsi="Arial"/>
          <w:sz w:val="14"/>
          <w:szCs w:val="14"/>
          <w:color w:val="auto"/>
        </w:rPr>
      </w:pPr>
    </w:p>
    <w:p>
      <w:pPr>
        <w:ind w:left="520" w:right="20" w:hanging="316"/>
        <w:spacing w:after="0" w:line="291"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 w:lineRule="exact"/>
        <w:rPr>
          <w:rFonts w:ascii="Arial" w:cs="Arial" w:eastAsia="Arial" w:hAnsi="Arial"/>
          <w:sz w:val="14"/>
          <w:szCs w:val="14"/>
          <w:color w:val="auto"/>
        </w:rPr>
      </w:pPr>
    </w:p>
    <w:p>
      <w:pPr>
        <w:ind w:left="520" w:right="40" w:hanging="316"/>
        <w:spacing w:after="0" w:line="266"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 of the severance payment under Mr. Green’s severance agreement is equal to his annual base salary at the highest rate in effect during the term of the agreement (here, $850,000) and his target annual incentive for the fiscal year in which the termination occurs (here, $850,000). In a double-trigger scenario, the amount of his severance payment is multiplied by two.</w:t>
      </w:r>
    </w:p>
    <w:p>
      <w:pPr>
        <w:spacing w:after="0" w:line="18" w:lineRule="exact"/>
        <w:rPr>
          <w:rFonts w:ascii="Arial" w:cs="Arial" w:eastAsia="Arial" w:hAnsi="Arial"/>
          <w:sz w:val="14"/>
          <w:szCs w:val="14"/>
          <w:color w:val="auto"/>
        </w:rPr>
      </w:pPr>
    </w:p>
    <w:p>
      <w:pPr>
        <w:ind w:left="520" w:right="140" w:hanging="316"/>
        <w:spacing w:after="0" w:line="249"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2017 for the financial objectives and the target amount for the operating objectives. In the event of death, disability, or certain terminations following a change of control, the prorated incentive payable to him under his severance agreement is based on the target incentive for the year of termination. In the event of a retirement, the prorated incentive payable to him under the Senior Management Annual Incentive Pool Plan is based on the actual incentive earned for 2017. No proration has been applied here as this table illustrates the effect of such a termination on December 31, 2017, immediately before the incentive was earned, so as not to understate the potential value of the benefit upon the applicable termination of employment. Note that an incentive amount has also been reported as 2017 compensation for him in the Summary Compensation Table, as well as in the Grants of Plan-Based Awards Table.</w:t>
      </w:r>
    </w:p>
    <w:p>
      <w:pPr>
        <w:spacing w:after="0" w:line="32" w:lineRule="exact"/>
        <w:rPr>
          <w:rFonts w:ascii="Arial" w:cs="Arial" w:eastAsia="Arial" w:hAnsi="Arial"/>
          <w:sz w:val="14"/>
          <w:szCs w:val="14"/>
          <w:color w:val="auto"/>
        </w:rPr>
      </w:pPr>
    </w:p>
    <w:p>
      <w:pPr>
        <w:ind w:left="520" w:right="300" w:hanging="316"/>
        <w:spacing w:after="0" w:line="291"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2017 ($126.11) and the exercise price of each unvested stock option held by Mr. Green on December 31, 2017.</w:t>
      </w:r>
    </w:p>
    <w:p>
      <w:pPr>
        <w:spacing w:after="0" w:line="1" w:lineRule="exact"/>
        <w:rPr>
          <w:rFonts w:ascii="Arial" w:cs="Arial" w:eastAsia="Arial" w:hAnsi="Arial"/>
          <w:sz w:val="14"/>
          <w:szCs w:val="14"/>
          <w:color w:val="auto"/>
        </w:rPr>
      </w:pPr>
    </w:p>
    <w:p>
      <w:pPr>
        <w:ind w:left="520" w:right="60" w:hanging="316"/>
        <w:spacing w:after="0" w:line="248"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value of performance share units is illustrated here by measuring the value of the number of shares payable under outstanding awards (2015, 2016 and 2017 grants) using the closing stock price on December 31, 2017 ($126.11). In the case of a change of control, the payout is shown based on the number of shares earned based on actual performance for the 2015 award and assuming the Committee would determine the amount of shares earned relating to the 2016 and 2017 awards will equal the target award. In the case of a death or disability, the payout is shown based on the target awards for 2015, 2016 and 2017. In the case of retirement, the payout is shown based on the number of shares earned based on actual performance for the 2015 award and assuming actual performance for the 2016 and 2017 awards at the outstanding performance level. Although the performance share units for the 2015 grant vested on December 31, 2017, the values shown in the table above were calculated to illustrate the value of vesting in the event of an applicable termination occurring on December 31, 2017, immediately before vesting, and includes the performance shares that vested on that date so as not to understate the potential value of an acceleration upon the applicable termination of employment.</w:t>
      </w:r>
    </w:p>
    <w:p>
      <w:pPr>
        <w:spacing w:after="0" w:line="33" w:lineRule="exact"/>
        <w:rPr>
          <w:rFonts w:ascii="Arial" w:cs="Arial" w:eastAsia="Arial" w:hAnsi="Arial"/>
          <w:sz w:val="14"/>
          <w:szCs w:val="14"/>
          <w:color w:val="auto"/>
        </w:rPr>
      </w:pPr>
    </w:p>
    <w:p>
      <w:pPr>
        <w:ind w:left="520" w:right="180" w:hanging="316"/>
        <w:spacing w:after="0" w:line="291"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2017 ($126.11).</w:t>
      </w:r>
    </w:p>
    <w:p>
      <w:pPr>
        <w:spacing w:after="0" w:line="61"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69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Ram Chandrashekar, EVP, Operational Excellence and IT and President, Asia Pacific Middle East (1)</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4600" w:type="dxa"/>
            <w:vAlign w:val="bottom"/>
            <w:tcBorders>
              <w:top w:val="single" w:sz="8" w:color="auto"/>
            </w:tcBorders>
            <w:shd w:val="clear" w:color="auto" w:fill="9DB8D2"/>
          </w:tcPr>
          <w:p>
            <w:pPr>
              <w:spacing w:after="0"/>
              <w:rPr>
                <w:sz w:val="22"/>
                <w:szCs w:val="22"/>
                <w:color w:val="auto"/>
              </w:rPr>
            </w:pPr>
          </w:p>
        </w:tc>
        <w:tc>
          <w:tcPr>
            <w:tcW w:w="200" w:type="dxa"/>
            <w:vAlign w:val="bottom"/>
            <w:tcBorders>
              <w:top w:val="single" w:sz="8" w:color="auto"/>
            </w:tcBorders>
            <w:shd w:val="clear" w:color="auto" w:fill="9DB8D2"/>
          </w:tcPr>
          <w:p>
            <w:pPr>
              <w:spacing w:after="0"/>
              <w:rPr>
                <w:sz w:val="22"/>
                <w:szCs w:val="22"/>
                <w:color w:val="auto"/>
              </w:rPr>
            </w:pPr>
          </w:p>
        </w:tc>
        <w:tc>
          <w:tcPr>
            <w:tcW w:w="78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26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Double</w:t>
            </w:r>
          </w:p>
        </w:tc>
        <w:tc>
          <w:tcPr>
            <w:tcW w:w="260" w:type="dxa"/>
            <w:vAlign w:val="bottom"/>
            <w:tcBorders>
              <w:top w:val="single" w:sz="8" w:color="auto"/>
            </w:tcBorders>
            <w:shd w:val="clear" w:color="auto" w:fill="9DB8D2"/>
          </w:tcPr>
          <w:p>
            <w:pPr>
              <w:spacing w:after="0"/>
              <w:rPr>
                <w:sz w:val="22"/>
                <w:szCs w:val="22"/>
                <w:color w:val="auto"/>
              </w:rPr>
            </w:pPr>
          </w:p>
        </w:tc>
        <w:tc>
          <w:tcPr>
            <w:tcW w:w="70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r>
      <w:tr>
        <w:trPr>
          <w:trHeight w:val="162"/>
        </w:trPr>
        <w:tc>
          <w:tcPr>
            <w:tcW w:w="460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Termination</w:t>
            </w:r>
          </w:p>
        </w:tc>
        <w:tc>
          <w:tcPr>
            <w:tcW w:w="260" w:type="dxa"/>
            <w:vAlign w:val="bottom"/>
            <w:shd w:val="clear" w:color="auto" w:fill="9DB8D2"/>
          </w:tcPr>
          <w:p>
            <w:pPr>
              <w:spacing w:after="0"/>
              <w:rPr>
                <w:sz w:val="14"/>
                <w:szCs w:val="14"/>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Trigger</w:t>
            </w: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460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or Good</w:t>
            </w:r>
          </w:p>
        </w:tc>
        <w:tc>
          <w:tcPr>
            <w:tcW w:w="260" w:type="dxa"/>
            <w:vAlign w:val="bottom"/>
            <w:shd w:val="clear" w:color="auto" w:fill="9DB8D2"/>
          </w:tcPr>
          <w:p>
            <w:pPr>
              <w:spacing w:after="0"/>
              <w:rPr>
                <w:sz w:val="14"/>
                <w:szCs w:val="14"/>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460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1120" w:type="dxa"/>
            <w:vAlign w:val="bottom"/>
            <w:gridSpan w:val="2"/>
            <w:shd w:val="clear" w:color="auto" w:fill="9DB8D2"/>
          </w:tcPr>
          <w:p>
            <w:pPr>
              <w:jc w:val="center"/>
              <w:ind w:left="181"/>
              <w:spacing w:after="0"/>
              <w:rPr>
                <w:sz w:val="20"/>
                <w:szCs w:val="20"/>
                <w:color w:val="auto"/>
              </w:rPr>
            </w:pPr>
            <w:r>
              <w:rPr>
                <w:rFonts w:ascii="Arial" w:cs="Arial" w:eastAsia="Arial" w:hAnsi="Arial"/>
                <w:sz w:val="14"/>
                <w:szCs w:val="14"/>
                <w:b w:val="1"/>
                <w:bCs w:val="1"/>
                <w:color w:val="auto"/>
              </w:rPr>
              <w:t>Reason – no</w:t>
            </w:r>
          </w:p>
        </w:tc>
        <w:tc>
          <w:tcPr>
            <w:tcW w:w="260" w:type="dxa"/>
            <w:vAlign w:val="bottom"/>
            <w:shd w:val="clear" w:color="auto" w:fill="9DB8D2"/>
          </w:tcPr>
          <w:p>
            <w:pPr>
              <w:spacing w:after="0"/>
              <w:rPr>
                <w:sz w:val="14"/>
                <w:szCs w:val="14"/>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Termination)</w:t>
            </w:r>
          </w:p>
        </w:tc>
        <w:tc>
          <w:tcPr>
            <w:tcW w:w="260" w:type="dxa"/>
            <w:vAlign w:val="bottom"/>
            <w:shd w:val="clear" w:color="auto" w:fill="9DB8D2"/>
          </w:tcPr>
          <w:p>
            <w:pPr>
              <w:spacing w:after="0"/>
              <w:rPr>
                <w:sz w:val="14"/>
                <w:szCs w:val="14"/>
                <w:color w:val="auto"/>
              </w:rPr>
            </w:pPr>
          </w:p>
        </w:tc>
        <w:tc>
          <w:tcPr>
            <w:tcW w:w="7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For</w:t>
            </w:r>
          </w:p>
        </w:tc>
        <w:tc>
          <w:tcPr>
            <w:tcW w:w="22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236"/>
        </w:trPr>
        <w:tc>
          <w:tcPr>
            <w:tcW w:w="4600" w:type="dxa"/>
            <w:vAlign w:val="bottom"/>
            <w:tcBorders>
              <w:bottom w:val="single" w:sz="8" w:color="9DB8D2"/>
            </w:tcBorders>
            <w:shd w:val="clear" w:color="auto" w:fill="9DB8D2"/>
          </w:tcPr>
          <w:p>
            <w:pPr>
              <w:spacing w:after="0"/>
              <w:rPr>
                <w:sz w:val="20"/>
                <w:szCs w:val="20"/>
                <w:color w:val="auto"/>
              </w:rPr>
            </w:pPr>
          </w:p>
        </w:tc>
        <w:tc>
          <w:tcPr>
            <w:tcW w:w="200" w:type="dxa"/>
            <w:vAlign w:val="bottom"/>
            <w:tcBorders>
              <w:bottom w:val="single" w:sz="8" w:color="9DB8D2"/>
            </w:tcBorders>
            <w:shd w:val="clear" w:color="auto" w:fill="9DB8D2"/>
          </w:tcPr>
          <w:p>
            <w:pPr>
              <w:spacing w:after="0"/>
              <w:rPr>
                <w:sz w:val="20"/>
                <w:szCs w:val="20"/>
                <w:color w:val="auto"/>
              </w:rPr>
            </w:pPr>
          </w:p>
        </w:tc>
        <w:tc>
          <w:tcPr>
            <w:tcW w:w="780" w:type="dxa"/>
            <w:vAlign w:val="bottom"/>
            <w:tcBorders>
              <w:bottom w:val="single" w:sz="8" w:color="9DB8D2"/>
            </w:tcBorders>
            <w:shd w:val="clear" w:color="auto" w:fill="9DB8D2"/>
          </w:tcPr>
          <w:p>
            <w:pPr>
              <w:jc w:val="right"/>
              <w:ind w:right="22"/>
              <w:spacing w:after="0"/>
              <w:rPr>
                <w:sz w:val="20"/>
                <w:szCs w:val="20"/>
                <w:color w:val="auto"/>
              </w:rPr>
            </w:pPr>
            <w:r>
              <w:rPr>
                <w:rFonts w:ascii="Arial" w:cs="Arial" w:eastAsia="Arial" w:hAnsi="Arial"/>
                <w:sz w:val="14"/>
                <w:szCs w:val="14"/>
                <w:b w:val="1"/>
                <w:bCs w:val="1"/>
                <w:color w:val="auto"/>
              </w:rPr>
              <w:t>Death($)</w:t>
            </w:r>
          </w:p>
        </w:tc>
        <w:tc>
          <w:tcPr>
            <w:tcW w:w="1080" w:type="dxa"/>
            <w:vAlign w:val="bottom"/>
            <w:tcBorders>
              <w:bottom w:val="single" w:sz="8" w:color="9DB8D2"/>
            </w:tcBorders>
            <w:gridSpan w:val="2"/>
            <w:shd w:val="clear" w:color="auto" w:fill="9DB8D2"/>
          </w:tcPr>
          <w:p>
            <w:pPr>
              <w:jc w:val="right"/>
              <w:spacing w:after="0"/>
              <w:rPr>
                <w:sz w:val="20"/>
                <w:szCs w:val="20"/>
                <w:color w:val="auto"/>
              </w:rPr>
            </w:pPr>
            <w:r>
              <w:rPr>
                <w:rFonts w:ascii="Arial" w:cs="Arial" w:eastAsia="Arial" w:hAnsi="Arial"/>
                <w:sz w:val="14"/>
                <w:szCs w:val="14"/>
                <w:b w:val="1"/>
                <w:bCs w:val="1"/>
                <w:color w:val="auto"/>
              </w:rPr>
              <w:t>Disability($)</w:t>
            </w:r>
          </w:p>
        </w:tc>
        <w:tc>
          <w:tcPr>
            <w:tcW w:w="260" w:type="dxa"/>
            <w:vAlign w:val="bottom"/>
            <w:tcBorders>
              <w:bottom w:val="single" w:sz="8" w:color="9DB8D2"/>
            </w:tcBorders>
            <w:shd w:val="clear" w:color="auto" w:fill="9DB8D2"/>
          </w:tcPr>
          <w:p>
            <w:pPr>
              <w:spacing w:after="0"/>
              <w:rPr>
                <w:sz w:val="20"/>
                <w:szCs w:val="20"/>
                <w:color w:val="auto"/>
              </w:rPr>
            </w:pPr>
          </w:p>
        </w:tc>
        <w:tc>
          <w:tcPr>
            <w:tcW w:w="86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140" w:type="dxa"/>
            <w:vAlign w:val="bottom"/>
            <w:tcBorders>
              <w:bottom w:val="single" w:sz="8" w:color="9DB8D2"/>
            </w:tcBorders>
            <w:gridSpan w:val="2"/>
            <w:shd w:val="clear" w:color="auto" w:fill="9DB8D2"/>
          </w:tcPr>
          <w:p>
            <w:pPr>
              <w:jc w:val="center"/>
              <w:ind w:left="160"/>
              <w:spacing w:after="0"/>
              <w:rPr>
                <w:sz w:val="20"/>
                <w:szCs w:val="20"/>
                <w:color w:val="auto"/>
              </w:rPr>
            </w:pPr>
            <w:r>
              <w:rPr>
                <w:rFonts w:ascii="Arial" w:cs="Arial" w:eastAsia="Arial" w:hAnsi="Arial"/>
                <w:sz w:val="14"/>
                <w:szCs w:val="14"/>
                <w:b w:val="1"/>
                <w:bCs w:val="1"/>
                <w:color w:val="auto"/>
                <w:w w:val="99"/>
              </w:rPr>
              <w:t>($)(2)</w:t>
            </w:r>
          </w:p>
        </w:tc>
        <w:tc>
          <w:tcPr>
            <w:tcW w:w="260" w:type="dxa"/>
            <w:vAlign w:val="bottom"/>
            <w:tcBorders>
              <w:bottom w:val="single" w:sz="8" w:color="9DB8D2"/>
            </w:tcBorders>
            <w:shd w:val="clear" w:color="auto" w:fill="9DB8D2"/>
          </w:tcPr>
          <w:p>
            <w:pPr>
              <w:spacing w:after="0"/>
              <w:rPr>
                <w:sz w:val="20"/>
                <w:szCs w:val="20"/>
                <w:color w:val="auto"/>
              </w:rPr>
            </w:pPr>
          </w:p>
        </w:tc>
        <w:tc>
          <w:tcPr>
            <w:tcW w:w="70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Cause($)</w:t>
            </w:r>
          </w:p>
        </w:tc>
        <w:tc>
          <w:tcPr>
            <w:tcW w:w="1140" w:type="dxa"/>
            <w:vAlign w:val="bottom"/>
            <w:tcBorders>
              <w:bottom w:val="single" w:sz="8" w:color="9DB8D2"/>
            </w:tcBorders>
            <w:gridSpan w:val="2"/>
            <w:shd w:val="clear" w:color="auto" w:fill="9DB8D2"/>
          </w:tcPr>
          <w:p>
            <w:pPr>
              <w:ind w:left="220"/>
              <w:spacing w:after="0"/>
              <w:rPr>
                <w:sz w:val="20"/>
                <w:szCs w:val="20"/>
                <w:color w:val="auto"/>
              </w:rPr>
            </w:pPr>
            <w:r>
              <w:rPr>
                <w:rFonts w:ascii="Arial" w:cs="Arial" w:eastAsia="Arial" w:hAnsi="Arial"/>
                <w:sz w:val="14"/>
                <w:szCs w:val="14"/>
                <w:b w:val="1"/>
                <w:bCs w:val="1"/>
                <w:color w:val="auto"/>
              </w:rPr>
              <w:t>Voluntary($)</w:t>
            </w:r>
          </w:p>
        </w:tc>
      </w:tr>
      <w:tr>
        <w:trPr>
          <w:trHeight w:val="264"/>
        </w:trPr>
        <w:tc>
          <w:tcPr>
            <w:tcW w:w="4600" w:type="dxa"/>
            <w:vAlign w:val="bottom"/>
            <w:tcBorders>
              <w:top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Severance Payment(3)</w:t>
            </w:r>
          </w:p>
        </w:tc>
        <w:tc>
          <w:tcPr>
            <w:tcW w:w="200" w:type="dxa"/>
            <w:vAlign w:val="bottom"/>
            <w:tcBorders>
              <w:top w:val="single" w:sz="8" w:color="auto"/>
            </w:tcBorders>
            <w:shd w:val="clear" w:color="auto" w:fill="E6EDF3"/>
          </w:tcPr>
          <w:p>
            <w:pPr>
              <w:spacing w:after="0"/>
              <w:rPr>
                <w:sz w:val="22"/>
                <w:szCs w:val="22"/>
                <w:color w:val="auto"/>
              </w:rPr>
            </w:pPr>
          </w:p>
        </w:tc>
        <w:tc>
          <w:tcPr>
            <w:tcW w:w="78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E6EDF3"/>
          </w:tcPr>
          <w:p>
            <w:pPr>
              <w:spacing w:after="0"/>
              <w:rPr>
                <w:sz w:val="22"/>
                <w:szCs w:val="22"/>
                <w:color w:val="auto"/>
              </w:rPr>
            </w:pPr>
          </w:p>
        </w:tc>
        <w:tc>
          <w:tcPr>
            <w:tcW w:w="82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1,098,736</w:t>
            </w:r>
          </w:p>
        </w:tc>
        <w:tc>
          <w:tcPr>
            <w:tcW w:w="114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2,197,472</w:t>
            </w:r>
          </w:p>
        </w:tc>
        <w:tc>
          <w:tcPr>
            <w:tcW w:w="260" w:type="dxa"/>
            <w:vAlign w:val="bottom"/>
            <w:tcBorders>
              <w:top w:val="single" w:sz="8" w:color="auto"/>
            </w:tcBorders>
            <w:shd w:val="clear" w:color="auto" w:fill="E6EDF3"/>
          </w:tcPr>
          <w:p>
            <w:pPr>
              <w:spacing w:after="0"/>
              <w:rPr>
                <w:sz w:val="22"/>
                <w:szCs w:val="22"/>
                <w:color w:val="auto"/>
              </w:rPr>
            </w:pPr>
          </w:p>
        </w:tc>
        <w:tc>
          <w:tcPr>
            <w:tcW w:w="700" w:type="dxa"/>
            <w:vAlign w:val="bottom"/>
            <w:tcBorders>
              <w:top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auto"/>
            </w:tcBorders>
            <w:shd w:val="clear" w:color="auto" w:fill="E6EDF3"/>
          </w:tcPr>
          <w:p>
            <w:pPr>
              <w:spacing w:after="0"/>
              <w:rPr>
                <w:sz w:val="22"/>
                <w:szCs w:val="22"/>
                <w:color w:val="auto"/>
              </w:rPr>
            </w:pPr>
          </w:p>
        </w:tc>
        <w:tc>
          <w:tcPr>
            <w:tcW w:w="920" w:type="dxa"/>
            <w:vAlign w:val="bottom"/>
            <w:tcBorders>
              <w:top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600" w:type="dxa"/>
            <w:vAlign w:val="bottom"/>
          </w:tcPr>
          <w:p>
            <w:pPr>
              <w:ind w:left="60"/>
              <w:spacing w:after="0"/>
              <w:rPr>
                <w:sz w:val="20"/>
                <w:szCs w:val="20"/>
                <w:color w:val="auto"/>
              </w:rPr>
            </w:pPr>
            <w:r>
              <w:rPr>
                <w:rFonts w:ascii="Arial" w:cs="Arial" w:eastAsia="Arial" w:hAnsi="Arial"/>
                <w:sz w:val="16"/>
                <w:szCs w:val="16"/>
                <w:color w:val="auto"/>
              </w:rPr>
              <w:t>Prorated Incentive(4)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470,887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470,887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622,575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470,887</w:t>
            </w:r>
          </w:p>
        </w:tc>
        <w:tc>
          <w:tcPr>
            <w:tcW w:w="2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600" w:type="dxa"/>
            <w:vAlign w:val="bottom"/>
            <w:shd w:val="clear" w:color="auto" w:fill="E6EDF3"/>
          </w:tcPr>
          <w:p>
            <w:pPr>
              <w:ind w:left="60"/>
              <w:spacing w:after="0"/>
              <w:rPr>
                <w:sz w:val="20"/>
                <w:szCs w:val="20"/>
                <w:color w:val="auto"/>
              </w:rPr>
            </w:pPr>
            <w:r>
              <w:rPr>
                <w:rFonts w:ascii="Arial" w:cs="Arial" w:eastAsia="Arial" w:hAnsi="Arial"/>
                <w:sz w:val="16"/>
                <w:szCs w:val="16"/>
                <w:color w:val="auto"/>
              </w:rPr>
              <w:t>Options(5)</w:t>
            </w:r>
          </w:p>
        </w:tc>
        <w:tc>
          <w:tcPr>
            <w:tcW w:w="9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1,432,833</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1,432,833</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1,432,833</w:t>
            </w:r>
          </w:p>
        </w:tc>
        <w:tc>
          <w:tcPr>
            <w:tcW w:w="2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4600" w:type="dxa"/>
            <w:vAlign w:val="bottom"/>
          </w:tcPr>
          <w:p>
            <w:pPr>
              <w:ind w:left="60"/>
              <w:spacing w:after="0"/>
              <w:rPr>
                <w:sz w:val="20"/>
                <w:szCs w:val="20"/>
                <w:color w:val="auto"/>
              </w:rPr>
            </w:pPr>
            <w:r>
              <w:rPr>
                <w:rFonts w:ascii="Arial" w:cs="Arial" w:eastAsia="Arial" w:hAnsi="Arial"/>
                <w:sz w:val="16"/>
                <w:szCs w:val="16"/>
                <w:color w:val="auto"/>
              </w:rPr>
              <w:t>Performance Share Units(6)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4,270,589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4,270,589</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4,821,135</w:t>
            </w:r>
          </w:p>
        </w:tc>
        <w:tc>
          <w:tcPr>
            <w:tcW w:w="2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4600" w:type="dxa"/>
            <w:vAlign w:val="bottom"/>
            <w:shd w:val="clear" w:color="auto" w:fill="E6EDF3"/>
          </w:tcPr>
          <w:p>
            <w:pPr>
              <w:ind w:left="60"/>
              <w:spacing w:after="0"/>
              <w:rPr>
                <w:sz w:val="20"/>
                <w:szCs w:val="20"/>
                <w:color w:val="auto"/>
              </w:rPr>
            </w:pPr>
            <w:r>
              <w:rPr>
                <w:rFonts w:ascii="Arial" w:cs="Arial" w:eastAsia="Arial" w:hAnsi="Arial"/>
                <w:sz w:val="16"/>
                <w:szCs w:val="16"/>
                <w:color w:val="auto"/>
              </w:rPr>
              <w:t>Restricted Stock Units/Career Shares(7)</w:t>
            </w:r>
          </w:p>
        </w:tc>
        <w:tc>
          <w:tcPr>
            <w:tcW w:w="9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3,237,244</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3,237,244</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3,237,244</w:t>
            </w:r>
          </w:p>
        </w:tc>
        <w:tc>
          <w:tcPr>
            <w:tcW w:w="2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7"/>
        </w:trPr>
        <w:tc>
          <w:tcPr>
            <w:tcW w:w="4600" w:type="dxa"/>
            <w:vAlign w:val="bottom"/>
          </w:tcPr>
          <w:p>
            <w:pPr>
              <w:ind w:left="60"/>
              <w:spacing w:after="0"/>
              <w:rPr>
                <w:sz w:val="20"/>
                <w:szCs w:val="20"/>
                <w:color w:val="auto"/>
              </w:rPr>
            </w:pPr>
            <w:r>
              <w:rPr>
                <w:rFonts w:ascii="Arial" w:cs="Arial" w:eastAsia="Arial" w:hAnsi="Arial"/>
                <w:sz w:val="16"/>
                <w:szCs w:val="16"/>
                <w:color w:val="auto"/>
              </w:rPr>
              <w:t>Outplacement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4"/>
                <w:szCs w:val="24"/>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0"/>
        </w:trPr>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r>
      <w:tr>
        <w:trPr>
          <w:trHeight w:val="277"/>
        </w:trPr>
        <w:tc>
          <w:tcPr>
            <w:tcW w:w="4600" w:type="dxa"/>
            <w:vAlign w:val="bottom"/>
            <w:shd w:val="clear" w:color="auto" w:fill="E6EDF3"/>
          </w:tcPr>
          <w:p>
            <w:pPr>
              <w:ind w:left="60"/>
              <w:spacing w:after="0"/>
              <w:rPr>
                <w:sz w:val="20"/>
                <w:szCs w:val="20"/>
                <w:color w:val="auto"/>
              </w:rPr>
            </w:pPr>
            <w:r>
              <w:rPr>
                <w:rFonts w:ascii="Arial" w:cs="Arial" w:eastAsia="Arial" w:hAnsi="Arial"/>
                <w:sz w:val="16"/>
                <w:szCs w:val="16"/>
                <w:color w:val="auto"/>
              </w:rPr>
              <w:t>Total</w:t>
            </w:r>
          </w:p>
        </w:tc>
        <w:tc>
          <w:tcPr>
            <w:tcW w:w="9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9,411,553</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9,411,553</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1,746,311</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12,184,571</w:t>
            </w:r>
          </w:p>
        </w:tc>
        <w:tc>
          <w:tcPr>
            <w:tcW w:w="2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20" w:type="dxa"/>
            <w:vAlign w:val="bottom"/>
            <w:shd w:val="clear" w:color="auto" w:fill="E6EDF3"/>
          </w:tcPr>
          <w:p>
            <w:pPr>
              <w:ind w:left="320"/>
              <w:spacing w:after="0"/>
              <w:rPr>
                <w:sz w:val="20"/>
                <w:szCs w:val="20"/>
                <w:color w:val="auto"/>
              </w:rPr>
            </w:pPr>
            <w:r>
              <w:rPr>
                <w:rFonts w:ascii="Arial" w:cs="Arial" w:eastAsia="Arial" w:hAnsi="Arial"/>
                <w:sz w:val="16"/>
                <w:szCs w:val="16"/>
                <w:color w:val="auto"/>
              </w:rPr>
              <w:t>—</w:t>
            </w:r>
          </w:p>
        </w:tc>
      </w:tr>
      <w:tr>
        <w:trPr>
          <w:trHeight w:val="20"/>
        </w:trPr>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316"/>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term of Mr. Chandrashekar’s severance agreement expires on October 29, 2018.</w:t>
      </w:r>
    </w:p>
    <w:p>
      <w:pPr>
        <w:spacing w:after="0" w:line="68" w:lineRule="exact"/>
        <w:rPr>
          <w:rFonts w:ascii="Arial" w:cs="Arial" w:eastAsia="Arial" w:hAnsi="Arial"/>
          <w:sz w:val="14"/>
          <w:szCs w:val="14"/>
          <w:color w:val="auto"/>
        </w:rPr>
      </w:pPr>
    </w:p>
    <w:p>
      <w:pPr>
        <w:ind w:left="520" w:right="20" w:hanging="316"/>
        <w:spacing w:after="0" w:line="291"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 w:lineRule="exact"/>
        <w:rPr>
          <w:rFonts w:ascii="Arial" w:cs="Arial" w:eastAsia="Arial" w:hAnsi="Arial"/>
          <w:sz w:val="14"/>
          <w:szCs w:val="14"/>
          <w:color w:val="auto"/>
        </w:rPr>
      </w:pPr>
    </w:p>
    <w:p>
      <w:pPr>
        <w:ind w:left="520" w:right="120" w:hanging="316"/>
        <w:spacing w:after="0" w:line="266"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 of the severance payment under Mr. Chandrashekar’s severance agreement is equal to his annual base salary at the highest rate in effect during the term of the agreement (here, $627,849) and his prorated target annual incentive for the fiscal year in which the termination occurs (here, $470,887). In a double-trigger scenario, the amount of his severance payment is multiplied by two.</w:t>
      </w:r>
    </w:p>
    <w:p>
      <w:pPr>
        <w:spacing w:after="0" w:line="18" w:lineRule="exact"/>
        <w:rPr>
          <w:rFonts w:ascii="Arial" w:cs="Arial" w:eastAsia="Arial" w:hAnsi="Arial"/>
          <w:sz w:val="14"/>
          <w:szCs w:val="14"/>
          <w:color w:val="auto"/>
        </w:rPr>
      </w:pPr>
    </w:p>
    <w:p>
      <w:pPr>
        <w:ind w:left="520" w:right="20" w:hanging="316"/>
        <w:spacing w:after="0" w:line="251"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2017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2017, immediately before the incentive was earned, so as not to understate the potential value of the benefit upon the applicable termination of employment. Note that an incentive amount has also been reported as 2017 compensation for him in the Summary Compensation Table, as well as in the Grants of Plan-Based Awards Table.</w:t>
      </w:r>
    </w:p>
    <w:p>
      <w:pPr>
        <w:spacing w:after="0" w:line="29" w:lineRule="exact"/>
        <w:rPr>
          <w:rFonts w:ascii="Arial" w:cs="Arial" w:eastAsia="Arial" w:hAnsi="Arial"/>
          <w:sz w:val="14"/>
          <w:szCs w:val="14"/>
          <w:color w:val="auto"/>
        </w:rPr>
      </w:pPr>
    </w:p>
    <w:p>
      <w:pPr>
        <w:ind w:left="520" w:right="300" w:hanging="316"/>
        <w:spacing w:after="0" w:line="291"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2017 ($126.11) and the exercise price of each unvested stock option held by Mr. Chandrashekar on such date.</w:t>
      </w:r>
    </w:p>
    <w:p>
      <w:pPr>
        <w:spacing w:after="0" w:line="1" w:lineRule="exact"/>
        <w:rPr>
          <w:rFonts w:ascii="Arial" w:cs="Arial" w:eastAsia="Arial" w:hAnsi="Arial"/>
          <w:sz w:val="14"/>
          <w:szCs w:val="14"/>
          <w:color w:val="auto"/>
        </w:rPr>
      </w:pPr>
    </w:p>
    <w:p>
      <w:pPr>
        <w:ind w:left="520" w:right="60" w:hanging="316"/>
        <w:spacing w:after="0" w:line="249"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value of performance share units is illustrated here by measuring the value of the number of shares payable under outstanding awards (2015, 2016 and 2017 grants) using the closing stock price on December 31, 2017 ($126.11). In the case of a change of control, the payout is shown based on the number of shares earned based on actual performance for the 2015 award and assuming the Committee would determine the amount of shares earned relating to the 2016 and 2017 awards will equal the target award. In the case of a death or disability, the payout is shown based on the target awards for 2015, 2016 and 2017. Although the performance share units for the 2015 grant vested on December 31, 2017, the values shown in the table above were calculated to illustrate the value of vesting in the event of an applicable termination occurring on December 31, 2017, immediately before vesting, and includes the performance shares that vested on that date so as not to understate the potential value of an acceleration upon the applicable termination of employment.</w:t>
      </w:r>
    </w:p>
    <w:p>
      <w:pPr>
        <w:spacing w:after="0" w:line="32" w:lineRule="exact"/>
        <w:rPr>
          <w:rFonts w:ascii="Arial" w:cs="Arial" w:eastAsia="Arial" w:hAnsi="Arial"/>
          <w:sz w:val="14"/>
          <w:szCs w:val="14"/>
          <w:color w:val="auto"/>
        </w:rPr>
      </w:pPr>
    </w:p>
    <w:p>
      <w:pPr>
        <w:ind w:left="520" w:right="180" w:hanging="316"/>
        <w:spacing w:after="0" w:line="291"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2017 ($126.11).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70</w:t>
      </w:r>
    </w:p>
    <w:p>
      <w:pPr>
        <w:sectPr>
          <w:pgSz w:w="11900" w:h="16838" w:orient="portrait"/>
          <w:cols w:equalWidth="0" w:num="1">
            <w:col w:w="11240"/>
          </w:cols>
          <w:pgMar w:left="240" w:top="455" w:right="41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Mara E. Swan, EVP, Global Strategy and Talent (1)</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3520" w:type="dxa"/>
            <w:vAlign w:val="bottom"/>
            <w:tcBorders>
              <w:top w:val="single" w:sz="8" w:color="auto"/>
            </w:tcBorders>
            <w:shd w:val="clear" w:color="auto" w:fill="9DB8D2"/>
          </w:tcPr>
          <w:p>
            <w:pPr>
              <w:spacing w:after="0"/>
              <w:rPr>
                <w:sz w:val="22"/>
                <w:szCs w:val="22"/>
                <w:color w:val="auto"/>
              </w:rPr>
            </w:pPr>
          </w:p>
        </w:tc>
        <w:tc>
          <w:tcPr>
            <w:tcW w:w="180" w:type="dxa"/>
            <w:vAlign w:val="bottom"/>
            <w:tcBorders>
              <w:top w:val="single" w:sz="8" w:color="auto"/>
            </w:tcBorders>
            <w:shd w:val="clear" w:color="auto" w:fill="9DB8D2"/>
          </w:tcPr>
          <w:p>
            <w:pPr>
              <w:spacing w:after="0"/>
              <w:rPr>
                <w:sz w:val="22"/>
                <w:szCs w:val="22"/>
                <w:color w:val="auto"/>
              </w:rPr>
            </w:pPr>
          </w:p>
        </w:tc>
        <w:tc>
          <w:tcPr>
            <w:tcW w:w="78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spacing w:after="0"/>
              <w:rPr>
                <w:sz w:val="22"/>
                <w:szCs w:val="22"/>
                <w:color w:val="auto"/>
              </w:rPr>
            </w:pPr>
          </w:p>
        </w:tc>
        <w:tc>
          <w:tcPr>
            <w:tcW w:w="24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24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Double</w:t>
            </w:r>
          </w:p>
        </w:tc>
        <w:tc>
          <w:tcPr>
            <w:tcW w:w="26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c>
          <w:tcPr>
            <w:tcW w:w="240" w:type="dxa"/>
            <w:vAlign w:val="bottom"/>
            <w:tcBorders>
              <w:top w:val="single" w:sz="8" w:color="auto"/>
            </w:tcBorders>
            <w:shd w:val="clear" w:color="auto" w:fill="9DB8D2"/>
          </w:tcPr>
          <w:p>
            <w:pPr>
              <w:spacing w:after="0"/>
              <w:rPr>
                <w:sz w:val="22"/>
                <w:szCs w:val="22"/>
                <w:color w:val="auto"/>
              </w:rPr>
            </w:pPr>
          </w:p>
        </w:tc>
        <w:tc>
          <w:tcPr>
            <w:tcW w:w="720" w:type="dxa"/>
            <w:vAlign w:val="bottom"/>
            <w:tcBorders>
              <w:top w:val="single" w:sz="8" w:color="auto"/>
            </w:tcBorders>
            <w:shd w:val="clear" w:color="auto" w:fill="9DB8D2"/>
          </w:tcPr>
          <w:p>
            <w:pPr>
              <w:spacing w:after="0"/>
              <w:rPr>
                <w:sz w:val="22"/>
                <w:szCs w:val="22"/>
                <w:color w:val="auto"/>
              </w:rPr>
            </w:pPr>
          </w:p>
        </w:tc>
        <w:tc>
          <w:tcPr>
            <w:tcW w:w="20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r>
      <w:tr>
        <w:trPr>
          <w:trHeight w:val="162"/>
        </w:trPr>
        <w:tc>
          <w:tcPr>
            <w:tcW w:w="3520" w:type="dxa"/>
            <w:vAlign w:val="bottom"/>
            <w:shd w:val="clear" w:color="auto" w:fill="9DB8D2"/>
          </w:tcPr>
          <w:p>
            <w:pPr>
              <w:spacing w:after="0"/>
              <w:rPr>
                <w:sz w:val="14"/>
                <w:szCs w:val="14"/>
                <w:color w:val="auto"/>
              </w:rPr>
            </w:pPr>
          </w:p>
        </w:tc>
        <w:tc>
          <w:tcPr>
            <w:tcW w:w="18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4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24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Trigger</w:t>
            </w:r>
          </w:p>
        </w:tc>
        <w:tc>
          <w:tcPr>
            <w:tcW w:w="26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c>
          <w:tcPr>
            <w:tcW w:w="240" w:type="dxa"/>
            <w:vAlign w:val="bottom"/>
            <w:shd w:val="clear" w:color="auto" w:fill="9DB8D2"/>
          </w:tcPr>
          <w:p>
            <w:pPr>
              <w:spacing w:after="0"/>
              <w:rPr>
                <w:sz w:val="14"/>
                <w:szCs w:val="14"/>
                <w:color w:val="auto"/>
              </w:rPr>
            </w:pPr>
          </w:p>
        </w:tc>
        <w:tc>
          <w:tcPr>
            <w:tcW w:w="72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3520" w:type="dxa"/>
            <w:vAlign w:val="bottom"/>
            <w:shd w:val="clear" w:color="auto" w:fill="9DB8D2"/>
          </w:tcPr>
          <w:p>
            <w:pPr>
              <w:spacing w:after="0"/>
              <w:rPr>
                <w:sz w:val="14"/>
                <w:szCs w:val="14"/>
                <w:color w:val="auto"/>
              </w:rPr>
            </w:pPr>
          </w:p>
        </w:tc>
        <w:tc>
          <w:tcPr>
            <w:tcW w:w="18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4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or Good</w:t>
            </w:r>
          </w:p>
        </w:tc>
        <w:tc>
          <w:tcPr>
            <w:tcW w:w="24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26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c>
          <w:tcPr>
            <w:tcW w:w="240" w:type="dxa"/>
            <w:vAlign w:val="bottom"/>
            <w:shd w:val="clear" w:color="auto" w:fill="9DB8D2"/>
          </w:tcPr>
          <w:p>
            <w:pPr>
              <w:spacing w:after="0"/>
              <w:rPr>
                <w:sz w:val="14"/>
                <w:szCs w:val="14"/>
                <w:color w:val="auto"/>
              </w:rPr>
            </w:pPr>
          </w:p>
        </w:tc>
        <w:tc>
          <w:tcPr>
            <w:tcW w:w="72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162"/>
        </w:trPr>
        <w:tc>
          <w:tcPr>
            <w:tcW w:w="3520" w:type="dxa"/>
            <w:vAlign w:val="bottom"/>
            <w:shd w:val="clear" w:color="auto" w:fill="9DB8D2"/>
          </w:tcPr>
          <w:p>
            <w:pPr>
              <w:spacing w:after="0"/>
              <w:rPr>
                <w:sz w:val="14"/>
                <w:szCs w:val="14"/>
                <w:color w:val="auto"/>
              </w:rPr>
            </w:pPr>
          </w:p>
        </w:tc>
        <w:tc>
          <w:tcPr>
            <w:tcW w:w="18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1100" w:type="dxa"/>
            <w:vAlign w:val="bottom"/>
            <w:gridSpan w:val="2"/>
            <w:shd w:val="clear" w:color="auto" w:fill="9DB8D2"/>
          </w:tcPr>
          <w:p>
            <w:pPr>
              <w:jc w:val="center"/>
              <w:ind w:left="161"/>
              <w:spacing w:after="0"/>
              <w:rPr>
                <w:sz w:val="20"/>
                <w:szCs w:val="20"/>
                <w:color w:val="auto"/>
              </w:rPr>
            </w:pPr>
            <w:r>
              <w:rPr>
                <w:rFonts w:ascii="Arial" w:cs="Arial" w:eastAsia="Arial" w:hAnsi="Arial"/>
                <w:sz w:val="14"/>
                <w:szCs w:val="14"/>
                <w:b w:val="1"/>
                <w:bCs w:val="1"/>
                <w:color w:val="auto"/>
              </w:rPr>
              <w:t>Reason – no</w:t>
            </w:r>
          </w:p>
        </w:tc>
        <w:tc>
          <w:tcPr>
            <w:tcW w:w="1100" w:type="dxa"/>
            <w:vAlign w:val="bottom"/>
            <w:gridSpan w:val="2"/>
            <w:shd w:val="clear" w:color="auto" w:fill="9DB8D2"/>
          </w:tcPr>
          <w:p>
            <w:pPr>
              <w:jc w:val="center"/>
              <w:ind w:left="161"/>
              <w:spacing w:after="0"/>
              <w:rPr>
                <w:sz w:val="20"/>
                <w:szCs w:val="20"/>
                <w:color w:val="auto"/>
              </w:rPr>
            </w:pPr>
            <w:r>
              <w:rPr>
                <w:rFonts w:ascii="Arial" w:cs="Arial" w:eastAsia="Arial" w:hAnsi="Arial"/>
                <w:sz w:val="14"/>
                <w:szCs w:val="14"/>
                <w:b w:val="1"/>
                <w:bCs w:val="1"/>
                <w:color w:val="auto"/>
              </w:rPr>
              <w:t>Termination)</w:t>
            </w:r>
          </w:p>
        </w:tc>
        <w:tc>
          <w:tcPr>
            <w:tcW w:w="26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c>
          <w:tcPr>
            <w:tcW w:w="240" w:type="dxa"/>
            <w:vAlign w:val="bottom"/>
            <w:shd w:val="clear" w:color="auto" w:fill="9DB8D2"/>
          </w:tcPr>
          <w:p>
            <w:pPr>
              <w:spacing w:after="0"/>
              <w:rPr>
                <w:sz w:val="14"/>
                <w:szCs w:val="14"/>
                <w:color w:val="auto"/>
              </w:rPr>
            </w:pPr>
          </w:p>
        </w:tc>
        <w:tc>
          <w:tcPr>
            <w:tcW w:w="7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For</w:t>
            </w:r>
          </w:p>
        </w:tc>
        <w:tc>
          <w:tcPr>
            <w:tcW w:w="200" w:type="dxa"/>
            <w:vAlign w:val="bottom"/>
            <w:shd w:val="clear" w:color="auto" w:fill="9DB8D2"/>
          </w:tcPr>
          <w:p>
            <w:pPr>
              <w:spacing w:after="0"/>
              <w:rPr>
                <w:sz w:val="14"/>
                <w:szCs w:val="14"/>
                <w:color w:val="auto"/>
              </w:rPr>
            </w:pPr>
          </w:p>
        </w:tc>
        <w:tc>
          <w:tcPr>
            <w:tcW w:w="920" w:type="dxa"/>
            <w:vAlign w:val="bottom"/>
            <w:shd w:val="clear" w:color="auto" w:fill="9DB8D2"/>
          </w:tcPr>
          <w:p>
            <w:pPr>
              <w:spacing w:after="0"/>
              <w:rPr>
                <w:sz w:val="14"/>
                <w:szCs w:val="14"/>
                <w:color w:val="auto"/>
              </w:rPr>
            </w:pPr>
          </w:p>
        </w:tc>
      </w:tr>
      <w:tr>
        <w:trPr>
          <w:trHeight w:val="236"/>
        </w:trPr>
        <w:tc>
          <w:tcPr>
            <w:tcW w:w="3520" w:type="dxa"/>
            <w:vAlign w:val="bottom"/>
            <w:tcBorders>
              <w:bottom w:val="single" w:sz="8" w:color="9DB8D2"/>
            </w:tcBorders>
            <w:shd w:val="clear" w:color="auto" w:fill="9DB8D2"/>
          </w:tcPr>
          <w:p>
            <w:pPr>
              <w:spacing w:after="0"/>
              <w:rPr>
                <w:sz w:val="20"/>
                <w:szCs w:val="20"/>
                <w:color w:val="auto"/>
              </w:rPr>
            </w:pPr>
          </w:p>
        </w:tc>
        <w:tc>
          <w:tcPr>
            <w:tcW w:w="180" w:type="dxa"/>
            <w:vAlign w:val="bottom"/>
            <w:tcBorders>
              <w:bottom w:val="single" w:sz="8" w:color="9DB8D2"/>
            </w:tcBorders>
            <w:shd w:val="clear" w:color="auto" w:fill="9DB8D2"/>
          </w:tcPr>
          <w:p>
            <w:pPr>
              <w:spacing w:after="0"/>
              <w:rPr>
                <w:sz w:val="20"/>
                <w:szCs w:val="20"/>
                <w:color w:val="auto"/>
              </w:rPr>
            </w:pPr>
          </w:p>
        </w:tc>
        <w:tc>
          <w:tcPr>
            <w:tcW w:w="780" w:type="dxa"/>
            <w:vAlign w:val="bottom"/>
            <w:tcBorders>
              <w:bottom w:val="single" w:sz="8" w:color="9DB8D2"/>
            </w:tcBorders>
            <w:shd w:val="clear" w:color="auto" w:fill="9DB8D2"/>
          </w:tcPr>
          <w:p>
            <w:pPr>
              <w:jc w:val="right"/>
              <w:ind w:right="21"/>
              <w:spacing w:after="0"/>
              <w:rPr>
                <w:sz w:val="20"/>
                <w:szCs w:val="20"/>
                <w:color w:val="auto"/>
              </w:rPr>
            </w:pPr>
            <w:r>
              <w:rPr>
                <w:rFonts w:ascii="Arial" w:cs="Arial" w:eastAsia="Arial" w:hAnsi="Arial"/>
                <w:sz w:val="14"/>
                <w:szCs w:val="14"/>
                <w:b w:val="1"/>
                <w:bCs w:val="1"/>
                <w:color w:val="auto"/>
              </w:rPr>
              <w:t>Death($)</w:t>
            </w:r>
          </w:p>
        </w:tc>
        <w:tc>
          <w:tcPr>
            <w:tcW w:w="1080" w:type="dxa"/>
            <w:vAlign w:val="bottom"/>
            <w:tcBorders>
              <w:bottom w:val="single" w:sz="8" w:color="9DB8D2"/>
            </w:tcBorders>
            <w:gridSpan w:val="2"/>
            <w:shd w:val="clear" w:color="auto" w:fill="9DB8D2"/>
          </w:tcPr>
          <w:p>
            <w:pPr>
              <w:jc w:val="right"/>
              <w:spacing w:after="0"/>
              <w:rPr>
                <w:sz w:val="20"/>
                <w:szCs w:val="20"/>
                <w:color w:val="auto"/>
              </w:rPr>
            </w:pPr>
            <w:r>
              <w:rPr>
                <w:rFonts w:ascii="Arial" w:cs="Arial" w:eastAsia="Arial" w:hAnsi="Arial"/>
                <w:sz w:val="14"/>
                <w:szCs w:val="14"/>
                <w:b w:val="1"/>
                <w:bCs w:val="1"/>
                <w:color w:val="auto"/>
              </w:rPr>
              <w:t>Disability($)</w:t>
            </w:r>
          </w:p>
        </w:tc>
        <w:tc>
          <w:tcPr>
            <w:tcW w:w="240" w:type="dxa"/>
            <w:vAlign w:val="bottom"/>
            <w:tcBorders>
              <w:bottom w:val="single" w:sz="8" w:color="9DB8D2"/>
            </w:tcBorders>
            <w:shd w:val="clear" w:color="auto" w:fill="9DB8D2"/>
          </w:tcPr>
          <w:p>
            <w:pPr>
              <w:spacing w:after="0"/>
              <w:rPr>
                <w:sz w:val="20"/>
                <w:szCs w:val="20"/>
                <w:color w:val="auto"/>
              </w:rPr>
            </w:pPr>
          </w:p>
        </w:tc>
        <w:tc>
          <w:tcPr>
            <w:tcW w:w="86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100" w:type="dxa"/>
            <w:vAlign w:val="bottom"/>
            <w:tcBorders>
              <w:bottom w:val="single" w:sz="8" w:color="9DB8D2"/>
            </w:tcBorders>
            <w:gridSpan w:val="2"/>
            <w:shd w:val="clear" w:color="auto" w:fill="9DB8D2"/>
          </w:tcPr>
          <w:p>
            <w:pPr>
              <w:jc w:val="center"/>
              <w:ind w:left="161"/>
              <w:spacing w:after="0"/>
              <w:rPr>
                <w:sz w:val="20"/>
                <w:szCs w:val="20"/>
                <w:color w:val="auto"/>
              </w:rPr>
            </w:pPr>
            <w:r>
              <w:rPr>
                <w:rFonts w:ascii="Arial" w:cs="Arial" w:eastAsia="Arial" w:hAnsi="Arial"/>
                <w:sz w:val="14"/>
                <w:szCs w:val="14"/>
                <w:b w:val="1"/>
                <w:bCs w:val="1"/>
                <w:color w:val="auto"/>
                <w:w w:val="99"/>
              </w:rPr>
              <w:t>($)(2)</w:t>
            </w:r>
          </w:p>
        </w:tc>
        <w:tc>
          <w:tcPr>
            <w:tcW w:w="1180" w:type="dxa"/>
            <w:vAlign w:val="bottom"/>
            <w:tcBorders>
              <w:bottom w:val="single" w:sz="8" w:color="9DB8D2"/>
            </w:tcBorders>
            <w:gridSpan w:val="2"/>
            <w:shd w:val="clear" w:color="auto" w:fill="9DB8D2"/>
          </w:tcPr>
          <w:p>
            <w:pPr>
              <w:jc w:val="right"/>
              <w:spacing w:after="0"/>
              <w:rPr>
                <w:sz w:val="20"/>
                <w:szCs w:val="20"/>
                <w:color w:val="auto"/>
              </w:rPr>
            </w:pPr>
            <w:r>
              <w:rPr>
                <w:rFonts w:ascii="Arial" w:cs="Arial" w:eastAsia="Arial" w:hAnsi="Arial"/>
                <w:sz w:val="14"/>
                <w:szCs w:val="14"/>
                <w:b w:val="1"/>
                <w:bCs w:val="1"/>
                <w:color w:val="auto"/>
              </w:rPr>
              <w:t>Retirement($)</w:t>
            </w:r>
          </w:p>
        </w:tc>
        <w:tc>
          <w:tcPr>
            <w:tcW w:w="240" w:type="dxa"/>
            <w:vAlign w:val="bottom"/>
            <w:tcBorders>
              <w:bottom w:val="single" w:sz="8" w:color="9DB8D2"/>
            </w:tcBorders>
            <w:shd w:val="clear" w:color="auto" w:fill="9DB8D2"/>
          </w:tcPr>
          <w:p>
            <w:pPr>
              <w:spacing w:after="0"/>
              <w:rPr>
                <w:sz w:val="20"/>
                <w:szCs w:val="20"/>
                <w:color w:val="auto"/>
              </w:rPr>
            </w:pPr>
          </w:p>
        </w:tc>
        <w:tc>
          <w:tcPr>
            <w:tcW w:w="72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Cause($)</w:t>
            </w:r>
          </w:p>
        </w:tc>
        <w:tc>
          <w:tcPr>
            <w:tcW w:w="1120" w:type="dxa"/>
            <w:vAlign w:val="bottom"/>
            <w:tcBorders>
              <w:bottom w:val="single" w:sz="8" w:color="9DB8D2"/>
            </w:tcBorders>
            <w:gridSpan w:val="2"/>
            <w:shd w:val="clear" w:color="auto" w:fill="9DB8D2"/>
          </w:tcPr>
          <w:p>
            <w:pPr>
              <w:ind w:left="200"/>
              <w:spacing w:after="0"/>
              <w:rPr>
                <w:sz w:val="20"/>
                <w:szCs w:val="20"/>
                <w:color w:val="auto"/>
              </w:rPr>
            </w:pPr>
            <w:r>
              <w:rPr>
                <w:rFonts w:ascii="Arial" w:cs="Arial" w:eastAsia="Arial" w:hAnsi="Arial"/>
                <w:sz w:val="14"/>
                <w:szCs w:val="14"/>
                <w:b w:val="1"/>
                <w:bCs w:val="1"/>
                <w:color w:val="auto"/>
              </w:rPr>
              <w:t>Voluntary($)</w:t>
            </w:r>
          </w:p>
        </w:tc>
      </w:tr>
      <w:tr>
        <w:trPr>
          <w:trHeight w:val="264"/>
        </w:trPr>
        <w:tc>
          <w:tcPr>
            <w:tcW w:w="3520" w:type="dxa"/>
            <w:vAlign w:val="bottom"/>
            <w:tcBorders>
              <w:top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Severance Payment(3)</w:t>
            </w:r>
          </w:p>
        </w:tc>
        <w:tc>
          <w:tcPr>
            <w:tcW w:w="180" w:type="dxa"/>
            <w:vAlign w:val="bottom"/>
            <w:tcBorders>
              <w:top w:val="single" w:sz="8" w:color="auto"/>
            </w:tcBorders>
            <w:shd w:val="clear" w:color="auto" w:fill="E6EDF3"/>
          </w:tcPr>
          <w:p>
            <w:pPr>
              <w:spacing w:after="0"/>
              <w:rPr>
                <w:sz w:val="22"/>
                <w:szCs w:val="22"/>
                <w:color w:val="auto"/>
              </w:rPr>
            </w:pPr>
          </w:p>
        </w:tc>
        <w:tc>
          <w:tcPr>
            <w:tcW w:w="78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E6EDF3"/>
          </w:tcPr>
          <w:p>
            <w:pPr>
              <w:spacing w:after="0"/>
              <w:rPr>
                <w:sz w:val="22"/>
                <w:szCs w:val="22"/>
                <w:color w:val="auto"/>
              </w:rPr>
            </w:pPr>
          </w:p>
        </w:tc>
        <w:tc>
          <w:tcPr>
            <w:tcW w:w="82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1,067,500</w:t>
            </w:r>
          </w:p>
        </w:tc>
        <w:tc>
          <w:tcPr>
            <w:tcW w:w="110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2,135,000</w:t>
            </w:r>
          </w:p>
        </w:tc>
        <w:tc>
          <w:tcPr>
            <w:tcW w:w="260" w:type="dxa"/>
            <w:vAlign w:val="bottom"/>
            <w:tcBorders>
              <w:top w:val="single" w:sz="8" w:color="auto"/>
            </w:tcBorders>
            <w:shd w:val="clear" w:color="auto" w:fill="E6EDF3"/>
          </w:tcPr>
          <w:p>
            <w:pPr>
              <w:spacing w:after="0"/>
              <w:rPr>
                <w:sz w:val="22"/>
                <w:szCs w:val="22"/>
                <w:color w:val="auto"/>
              </w:rPr>
            </w:pPr>
          </w:p>
        </w:tc>
        <w:tc>
          <w:tcPr>
            <w:tcW w:w="92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E6EDF3"/>
          </w:tcPr>
          <w:p>
            <w:pPr>
              <w:spacing w:after="0"/>
              <w:rPr>
                <w:sz w:val="22"/>
                <w:szCs w:val="22"/>
                <w:color w:val="auto"/>
              </w:rPr>
            </w:pPr>
          </w:p>
        </w:tc>
        <w:tc>
          <w:tcPr>
            <w:tcW w:w="720" w:type="dxa"/>
            <w:vAlign w:val="bottom"/>
            <w:tcBorders>
              <w:top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Borders>
              <w:top w:val="single" w:sz="8" w:color="auto"/>
            </w:tcBorders>
            <w:shd w:val="clear" w:color="auto" w:fill="E6EDF3"/>
          </w:tcPr>
          <w:p>
            <w:pPr>
              <w:spacing w:after="0"/>
              <w:rPr>
                <w:sz w:val="22"/>
                <w:szCs w:val="22"/>
                <w:color w:val="auto"/>
              </w:rPr>
            </w:pPr>
          </w:p>
        </w:tc>
        <w:tc>
          <w:tcPr>
            <w:tcW w:w="920" w:type="dxa"/>
            <w:vAlign w:val="bottom"/>
            <w:tcBorders>
              <w:top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3520" w:type="dxa"/>
            <w:vAlign w:val="bottom"/>
          </w:tcPr>
          <w:p>
            <w:pPr>
              <w:ind w:left="60"/>
              <w:spacing w:after="0"/>
              <w:rPr>
                <w:sz w:val="20"/>
                <w:szCs w:val="20"/>
                <w:color w:val="auto"/>
              </w:rPr>
            </w:pPr>
            <w:r>
              <w:rPr>
                <w:rFonts w:ascii="Arial" w:cs="Arial" w:eastAsia="Arial" w:hAnsi="Arial"/>
                <w:sz w:val="16"/>
                <w:szCs w:val="16"/>
                <w:color w:val="auto"/>
              </w:rPr>
              <w:t>Prorated Incentive(4)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457,500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457,500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485,682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457,500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546,682</w:t>
            </w:r>
          </w:p>
        </w:tc>
        <w:tc>
          <w:tcPr>
            <w:tcW w:w="2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3520" w:type="dxa"/>
            <w:vAlign w:val="bottom"/>
            <w:shd w:val="clear" w:color="auto" w:fill="E6EDF3"/>
          </w:tcPr>
          <w:p>
            <w:pPr>
              <w:ind w:left="60"/>
              <w:spacing w:after="0"/>
              <w:rPr>
                <w:sz w:val="20"/>
                <w:szCs w:val="20"/>
                <w:color w:val="auto"/>
              </w:rPr>
            </w:pPr>
            <w:r>
              <w:rPr>
                <w:rFonts w:ascii="Arial" w:cs="Arial" w:eastAsia="Arial" w:hAnsi="Arial"/>
                <w:sz w:val="16"/>
                <w:szCs w:val="16"/>
                <w:color w:val="auto"/>
              </w:rPr>
              <w:t>Options(5)</w:t>
            </w:r>
          </w:p>
        </w:tc>
        <w:tc>
          <w:tcPr>
            <w:tcW w:w="96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1,164,669</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1,164,669</w:t>
            </w:r>
          </w:p>
        </w:tc>
        <w:tc>
          <w:tcPr>
            <w:tcW w:w="24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1,164,669</w:t>
            </w:r>
          </w:p>
        </w:tc>
        <w:tc>
          <w:tcPr>
            <w:tcW w:w="11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1,164,669</w:t>
            </w:r>
          </w:p>
        </w:tc>
        <w:tc>
          <w:tcPr>
            <w:tcW w:w="24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3520" w:type="dxa"/>
            <w:vAlign w:val="bottom"/>
          </w:tcPr>
          <w:p>
            <w:pPr>
              <w:ind w:left="60"/>
              <w:spacing w:after="0"/>
              <w:rPr>
                <w:sz w:val="20"/>
                <w:szCs w:val="20"/>
                <w:color w:val="auto"/>
              </w:rPr>
            </w:pPr>
            <w:r>
              <w:rPr>
                <w:rFonts w:ascii="Arial" w:cs="Arial" w:eastAsia="Arial" w:hAnsi="Arial"/>
                <w:sz w:val="16"/>
                <w:szCs w:val="16"/>
                <w:color w:val="auto"/>
              </w:rPr>
              <w:t>Performance Share Units(6)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3,443,181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3,443,181</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3,915,085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6,178,507</w:t>
            </w:r>
          </w:p>
        </w:tc>
        <w:tc>
          <w:tcPr>
            <w:tcW w:w="2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3520" w:type="dxa"/>
            <w:vAlign w:val="bottom"/>
            <w:shd w:val="clear" w:color="auto" w:fill="E6EDF3"/>
          </w:tcPr>
          <w:p>
            <w:pPr>
              <w:ind w:left="60"/>
              <w:spacing w:after="0"/>
              <w:rPr>
                <w:sz w:val="20"/>
                <w:szCs w:val="20"/>
                <w:color w:val="auto"/>
              </w:rPr>
            </w:pPr>
            <w:r>
              <w:rPr>
                <w:rFonts w:ascii="Arial" w:cs="Arial" w:eastAsia="Arial" w:hAnsi="Arial"/>
                <w:sz w:val="16"/>
                <w:szCs w:val="16"/>
                <w:color w:val="auto"/>
              </w:rPr>
              <w:t>Restricted Stock Units/Career Shares(7)</w:t>
            </w:r>
          </w:p>
        </w:tc>
        <w:tc>
          <w:tcPr>
            <w:tcW w:w="96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2,080,311</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2,080,311</w:t>
            </w:r>
          </w:p>
        </w:tc>
        <w:tc>
          <w:tcPr>
            <w:tcW w:w="24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2,080,311</w:t>
            </w:r>
          </w:p>
        </w:tc>
        <w:tc>
          <w:tcPr>
            <w:tcW w:w="11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1,192,244</w:t>
            </w:r>
          </w:p>
        </w:tc>
        <w:tc>
          <w:tcPr>
            <w:tcW w:w="24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E6EDF3"/>
          </w:tcPr>
          <w:p>
            <w:pPr>
              <w:spacing w:after="0"/>
              <w:rPr>
                <w:sz w:val="24"/>
                <w:szCs w:val="24"/>
                <w:color w:val="auto"/>
              </w:rPr>
            </w:pPr>
          </w:p>
        </w:tc>
        <w:tc>
          <w:tcPr>
            <w:tcW w:w="92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6"/>
        </w:trPr>
        <w:tc>
          <w:tcPr>
            <w:tcW w:w="3520" w:type="dxa"/>
            <w:vAlign w:val="bottom"/>
          </w:tcPr>
          <w:p>
            <w:pPr>
              <w:ind w:left="60"/>
              <w:spacing w:after="0"/>
              <w:rPr>
                <w:sz w:val="20"/>
                <w:szCs w:val="20"/>
                <w:color w:val="auto"/>
              </w:rPr>
            </w:pPr>
            <w:r>
              <w:rPr>
                <w:rFonts w:ascii="Arial" w:cs="Arial" w:eastAsia="Arial" w:hAnsi="Arial"/>
                <w:sz w:val="16"/>
                <w:szCs w:val="16"/>
                <w:color w:val="auto"/>
              </w:rPr>
              <w:t>Health Benefits</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24,812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38,000</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85"/>
        </w:trPr>
        <w:tc>
          <w:tcPr>
            <w:tcW w:w="3520" w:type="dxa"/>
            <w:vAlign w:val="bottom"/>
            <w:shd w:val="clear" w:color="auto" w:fill="E6EDF3"/>
          </w:tcPr>
          <w:p>
            <w:pPr>
              <w:ind w:left="60"/>
              <w:spacing w:after="0"/>
              <w:rPr>
                <w:sz w:val="20"/>
                <w:szCs w:val="20"/>
                <w:color w:val="auto"/>
              </w:rPr>
            </w:pPr>
            <w:r>
              <w:rPr>
                <w:rFonts w:ascii="Arial" w:cs="Arial" w:eastAsia="Arial" w:hAnsi="Arial"/>
                <w:sz w:val="16"/>
                <w:szCs w:val="16"/>
                <w:color w:val="auto"/>
              </w:rPr>
              <w:t>Outplacement</w:t>
            </w:r>
          </w:p>
        </w:tc>
        <w:tc>
          <w:tcPr>
            <w:tcW w:w="180" w:type="dxa"/>
            <w:vAlign w:val="bottom"/>
            <w:shd w:val="clear" w:color="auto" w:fill="E6EDF3"/>
          </w:tcPr>
          <w:p>
            <w:pPr>
              <w:spacing w:after="0"/>
              <w:rPr>
                <w:sz w:val="24"/>
                <w:szCs w:val="24"/>
                <w:color w:val="auto"/>
              </w:rPr>
            </w:pP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4"/>
                <w:szCs w:val="24"/>
                <w:color w:val="auto"/>
              </w:rPr>
            </w:pPr>
          </w:p>
        </w:tc>
        <w:tc>
          <w:tcPr>
            <w:tcW w:w="8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6EDF3"/>
          </w:tcPr>
          <w:p>
            <w:pPr>
              <w:spacing w:after="0"/>
              <w:rPr>
                <w:sz w:val="24"/>
                <w:szCs w:val="24"/>
                <w:color w:val="auto"/>
              </w:rPr>
            </w:pP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40" w:type="dxa"/>
            <w:vAlign w:val="bottom"/>
            <w:shd w:val="clear" w:color="auto" w:fill="E6EDF3"/>
          </w:tcPr>
          <w:p>
            <w:pPr>
              <w:spacing w:after="0"/>
              <w:rPr>
                <w:sz w:val="24"/>
                <w:szCs w:val="24"/>
                <w:color w:val="auto"/>
              </w:rPr>
            </w:pP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shd w:val="clear" w:color="auto" w:fill="E6EDF3"/>
          </w:tcPr>
          <w:p>
            <w:pPr>
              <w:spacing w:after="0"/>
              <w:rPr>
                <w:sz w:val="24"/>
                <w:szCs w:val="24"/>
                <w:color w:val="auto"/>
              </w:rPr>
            </w:pPr>
          </w:p>
        </w:tc>
        <w:tc>
          <w:tcPr>
            <w:tcW w:w="9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6EDF3"/>
          </w:tcPr>
          <w:p>
            <w:pPr>
              <w:spacing w:after="0"/>
              <w:rPr>
                <w:sz w:val="24"/>
                <w:szCs w:val="24"/>
                <w:color w:val="auto"/>
              </w:rPr>
            </w:pPr>
          </w:p>
        </w:tc>
        <w:tc>
          <w:tcPr>
            <w:tcW w:w="72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E6EDF3"/>
          </w:tcPr>
          <w:p>
            <w:pPr>
              <w:spacing w:after="0"/>
              <w:rPr>
                <w:sz w:val="24"/>
                <w:szCs w:val="24"/>
                <w:color w:val="auto"/>
              </w:rPr>
            </w:pPr>
          </w:p>
        </w:tc>
        <w:tc>
          <w:tcPr>
            <w:tcW w:w="920" w:type="dxa"/>
            <w:vAlign w:val="bottom"/>
            <w:tcBorders>
              <w:bottom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91"/>
        </w:trPr>
        <w:tc>
          <w:tcPr>
            <w:tcW w:w="3520" w:type="dxa"/>
            <w:vAlign w:val="bottom"/>
          </w:tcPr>
          <w:p>
            <w:pPr>
              <w:ind w:left="60"/>
              <w:spacing w:after="0"/>
              <w:rPr>
                <w:sz w:val="20"/>
                <w:szCs w:val="20"/>
                <w:color w:val="auto"/>
              </w:rPr>
            </w:pPr>
            <w:r>
              <w:rPr>
                <w:rFonts w:ascii="Arial" w:cs="Arial" w:eastAsia="Arial" w:hAnsi="Arial"/>
                <w:sz w:val="16"/>
                <w:szCs w:val="16"/>
                <w:color w:val="auto"/>
              </w:rPr>
              <w:t>Total</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7,145,661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7,145,661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1,602,994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9,815,565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9,082,102</w:t>
            </w:r>
          </w:p>
        </w:tc>
        <w:tc>
          <w:tcPr>
            <w:tcW w:w="2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4"/>
                <w:szCs w:val="24"/>
                <w:color w:val="auto"/>
              </w:rPr>
            </w:pPr>
          </w:p>
        </w:tc>
        <w:tc>
          <w:tcPr>
            <w:tcW w:w="92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0"/>
        </w:trPr>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right="460" w:hanging="316"/>
        <w:spacing w:after="0" w:line="291"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On December 11, 2017, ManpowerGroup entered into a new severance agreement with Ms. Swan that replaced her previous agreement, which was set to expire February 10, 2018. The term of Ms. Swan’s severance agreement expires on December 11, 2020.</w:t>
      </w:r>
    </w:p>
    <w:p>
      <w:pPr>
        <w:spacing w:after="0" w:line="1" w:lineRule="exact"/>
        <w:rPr>
          <w:rFonts w:ascii="Arial" w:cs="Arial" w:eastAsia="Arial" w:hAnsi="Arial"/>
          <w:sz w:val="14"/>
          <w:szCs w:val="14"/>
          <w:color w:val="auto"/>
        </w:rPr>
      </w:pPr>
    </w:p>
    <w:p>
      <w:pPr>
        <w:ind w:left="520" w:right="20" w:hanging="316"/>
        <w:spacing w:after="0" w:line="291"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 w:lineRule="exact"/>
        <w:rPr>
          <w:rFonts w:ascii="Arial" w:cs="Arial" w:eastAsia="Arial" w:hAnsi="Arial"/>
          <w:sz w:val="14"/>
          <w:szCs w:val="14"/>
          <w:color w:val="auto"/>
        </w:rPr>
      </w:pPr>
    </w:p>
    <w:p>
      <w:pPr>
        <w:ind w:left="520" w:right="200" w:hanging="316"/>
        <w:spacing w:after="0" w:line="266"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 of the severance payment under Ms. Swan’s severance agreement is equal to her annual base salary at the highest rate in effect during the term of the agreement (here, $610,000) and her prorated target annual incentive for the fiscal year in which the termination occurs (here, $457,500). In a double-trigger scenario, the amount of her severance payment is multiplied by two.</w:t>
      </w:r>
    </w:p>
    <w:p>
      <w:pPr>
        <w:spacing w:after="0" w:line="18" w:lineRule="exact"/>
        <w:rPr>
          <w:rFonts w:ascii="Arial" w:cs="Arial" w:eastAsia="Arial" w:hAnsi="Arial"/>
          <w:sz w:val="14"/>
          <w:szCs w:val="14"/>
          <w:color w:val="auto"/>
        </w:rPr>
      </w:pPr>
    </w:p>
    <w:p>
      <w:pPr>
        <w:ind w:left="520" w:right="60" w:hanging="316"/>
        <w:spacing w:after="0" w:line="249"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 the case of her involuntary termination (other than for cause) or voluntary termination for good reason, the amount of the prorated incentive payable to her under her severance agreement is based on the actual incentive earned for 2017 for the financial objectives and the target amount for the operating objectives. In the event of death, disability, or certain terminations following a change of control, the prorated incentive is based on the target incentive for the year of termination. In the event of retirement, the prorated incentive is based on the actual incentive earned for 2017. No proration has been applied here as this table illustrates the effect of such a termination on December 31, 2017, immediately before the incentive was earned, so as not to understate the potential value of the benefit upon the applicable termination of employment. Note that an incentive amount has also been reported as 2017 compensation for her in the Summary Compensation Table, as well as in the Grants of Plan-Based Awards Table.</w:t>
      </w:r>
    </w:p>
    <w:p>
      <w:pPr>
        <w:spacing w:after="0" w:line="32" w:lineRule="exact"/>
        <w:rPr>
          <w:rFonts w:ascii="Arial" w:cs="Arial" w:eastAsia="Arial" w:hAnsi="Arial"/>
          <w:sz w:val="14"/>
          <w:szCs w:val="14"/>
          <w:color w:val="auto"/>
        </w:rPr>
      </w:pPr>
    </w:p>
    <w:p>
      <w:pPr>
        <w:ind w:left="520" w:right="300" w:hanging="316"/>
        <w:spacing w:after="0" w:line="291"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2017 ($126.11) and the exercise price of each unvested stock option held by Ms. Swan on December 31, 2017.</w:t>
      </w:r>
    </w:p>
    <w:p>
      <w:pPr>
        <w:spacing w:after="0" w:line="1" w:lineRule="exact"/>
        <w:rPr>
          <w:rFonts w:ascii="Arial" w:cs="Arial" w:eastAsia="Arial" w:hAnsi="Arial"/>
          <w:sz w:val="14"/>
          <w:szCs w:val="14"/>
          <w:color w:val="auto"/>
        </w:rPr>
      </w:pPr>
    </w:p>
    <w:p>
      <w:pPr>
        <w:ind w:left="520" w:right="60" w:hanging="316"/>
        <w:spacing w:after="0" w:line="248"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value of performance share units is illustrated here by measuring the value of the number of shares payable under outstanding awards (2015, 2016 and 2017 grants) using the closing stock price on December 31, 2017 ($126.11). In the case of a change of control, the payout is shown based on the number of shares earned based on actual performance for the 2015 award and assuming the Committee would determine the amount of shares earned relating to the 2016 and 2017 awards will equal the target award. In the case of a death or disability, the payout is shown based on the target awards for 2015, 2016 and 2017. In the case of retirement, the payout is shown based on the number of shares earned based on actual performance for the 2015 award and assuming actual performance for the 2016 and 2017 awards at the outstanding performance level. Although the performance share units for the 2015 grant vested on December 31, 2017, the values shown in the table above were calculated to illustrate the value of vesting in the event of an applicable termination occurring on December 31, 2017, immediately before vesting, and includes the performance shares that vested on that date so as not to understate the potential value of an acceleration upon the applicable termination of employment.</w:t>
      </w:r>
    </w:p>
    <w:p>
      <w:pPr>
        <w:spacing w:after="0" w:line="33" w:lineRule="exact"/>
        <w:rPr>
          <w:rFonts w:ascii="Arial" w:cs="Arial" w:eastAsia="Arial" w:hAnsi="Arial"/>
          <w:sz w:val="14"/>
          <w:szCs w:val="14"/>
          <w:color w:val="auto"/>
        </w:rPr>
      </w:pPr>
    </w:p>
    <w:p>
      <w:pPr>
        <w:ind w:left="520" w:right="180" w:hanging="316"/>
        <w:spacing w:after="0" w:line="291"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2017 ($126.11). In the case of retirement, the career shares would not accelerate.</w:t>
      </w:r>
    </w:p>
    <w:p>
      <w:pPr>
        <w:spacing w:after="0" w:line="61"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71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Director Compensation for 2017</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6040" w:type="dxa"/>
            <w:vAlign w:val="bottom"/>
            <w:tcBorders>
              <w:top w:val="single" w:sz="8" w:color="auto"/>
            </w:tcBorders>
            <w:shd w:val="clear" w:color="auto" w:fill="9DB8D2"/>
          </w:tcPr>
          <w:p>
            <w:pPr>
              <w:spacing w:after="0"/>
              <w:rPr>
                <w:sz w:val="22"/>
                <w:szCs w:val="22"/>
                <w:color w:val="auto"/>
              </w:rPr>
            </w:pPr>
          </w:p>
        </w:tc>
        <w:tc>
          <w:tcPr>
            <w:tcW w:w="2180" w:type="dxa"/>
            <w:vAlign w:val="bottom"/>
            <w:tcBorders>
              <w:top w:val="single" w:sz="8" w:color="auto"/>
            </w:tcBorders>
            <w:shd w:val="clear" w:color="auto" w:fill="9DB8D2"/>
          </w:tcPr>
          <w:p>
            <w:pPr>
              <w:jc w:val="center"/>
              <w:ind w:left="61"/>
              <w:spacing w:after="0"/>
              <w:rPr>
                <w:sz w:val="20"/>
                <w:szCs w:val="20"/>
                <w:color w:val="auto"/>
              </w:rPr>
            </w:pPr>
            <w:r>
              <w:rPr>
                <w:rFonts w:ascii="Arial" w:cs="Arial" w:eastAsia="Arial" w:hAnsi="Arial"/>
                <w:sz w:val="14"/>
                <w:szCs w:val="14"/>
                <w:b w:val="1"/>
                <w:bCs w:val="1"/>
                <w:color w:val="auto"/>
              </w:rPr>
              <w:t>Fees Earned or</w:t>
            </w:r>
          </w:p>
        </w:tc>
        <w:tc>
          <w:tcPr>
            <w:tcW w:w="1780" w:type="dxa"/>
            <w:vAlign w:val="bottom"/>
            <w:tcBorders>
              <w:top w:val="single" w:sz="8" w:color="auto"/>
            </w:tcBorders>
            <w:shd w:val="clear" w:color="auto" w:fill="9DB8D2"/>
          </w:tcPr>
          <w:p>
            <w:pPr>
              <w:spacing w:after="0"/>
              <w:rPr>
                <w:sz w:val="22"/>
                <w:szCs w:val="22"/>
                <w:color w:val="auto"/>
              </w:rPr>
            </w:pPr>
          </w:p>
        </w:tc>
        <w:tc>
          <w:tcPr>
            <w:tcW w:w="1020" w:type="dxa"/>
            <w:vAlign w:val="bottom"/>
            <w:tcBorders>
              <w:top w:val="single" w:sz="8" w:color="auto"/>
            </w:tcBorders>
            <w:shd w:val="clear" w:color="auto" w:fill="9DB8D2"/>
          </w:tcPr>
          <w:p>
            <w:pPr>
              <w:spacing w:after="0"/>
              <w:rPr>
                <w:sz w:val="22"/>
                <w:szCs w:val="22"/>
                <w:color w:val="auto"/>
              </w:rPr>
            </w:pPr>
          </w:p>
        </w:tc>
      </w:tr>
      <w:tr>
        <w:trPr>
          <w:trHeight w:val="162"/>
        </w:trPr>
        <w:tc>
          <w:tcPr>
            <w:tcW w:w="6040" w:type="dxa"/>
            <w:vAlign w:val="bottom"/>
            <w:shd w:val="clear" w:color="auto" w:fill="9DB8D2"/>
          </w:tcPr>
          <w:p>
            <w:pPr>
              <w:spacing w:after="0"/>
              <w:rPr>
                <w:sz w:val="14"/>
                <w:szCs w:val="14"/>
                <w:color w:val="auto"/>
              </w:rPr>
            </w:pPr>
          </w:p>
        </w:tc>
        <w:tc>
          <w:tcPr>
            <w:tcW w:w="2180" w:type="dxa"/>
            <w:vAlign w:val="bottom"/>
            <w:shd w:val="clear" w:color="auto" w:fill="9DB8D2"/>
          </w:tcPr>
          <w:p>
            <w:pPr>
              <w:jc w:val="center"/>
              <w:ind w:left="81"/>
              <w:spacing w:after="0"/>
              <w:rPr>
                <w:sz w:val="20"/>
                <w:szCs w:val="20"/>
                <w:color w:val="auto"/>
              </w:rPr>
            </w:pPr>
            <w:r>
              <w:rPr>
                <w:rFonts w:ascii="Arial" w:cs="Arial" w:eastAsia="Arial" w:hAnsi="Arial"/>
                <w:sz w:val="14"/>
                <w:szCs w:val="14"/>
                <w:b w:val="1"/>
                <w:bCs w:val="1"/>
                <w:color w:val="auto"/>
              </w:rPr>
              <w:t>Paid in Cash</w:t>
            </w:r>
          </w:p>
        </w:tc>
        <w:tc>
          <w:tcPr>
            <w:tcW w:w="1780" w:type="dxa"/>
            <w:vAlign w:val="bottom"/>
            <w:shd w:val="clear" w:color="auto" w:fill="9DB8D2"/>
          </w:tcPr>
          <w:p>
            <w:pPr>
              <w:jc w:val="right"/>
              <w:ind w:right="280"/>
              <w:spacing w:after="0"/>
              <w:rPr>
                <w:sz w:val="20"/>
                <w:szCs w:val="20"/>
                <w:color w:val="auto"/>
              </w:rPr>
            </w:pPr>
            <w:r>
              <w:rPr>
                <w:rFonts w:ascii="Arial" w:cs="Arial" w:eastAsia="Arial" w:hAnsi="Arial"/>
                <w:sz w:val="14"/>
                <w:szCs w:val="14"/>
                <w:b w:val="1"/>
                <w:bCs w:val="1"/>
                <w:color w:val="auto"/>
              </w:rPr>
              <w:t>Stock Awards</w:t>
            </w:r>
          </w:p>
        </w:tc>
        <w:tc>
          <w:tcPr>
            <w:tcW w:w="1020" w:type="dxa"/>
            <w:vAlign w:val="bottom"/>
            <w:shd w:val="clear" w:color="auto" w:fill="9DB8D2"/>
          </w:tcPr>
          <w:p>
            <w:pPr>
              <w:spacing w:after="0"/>
              <w:rPr>
                <w:sz w:val="14"/>
                <w:szCs w:val="14"/>
                <w:color w:val="auto"/>
              </w:rPr>
            </w:pPr>
          </w:p>
        </w:tc>
      </w:tr>
      <w:tr>
        <w:trPr>
          <w:trHeight w:val="191"/>
        </w:trPr>
        <w:tc>
          <w:tcPr>
            <w:tcW w:w="604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w:t>
            </w:r>
          </w:p>
        </w:tc>
        <w:tc>
          <w:tcPr>
            <w:tcW w:w="2180" w:type="dxa"/>
            <w:vAlign w:val="bottom"/>
            <w:tcBorders>
              <w:bottom w:val="single" w:sz="8" w:color="auto"/>
            </w:tcBorders>
            <w:shd w:val="clear" w:color="auto" w:fill="9DB8D2"/>
          </w:tcPr>
          <w:p>
            <w:pPr>
              <w:jc w:val="center"/>
              <w:ind w:left="81"/>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tcBorders>
            <w:shd w:val="clear" w:color="auto" w:fill="9DB8D2"/>
          </w:tcPr>
          <w:p>
            <w:pPr>
              <w:jc w:val="right"/>
              <w:ind w:right="580"/>
              <w:spacing w:after="0"/>
              <w:rPr>
                <w:sz w:val="20"/>
                <w:szCs w:val="20"/>
                <w:color w:val="auto"/>
              </w:rPr>
            </w:pPr>
            <w:r>
              <w:rPr>
                <w:rFonts w:ascii="Arial" w:cs="Arial" w:eastAsia="Arial" w:hAnsi="Arial"/>
                <w:sz w:val="14"/>
                <w:szCs w:val="14"/>
                <w:b w:val="1"/>
                <w:bCs w:val="1"/>
                <w:color w:val="auto"/>
              </w:rPr>
              <w:t>($)(2)</w:t>
            </w:r>
          </w:p>
        </w:tc>
        <w:tc>
          <w:tcPr>
            <w:tcW w:w="1020" w:type="dxa"/>
            <w:vAlign w:val="bottom"/>
            <w:tcBorders>
              <w:bottom w:val="single" w:sz="8" w:color="auto"/>
            </w:tcBorders>
            <w:shd w:val="clear" w:color="auto" w:fill="9DB8D2"/>
          </w:tcPr>
          <w:p>
            <w:pPr>
              <w:jc w:val="right"/>
              <w:ind w:right="20"/>
              <w:spacing w:after="0"/>
              <w:rPr>
                <w:sz w:val="20"/>
                <w:szCs w:val="20"/>
                <w:color w:val="auto"/>
              </w:rPr>
            </w:pPr>
            <w:r>
              <w:rPr>
                <w:rFonts w:ascii="Arial" w:cs="Arial" w:eastAsia="Arial" w:hAnsi="Arial"/>
                <w:sz w:val="14"/>
                <w:szCs w:val="14"/>
                <w:b w:val="1"/>
                <w:bCs w:val="1"/>
                <w:color w:val="auto"/>
              </w:rPr>
              <w:t>Total ($)</w:t>
            </w:r>
          </w:p>
        </w:tc>
      </w:tr>
      <w:tr>
        <w:trPr>
          <w:trHeight w:val="183"/>
        </w:trPr>
        <w:tc>
          <w:tcPr>
            <w:tcW w:w="6040" w:type="dxa"/>
            <w:vAlign w:val="bottom"/>
            <w:shd w:val="clear" w:color="auto" w:fill="E6EDF3"/>
          </w:tcPr>
          <w:p>
            <w:pPr>
              <w:ind w:left="60"/>
              <w:spacing w:after="0" w:line="183" w:lineRule="exact"/>
              <w:rPr>
                <w:sz w:val="20"/>
                <w:szCs w:val="20"/>
                <w:color w:val="auto"/>
              </w:rPr>
            </w:pPr>
            <w:r>
              <w:rPr>
                <w:rFonts w:ascii="Arial" w:cs="Arial" w:eastAsia="Arial" w:hAnsi="Arial"/>
                <w:sz w:val="16"/>
                <w:szCs w:val="16"/>
                <w:color w:val="auto"/>
              </w:rPr>
              <w:t>Gina R. Boswell</w:t>
            </w:r>
          </w:p>
        </w:tc>
        <w:tc>
          <w:tcPr>
            <w:tcW w:w="2180" w:type="dxa"/>
            <w:vAlign w:val="bottom"/>
            <w:shd w:val="clear" w:color="auto" w:fill="E6EDF3"/>
          </w:tcPr>
          <w:p>
            <w:pPr>
              <w:jc w:val="right"/>
              <w:ind w:right="601"/>
              <w:spacing w:after="0" w:line="183" w:lineRule="exact"/>
              <w:rPr>
                <w:sz w:val="20"/>
                <w:szCs w:val="20"/>
                <w:color w:val="auto"/>
              </w:rPr>
            </w:pPr>
            <w:r>
              <w:rPr>
                <w:rFonts w:ascii="Arial" w:cs="Arial" w:eastAsia="Arial" w:hAnsi="Arial"/>
                <w:sz w:val="16"/>
                <w:szCs w:val="16"/>
                <w:color w:val="auto"/>
              </w:rPr>
              <w:t>120,000</w:t>
            </w:r>
          </w:p>
        </w:tc>
        <w:tc>
          <w:tcPr>
            <w:tcW w:w="1780" w:type="dxa"/>
            <w:vAlign w:val="bottom"/>
            <w:shd w:val="clear" w:color="auto" w:fill="E6EDF3"/>
          </w:tcPr>
          <w:p>
            <w:pPr>
              <w:jc w:val="right"/>
              <w:ind w:right="420"/>
              <w:spacing w:after="0" w:line="183" w:lineRule="exact"/>
              <w:rPr>
                <w:sz w:val="20"/>
                <w:szCs w:val="20"/>
                <w:color w:val="auto"/>
              </w:rPr>
            </w:pPr>
            <w:r>
              <w:rPr>
                <w:rFonts w:ascii="Arial" w:cs="Arial" w:eastAsia="Arial" w:hAnsi="Arial"/>
                <w:sz w:val="16"/>
                <w:szCs w:val="16"/>
                <w:color w:val="auto"/>
              </w:rPr>
              <w:t>145,000</w:t>
            </w:r>
          </w:p>
        </w:tc>
        <w:tc>
          <w:tcPr>
            <w:tcW w:w="102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265,000</w:t>
            </w:r>
          </w:p>
        </w:tc>
      </w:tr>
      <w:tr>
        <w:trPr>
          <w:trHeight w:val="189"/>
        </w:trPr>
        <w:tc>
          <w:tcPr>
            <w:tcW w:w="6040" w:type="dxa"/>
            <w:vAlign w:val="bottom"/>
          </w:tcPr>
          <w:p>
            <w:pPr>
              <w:ind w:left="60"/>
              <w:spacing w:after="0"/>
              <w:rPr>
                <w:sz w:val="20"/>
                <w:szCs w:val="20"/>
                <w:color w:val="auto"/>
              </w:rPr>
            </w:pPr>
            <w:r>
              <w:rPr>
                <w:rFonts w:ascii="Arial" w:cs="Arial" w:eastAsia="Arial" w:hAnsi="Arial"/>
                <w:sz w:val="16"/>
                <w:szCs w:val="16"/>
                <w:color w:val="auto"/>
              </w:rPr>
              <w:t>Cari M. Dominguez</w:t>
            </w:r>
          </w:p>
        </w:tc>
        <w:tc>
          <w:tcPr>
            <w:tcW w:w="2180" w:type="dxa"/>
            <w:vAlign w:val="bottom"/>
          </w:tcPr>
          <w:p>
            <w:pPr>
              <w:jc w:val="right"/>
              <w:ind w:right="601"/>
              <w:spacing w:after="0"/>
              <w:rPr>
                <w:sz w:val="20"/>
                <w:szCs w:val="20"/>
                <w:color w:val="auto"/>
              </w:rPr>
            </w:pPr>
            <w:r>
              <w:rPr>
                <w:rFonts w:ascii="Arial" w:cs="Arial" w:eastAsia="Arial" w:hAnsi="Arial"/>
                <w:sz w:val="16"/>
                <w:szCs w:val="16"/>
                <w:color w:val="auto"/>
              </w:rPr>
              <w:t>100,000</w:t>
            </w:r>
          </w:p>
        </w:tc>
        <w:tc>
          <w:tcPr>
            <w:tcW w:w="1780" w:type="dxa"/>
            <w:vAlign w:val="bottom"/>
          </w:tcPr>
          <w:p>
            <w:pPr>
              <w:jc w:val="right"/>
              <w:ind w:right="420"/>
              <w:spacing w:after="0"/>
              <w:rPr>
                <w:sz w:val="20"/>
                <w:szCs w:val="20"/>
                <w:color w:val="auto"/>
              </w:rPr>
            </w:pPr>
            <w:r>
              <w:rPr>
                <w:rFonts w:ascii="Arial" w:cs="Arial" w:eastAsia="Arial" w:hAnsi="Arial"/>
                <w:sz w:val="16"/>
                <w:szCs w:val="16"/>
                <w:color w:val="auto"/>
              </w:rPr>
              <w:t>148,780</w:t>
            </w:r>
          </w:p>
        </w:tc>
        <w:tc>
          <w:tcPr>
            <w:tcW w:w="1020" w:type="dxa"/>
            <w:vAlign w:val="bottom"/>
          </w:tcPr>
          <w:p>
            <w:pPr>
              <w:jc w:val="right"/>
              <w:spacing w:after="0"/>
              <w:rPr>
                <w:sz w:val="20"/>
                <w:szCs w:val="20"/>
                <w:color w:val="auto"/>
              </w:rPr>
            </w:pPr>
            <w:r>
              <w:rPr>
                <w:rFonts w:ascii="Arial" w:cs="Arial" w:eastAsia="Arial" w:hAnsi="Arial"/>
                <w:sz w:val="16"/>
                <w:szCs w:val="16"/>
                <w:color w:val="auto"/>
              </w:rPr>
              <w:t>248,780</w:t>
            </w:r>
          </w:p>
        </w:tc>
      </w:tr>
      <w:tr>
        <w:trPr>
          <w:trHeight w:val="189"/>
        </w:trPr>
        <w:tc>
          <w:tcPr>
            <w:tcW w:w="6040" w:type="dxa"/>
            <w:vAlign w:val="bottom"/>
            <w:shd w:val="clear" w:color="auto" w:fill="E6EDF3"/>
          </w:tcPr>
          <w:p>
            <w:pPr>
              <w:ind w:left="60"/>
              <w:spacing w:after="0"/>
              <w:rPr>
                <w:sz w:val="20"/>
                <w:szCs w:val="20"/>
                <w:color w:val="auto"/>
              </w:rPr>
            </w:pPr>
            <w:r>
              <w:rPr>
                <w:rFonts w:ascii="Arial" w:cs="Arial" w:eastAsia="Arial" w:hAnsi="Arial"/>
                <w:sz w:val="16"/>
                <w:szCs w:val="16"/>
                <w:color w:val="auto"/>
              </w:rPr>
              <w:t>William Downe</w:t>
            </w:r>
          </w:p>
        </w:tc>
        <w:tc>
          <w:tcPr>
            <w:tcW w:w="2180" w:type="dxa"/>
            <w:vAlign w:val="bottom"/>
            <w:shd w:val="clear" w:color="auto" w:fill="E6EDF3"/>
          </w:tcPr>
          <w:p>
            <w:pPr>
              <w:jc w:val="right"/>
              <w:ind w:right="601"/>
              <w:spacing w:after="0"/>
              <w:rPr>
                <w:sz w:val="20"/>
                <w:szCs w:val="20"/>
                <w:color w:val="auto"/>
              </w:rPr>
            </w:pPr>
            <w:r>
              <w:rPr>
                <w:rFonts w:ascii="Arial" w:cs="Arial" w:eastAsia="Arial" w:hAnsi="Arial"/>
                <w:sz w:val="16"/>
                <w:szCs w:val="16"/>
                <w:color w:val="auto"/>
              </w:rPr>
              <w:t>—</w:t>
            </w:r>
          </w:p>
        </w:tc>
        <w:tc>
          <w:tcPr>
            <w:tcW w:w="1780" w:type="dxa"/>
            <w:vAlign w:val="bottom"/>
            <w:shd w:val="clear" w:color="auto" w:fill="E6EDF3"/>
          </w:tcPr>
          <w:p>
            <w:pPr>
              <w:jc w:val="right"/>
              <w:ind w:right="420"/>
              <w:spacing w:after="0"/>
              <w:rPr>
                <w:sz w:val="20"/>
                <w:szCs w:val="20"/>
                <w:color w:val="auto"/>
              </w:rPr>
            </w:pPr>
            <w:r>
              <w:rPr>
                <w:rFonts w:ascii="Arial" w:cs="Arial" w:eastAsia="Arial" w:hAnsi="Arial"/>
                <w:sz w:val="16"/>
                <w:szCs w:val="16"/>
                <w:color w:val="auto"/>
              </w:rPr>
              <w:t>295,455</w:t>
            </w:r>
          </w:p>
        </w:tc>
        <w:tc>
          <w:tcPr>
            <w:tcW w:w="10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295,455</w:t>
            </w:r>
          </w:p>
        </w:tc>
      </w:tr>
      <w:tr>
        <w:trPr>
          <w:trHeight w:val="189"/>
        </w:trPr>
        <w:tc>
          <w:tcPr>
            <w:tcW w:w="6040" w:type="dxa"/>
            <w:vAlign w:val="bottom"/>
          </w:tcPr>
          <w:p>
            <w:pPr>
              <w:ind w:left="60"/>
              <w:spacing w:after="0"/>
              <w:rPr>
                <w:sz w:val="20"/>
                <w:szCs w:val="20"/>
                <w:color w:val="auto"/>
              </w:rPr>
            </w:pPr>
            <w:r>
              <w:rPr>
                <w:rFonts w:ascii="Arial" w:cs="Arial" w:eastAsia="Arial" w:hAnsi="Arial"/>
                <w:sz w:val="16"/>
                <w:szCs w:val="16"/>
                <w:color w:val="auto"/>
              </w:rPr>
              <w:t>John F. Ferraro</w:t>
            </w:r>
          </w:p>
        </w:tc>
        <w:tc>
          <w:tcPr>
            <w:tcW w:w="2180" w:type="dxa"/>
            <w:vAlign w:val="bottom"/>
          </w:tcPr>
          <w:p>
            <w:pPr>
              <w:jc w:val="right"/>
              <w:ind w:right="601"/>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420"/>
              <w:spacing w:after="0"/>
              <w:rPr>
                <w:sz w:val="20"/>
                <w:szCs w:val="20"/>
                <w:color w:val="auto"/>
              </w:rPr>
            </w:pPr>
            <w:r>
              <w:rPr>
                <w:rFonts w:ascii="Arial" w:cs="Arial" w:eastAsia="Arial" w:hAnsi="Arial"/>
                <w:sz w:val="16"/>
                <w:szCs w:val="16"/>
                <w:color w:val="auto"/>
              </w:rPr>
              <w:t>253,590</w:t>
            </w:r>
          </w:p>
        </w:tc>
        <w:tc>
          <w:tcPr>
            <w:tcW w:w="1020" w:type="dxa"/>
            <w:vAlign w:val="bottom"/>
          </w:tcPr>
          <w:p>
            <w:pPr>
              <w:jc w:val="right"/>
              <w:spacing w:after="0"/>
              <w:rPr>
                <w:sz w:val="20"/>
                <w:szCs w:val="20"/>
                <w:color w:val="auto"/>
              </w:rPr>
            </w:pPr>
            <w:r>
              <w:rPr>
                <w:rFonts w:ascii="Arial" w:cs="Arial" w:eastAsia="Arial" w:hAnsi="Arial"/>
                <w:sz w:val="16"/>
                <w:szCs w:val="16"/>
                <w:color w:val="auto"/>
              </w:rPr>
              <w:t>253,590</w:t>
            </w:r>
          </w:p>
        </w:tc>
      </w:tr>
      <w:tr>
        <w:trPr>
          <w:trHeight w:val="189"/>
        </w:trPr>
        <w:tc>
          <w:tcPr>
            <w:tcW w:w="6040" w:type="dxa"/>
            <w:vAlign w:val="bottom"/>
            <w:shd w:val="clear" w:color="auto" w:fill="E6EDF3"/>
          </w:tcPr>
          <w:p>
            <w:pPr>
              <w:ind w:left="60"/>
              <w:spacing w:after="0"/>
              <w:rPr>
                <w:sz w:val="20"/>
                <w:szCs w:val="20"/>
                <w:color w:val="auto"/>
              </w:rPr>
            </w:pPr>
            <w:r>
              <w:rPr>
                <w:rFonts w:ascii="Arial" w:cs="Arial" w:eastAsia="Arial" w:hAnsi="Arial"/>
                <w:sz w:val="16"/>
                <w:szCs w:val="16"/>
                <w:color w:val="auto"/>
              </w:rPr>
              <w:t>Patricia Hemingway Hall</w:t>
            </w:r>
          </w:p>
        </w:tc>
        <w:tc>
          <w:tcPr>
            <w:tcW w:w="2180" w:type="dxa"/>
            <w:vAlign w:val="bottom"/>
            <w:shd w:val="clear" w:color="auto" w:fill="E6EDF3"/>
          </w:tcPr>
          <w:p>
            <w:pPr>
              <w:jc w:val="right"/>
              <w:ind w:right="601"/>
              <w:spacing w:after="0"/>
              <w:rPr>
                <w:sz w:val="20"/>
                <w:szCs w:val="20"/>
                <w:color w:val="auto"/>
              </w:rPr>
            </w:pPr>
            <w:r>
              <w:rPr>
                <w:rFonts w:ascii="Arial" w:cs="Arial" w:eastAsia="Arial" w:hAnsi="Arial"/>
                <w:sz w:val="16"/>
                <w:szCs w:val="16"/>
                <w:color w:val="auto"/>
              </w:rPr>
              <w:t>100,000</w:t>
            </w:r>
          </w:p>
        </w:tc>
        <w:tc>
          <w:tcPr>
            <w:tcW w:w="1780" w:type="dxa"/>
            <w:vAlign w:val="bottom"/>
            <w:shd w:val="clear" w:color="auto" w:fill="E6EDF3"/>
          </w:tcPr>
          <w:p>
            <w:pPr>
              <w:jc w:val="right"/>
              <w:ind w:right="420"/>
              <w:spacing w:after="0"/>
              <w:rPr>
                <w:sz w:val="20"/>
                <w:szCs w:val="20"/>
                <w:color w:val="auto"/>
              </w:rPr>
            </w:pPr>
            <w:r>
              <w:rPr>
                <w:rFonts w:ascii="Arial" w:cs="Arial" w:eastAsia="Arial" w:hAnsi="Arial"/>
                <w:sz w:val="16"/>
                <w:szCs w:val="16"/>
                <w:color w:val="auto"/>
              </w:rPr>
              <w:t>155,079</w:t>
            </w:r>
          </w:p>
        </w:tc>
        <w:tc>
          <w:tcPr>
            <w:tcW w:w="10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255,079</w:t>
            </w:r>
          </w:p>
        </w:tc>
      </w:tr>
      <w:tr>
        <w:trPr>
          <w:trHeight w:val="189"/>
        </w:trPr>
        <w:tc>
          <w:tcPr>
            <w:tcW w:w="6040" w:type="dxa"/>
            <w:vAlign w:val="bottom"/>
          </w:tcPr>
          <w:p>
            <w:pPr>
              <w:ind w:left="60"/>
              <w:spacing w:after="0"/>
              <w:rPr>
                <w:sz w:val="20"/>
                <w:szCs w:val="20"/>
                <w:color w:val="auto"/>
              </w:rPr>
            </w:pPr>
            <w:r>
              <w:rPr>
                <w:rFonts w:ascii="Arial" w:cs="Arial" w:eastAsia="Arial" w:hAnsi="Arial"/>
                <w:sz w:val="16"/>
                <w:szCs w:val="16"/>
                <w:color w:val="auto"/>
              </w:rPr>
              <w:t>Julie M. Howard</w:t>
            </w:r>
          </w:p>
        </w:tc>
        <w:tc>
          <w:tcPr>
            <w:tcW w:w="2180" w:type="dxa"/>
            <w:vAlign w:val="bottom"/>
          </w:tcPr>
          <w:p>
            <w:pPr>
              <w:jc w:val="right"/>
              <w:ind w:right="601"/>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420"/>
              <w:spacing w:after="0"/>
              <w:rPr>
                <w:sz w:val="20"/>
                <w:szCs w:val="20"/>
                <w:color w:val="auto"/>
              </w:rPr>
            </w:pPr>
            <w:r>
              <w:rPr>
                <w:rFonts w:ascii="Arial" w:cs="Arial" w:eastAsia="Arial" w:hAnsi="Arial"/>
                <w:sz w:val="16"/>
                <w:szCs w:val="16"/>
                <w:color w:val="auto"/>
              </w:rPr>
              <w:t>248,207</w:t>
            </w:r>
          </w:p>
        </w:tc>
        <w:tc>
          <w:tcPr>
            <w:tcW w:w="1020" w:type="dxa"/>
            <w:vAlign w:val="bottom"/>
          </w:tcPr>
          <w:p>
            <w:pPr>
              <w:jc w:val="right"/>
              <w:spacing w:after="0"/>
              <w:rPr>
                <w:sz w:val="20"/>
                <w:szCs w:val="20"/>
                <w:color w:val="auto"/>
              </w:rPr>
            </w:pPr>
            <w:r>
              <w:rPr>
                <w:rFonts w:ascii="Arial" w:cs="Arial" w:eastAsia="Arial" w:hAnsi="Arial"/>
                <w:sz w:val="16"/>
                <w:szCs w:val="16"/>
                <w:color w:val="auto"/>
              </w:rPr>
              <w:t>248,207</w:t>
            </w:r>
          </w:p>
        </w:tc>
      </w:tr>
      <w:tr>
        <w:trPr>
          <w:trHeight w:val="189"/>
        </w:trPr>
        <w:tc>
          <w:tcPr>
            <w:tcW w:w="6040" w:type="dxa"/>
            <w:vAlign w:val="bottom"/>
            <w:shd w:val="clear" w:color="auto" w:fill="E6EDF3"/>
          </w:tcPr>
          <w:p>
            <w:pPr>
              <w:ind w:left="60"/>
              <w:spacing w:after="0"/>
              <w:rPr>
                <w:sz w:val="20"/>
                <w:szCs w:val="20"/>
                <w:color w:val="auto"/>
              </w:rPr>
            </w:pPr>
            <w:r>
              <w:rPr>
                <w:rFonts w:ascii="Arial" w:cs="Arial" w:eastAsia="Arial" w:hAnsi="Arial"/>
                <w:sz w:val="16"/>
                <w:szCs w:val="16"/>
                <w:color w:val="auto"/>
              </w:rPr>
              <w:t>Roberto Mendoza</w:t>
            </w:r>
          </w:p>
        </w:tc>
        <w:tc>
          <w:tcPr>
            <w:tcW w:w="2180" w:type="dxa"/>
            <w:vAlign w:val="bottom"/>
            <w:shd w:val="clear" w:color="auto" w:fill="E6EDF3"/>
          </w:tcPr>
          <w:p>
            <w:pPr>
              <w:jc w:val="right"/>
              <w:ind w:right="601"/>
              <w:spacing w:after="0"/>
              <w:rPr>
                <w:sz w:val="20"/>
                <w:szCs w:val="20"/>
                <w:color w:val="auto"/>
              </w:rPr>
            </w:pPr>
            <w:r>
              <w:rPr>
                <w:rFonts w:ascii="Arial" w:cs="Arial" w:eastAsia="Arial" w:hAnsi="Arial"/>
                <w:sz w:val="16"/>
                <w:szCs w:val="16"/>
                <w:color w:val="auto"/>
              </w:rPr>
              <w:t>100,000</w:t>
            </w:r>
          </w:p>
        </w:tc>
        <w:tc>
          <w:tcPr>
            <w:tcW w:w="1780" w:type="dxa"/>
            <w:vAlign w:val="bottom"/>
            <w:shd w:val="clear" w:color="auto" w:fill="E6EDF3"/>
          </w:tcPr>
          <w:p>
            <w:pPr>
              <w:jc w:val="right"/>
              <w:ind w:right="420"/>
              <w:spacing w:after="0"/>
              <w:rPr>
                <w:sz w:val="20"/>
                <w:szCs w:val="20"/>
                <w:color w:val="auto"/>
              </w:rPr>
            </w:pPr>
            <w:r>
              <w:rPr>
                <w:rFonts w:ascii="Arial" w:cs="Arial" w:eastAsia="Arial" w:hAnsi="Arial"/>
                <w:sz w:val="16"/>
                <w:szCs w:val="16"/>
                <w:color w:val="auto"/>
              </w:rPr>
              <w:t>178,216</w:t>
            </w:r>
          </w:p>
        </w:tc>
        <w:tc>
          <w:tcPr>
            <w:tcW w:w="10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278,216</w:t>
            </w:r>
          </w:p>
        </w:tc>
      </w:tr>
      <w:tr>
        <w:trPr>
          <w:trHeight w:val="189"/>
        </w:trPr>
        <w:tc>
          <w:tcPr>
            <w:tcW w:w="6040" w:type="dxa"/>
            <w:vAlign w:val="bottom"/>
          </w:tcPr>
          <w:p>
            <w:pPr>
              <w:ind w:left="60"/>
              <w:spacing w:after="0"/>
              <w:rPr>
                <w:sz w:val="20"/>
                <w:szCs w:val="20"/>
                <w:color w:val="auto"/>
              </w:rPr>
            </w:pPr>
            <w:r>
              <w:rPr>
                <w:rFonts w:ascii="Arial" w:cs="Arial" w:eastAsia="Arial" w:hAnsi="Arial"/>
                <w:sz w:val="16"/>
                <w:szCs w:val="16"/>
                <w:color w:val="auto"/>
              </w:rPr>
              <w:t>Ulice Payne, Jr.</w:t>
            </w:r>
          </w:p>
        </w:tc>
        <w:tc>
          <w:tcPr>
            <w:tcW w:w="2180" w:type="dxa"/>
            <w:vAlign w:val="bottom"/>
          </w:tcPr>
          <w:p>
            <w:pPr>
              <w:jc w:val="right"/>
              <w:ind w:right="601"/>
              <w:spacing w:after="0"/>
              <w:rPr>
                <w:sz w:val="20"/>
                <w:szCs w:val="20"/>
                <w:color w:val="auto"/>
              </w:rPr>
            </w:pPr>
            <w:r>
              <w:rPr>
                <w:rFonts w:ascii="Arial" w:cs="Arial" w:eastAsia="Arial" w:hAnsi="Arial"/>
                <w:sz w:val="16"/>
                <w:szCs w:val="16"/>
                <w:color w:val="auto"/>
              </w:rPr>
              <w:t>115,000</w:t>
            </w:r>
          </w:p>
        </w:tc>
        <w:tc>
          <w:tcPr>
            <w:tcW w:w="1780" w:type="dxa"/>
            <w:vAlign w:val="bottom"/>
          </w:tcPr>
          <w:p>
            <w:pPr>
              <w:jc w:val="right"/>
              <w:ind w:right="420"/>
              <w:spacing w:after="0"/>
              <w:rPr>
                <w:sz w:val="20"/>
                <w:szCs w:val="20"/>
                <w:color w:val="auto"/>
              </w:rPr>
            </w:pPr>
            <w:r>
              <w:rPr>
                <w:rFonts w:ascii="Arial" w:cs="Arial" w:eastAsia="Arial" w:hAnsi="Arial"/>
                <w:sz w:val="16"/>
                <w:szCs w:val="16"/>
                <w:color w:val="auto"/>
              </w:rPr>
              <w:t>145,000</w:t>
            </w:r>
          </w:p>
        </w:tc>
        <w:tc>
          <w:tcPr>
            <w:tcW w:w="1020" w:type="dxa"/>
            <w:vAlign w:val="bottom"/>
          </w:tcPr>
          <w:p>
            <w:pPr>
              <w:jc w:val="right"/>
              <w:spacing w:after="0"/>
              <w:rPr>
                <w:sz w:val="20"/>
                <w:szCs w:val="20"/>
                <w:color w:val="auto"/>
              </w:rPr>
            </w:pPr>
            <w:r>
              <w:rPr>
                <w:rFonts w:ascii="Arial" w:cs="Arial" w:eastAsia="Arial" w:hAnsi="Arial"/>
                <w:sz w:val="16"/>
                <w:szCs w:val="16"/>
                <w:color w:val="auto"/>
              </w:rPr>
              <w:t>260,000</w:t>
            </w:r>
          </w:p>
        </w:tc>
      </w:tr>
      <w:tr>
        <w:trPr>
          <w:trHeight w:val="189"/>
        </w:trPr>
        <w:tc>
          <w:tcPr>
            <w:tcW w:w="6040" w:type="dxa"/>
            <w:vAlign w:val="bottom"/>
            <w:shd w:val="clear" w:color="auto" w:fill="E6EDF3"/>
          </w:tcPr>
          <w:p>
            <w:pPr>
              <w:ind w:left="60"/>
              <w:spacing w:after="0"/>
              <w:rPr>
                <w:sz w:val="20"/>
                <w:szCs w:val="20"/>
                <w:color w:val="auto"/>
              </w:rPr>
            </w:pPr>
            <w:r>
              <w:rPr>
                <w:rFonts w:ascii="Arial" w:cs="Arial" w:eastAsia="Arial" w:hAnsi="Arial"/>
                <w:sz w:val="16"/>
                <w:szCs w:val="16"/>
                <w:color w:val="auto"/>
              </w:rPr>
              <w:t>Paul Read</w:t>
            </w:r>
          </w:p>
        </w:tc>
        <w:tc>
          <w:tcPr>
            <w:tcW w:w="2180" w:type="dxa"/>
            <w:vAlign w:val="bottom"/>
            <w:shd w:val="clear" w:color="auto" w:fill="E6EDF3"/>
          </w:tcPr>
          <w:p>
            <w:pPr>
              <w:jc w:val="right"/>
              <w:ind w:right="601"/>
              <w:spacing w:after="0"/>
              <w:rPr>
                <w:sz w:val="20"/>
                <w:szCs w:val="20"/>
                <w:color w:val="auto"/>
              </w:rPr>
            </w:pPr>
            <w:r>
              <w:rPr>
                <w:rFonts w:ascii="Arial" w:cs="Arial" w:eastAsia="Arial" w:hAnsi="Arial"/>
                <w:sz w:val="16"/>
                <w:szCs w:val="16"/>
                <w:color w:val="auto"/>
              </w:rPr>
              <w:t>100,000</w:t>
            </w:r>
          </w:p>
        </w:tc>
        <w:tc>
          <w:tcPr>
            <w:tcW w:w="1780" w:type="dxa"/>
            <w:vAlign w:val="bottom"/>
            <w:shd w:val="clear" w:color="auto" w:fill="E6EDF3"/>
          </w:tcPr>
          <w:p>
            <w:pPr>
              <w:jc w:val="right"/>
              <w:ind w:right="420"/>
              <w:spacing w:after="0"/>
              <w:rPr>
                <w:sz w:val="20"/>
                <w:szCs w:val="20"/>
                <w:color w:val="auto"/>
              </w:rPr>
            </w:pPr>
            <w:r>
              <w:rPr>
                <w:rFonts w:ascii="Arial" w:cs="Arial" w:eastAsia="Arial" w:hAnsi="Arial"/>
                <w:sz w:val="16"/>
                <w:szCs w:val="16"/>
                <w:color w:val="auto"/>
              </w:rPr>
              <w:t>145,115</w:t>
            </w:r>
          </w:p>
        </w:tc>
        <w:tc>
          <w:tcPr>
            <w:tcW w:w="10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245,115</w:t>
            </w:r>
          </w:p>
        </w:tc>
      </w:tr>
      <w:tr>
        <w:trPr>
          <w:trHeight w:val="189"/>
        </w:trPr>
        <w:tc>
          <w:tcPr>
            <w:tcW w:w="6040" w:type="dxa"/>
            <w:vAlign w:val="bottom"/>
          </w:tcPr>
          <w:p>
            <w:pPr>
              <w:ind w:left="60"/>
              <w:spacing w:after="0"/>
              <w:rPr>
                <w:sz w:val="20"/>
                <w:szCs w:val="20"/>
                <w:color w:val="auto"/>
              </w:rPr>
            </w:pPr>
            <w:r>
              <w:rPr>
                <w:rFonts w:ascii="Arial" w:cs="Arial" w:eastAsia="Arial" w:hAnsi="Arial"/>
                <w:sz w:val="16"/>
                <w:szCs w:val="16"/>
                <w:color w:val="auto"/>
              </w:rPr>
              <w:t>Elizabeth P. Sartain</w:t>
            </w:r>
          </w:p>
        </w:tc>
        <w:tc>
          <w:tcPr>
            <w:tcW w:w="2180" w:type="dxa"/>
            <w:vAlign w:val="bottom"/>
          </w:tcPr>
          <w:p>
            <w:pPr>
              <w:jc w:val="right"/>
              <w:ind w:right="601"/>
              <w:spacing w:after="0"/>
              <w:rPr>
                <w:sz w:val="20"/>
                <w:szCs w:val="20"/>
                <w:color w:val="auto"/>
              </w:rPr>
            </w:pPr>
            <w:r>
              <w:rPr>
                <w:rFonts w:ascii="Arial" w:cs="Arial" w:eastAsia="Arial" w:hAnsi="Arial"/>
                <w:sz w:val="16"/>
                <w:szCs w:val="16"/>
                <w:color w:val="auto"/>
              </w:rPr>
              <w:t>100,000</w:t>
            </w:r>
          </w:p>
        </w:tc>
        <w:tc>
          <w:tcPr>
            <w:tcW w:w="1780" w:type="dxa"/>
            <w:vAlign w:val="bottom"/>
          </w:tcPr>
          <w:p>
            <w:pPr>
              <w:jc w:val="right"/>
              <w:ind w:right="420"/>
              <w:spacing w:after="0"/>
              <w:rPr>
                <w:sz w:val="20"/>
                <w:szCs w:val="20"/>
                <w:color w:val="auto"/>
              </w:rPr>
            </w:pPr>
            <w:r>
              <w:rPr>
                <w:rFonts w:ascii="Arial" w:cs="Arial" w:eastAsia="Arial" w:hAnsi="Arial"/>
                <w:sz w:val="16"/>
                <w:szCs w:val="16"/>
                <w:color w:val="auto"/>
              </w:rPr>
              <w:t>145,000</w:t>
            </w:r>
          </w:p>
        </w:tc>
        <w:tc>
          <w:tcPr>
            <w:tcW w:w="1020" w:type="dxa"/>
            <w:vAlign w:val="bottom"/>
          </w:tcPr>
          <w:p>
            <w:pPr>
              <w:jc w:val="right"/>
              <w:spacing w:after="0"/>
              <w:rPr>
                <w:sz w:val="20"/>
                <w:szCs w:val="20"/>
                <w:color w:val="auto"/>
              </w:rPr>
            </w:pPr>
            <w:r>
              <w:rPr>
                <w:rFonts w:ascii="Arial" w:cs="Arial" w:eastAsia="Arial" w:hAnsi="Arial"/>
                <w:sz w:val="16"/>
                <w:szCs w:val="16"/>
                <w:color w:val="auto"/>
              </w:rPr>
              <w:t>245,000</w:t>
            </w:r>
          </w:p>
        </w:tc>
      </w:tr>
      <w:tr>
        <w:trPr>
          <w:trHeight w:val="189"/>
        </w:trPr>
        <w:tc>
          <w:tcPr>
            <w:tcW w:w="6040" w:type="dxa"/>
            <w:vAlign w:val="bottom"/>
            <w:shd w:val="clear" w:color="auto" w:fill="E6EDF3"/>
          </w:tcPr>
          <w:p>
            <w:pPr>
              <w:ind w:left="60"/>
              <w:spacing w:after="0"/>
              <w:rPr>
                <w:sz w:val="20"/>
                <w:szCs w:val="20"/>
                <w:color w:val="auto"/>
              </w:rPr>
            </w:pPr>
            <w:r>
              <w:rPr>
                <w:rFonts w:ascii="Arial" w:cs="Arial" w:eastAsia="Arial" w:hAnsi="Arial"/>
                <w:sz w:val="16"/>
                <w:szCs w:val="16"/>
                <w:color w:val="auto"/>
              </w:rPr>
              <w:t>Michael J. Van Handel(1)</w:t>
            </w:r>
          </w:p>
        </w:tc>
        <w:tc>
          <w:tcPr>
            <w:tcW w:w="2180" w:type="dxa"/>
            <w:vAlign w:val="bottom"/>
            <w:shd w:val="clear" w:color="auto" w:fill="E6EDF3"/>
          </w:tcPr>
          <w:p>
            <w:pPr>
              <w:jc w:val="right"/>
              <w:ind w:right="601"/>
              <w:spacing w:after="0"/>
              <w:rPr>
                <w:sz w:val="20"/>
                <w:szCs w:val="20"/>
                <w:color w:val="auto"/>
              </w:rPr>
            </w:pPr>
            <w:r>
              <w:rPr>
                <w:rFonts w:ascii="Arial" w:cs="Arial" w:eastAsia="Arial" w:hAnsi="Arial"/>
                <w:sz w:val="16"/>
                <w:szCs w:val="16"/>
                <w:color w:val="auto"/>
              </w:rPr>
              <w:t>5,753</w:t>
            </w:r>
          </w:p>
        </w:tc>
        <w:tc>
          <w:tcPr>
            <w:tcW w:w="1780" w:type="dxa"/>
            <w:vAlign w:val="bottom"/>
            <w:shd w:val="clear" w:color="auto" w:fill="E6EDF3"/>
          </w:tcPr>
          <w:p>
            <w:pPr>
              <w:jc w:val="right"/>
              <w:ind w:right="420"/>
              <w:spacing w:after="0"/>
              <w:rPr>
                <w:sz w:val="20"/>
                <w:szCs w:val="20"/>
                <w:color w:val="auto"/>
              </w:rPr>
            </w:pPr>
            <w:r>
              <w:rPr>
                <w:rFonts w:ascii="Arial" w:cs="Arial" w:eastAsia="Arial" w:hAnsi="Arial"/>
                <w:sz w:val="16"/>
                <w:szCs w:val="16"/>
                <w:color w:val="auto"/>
              </w:rPr>
              <w:t>8,342</w:t>
            </w:r>
          </w:p>
        </w:tc>
        <w:tc>
          <w:tcPr>
            <w:tcW w:w="10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14,095</w:t>
            </w:r>
          </w:p>
        </w:tc>
      </w:tr>
      <w:tr>
        <w:trPr>
          <w:trHeight w:val="189"/>
        </w:trPr>
        <w:tc>
          <w:tcPr>
            <w:tcW w:w="6040" w:type="dxa"/>
            <w:vAlign w:val="bottom"/>
          </w:tcPr>
          <w:p>
            <w:pPr>
              <w:ind w:left="60"/>
              <w:spacing w:after="0"/>
              <w:rPr>
                <w:sz w:val="20"/>
                <w:szCs w:val="20"/>
                <w:color w:val="auto"/>
              </w:rPr>
            </w:pPr>
            <w:r>
              <w:rPr>
                <w:rFonts w:ascii="Arial" w:cs="Arial" w:eastAsia="Arial" w:hAnsi="Arial"/>
                <w:sz w:val="16"/>
                <w:szCs w:val="16"/>
                <w:color w:val="auto"/>
              </w:rPr>
              <w:t>John R. Walter</w:t>
            </w:r>
          </w:p>
        </w:tc>
        <w:tc>
          <w:tcPr>
            <w:tcW w:w="2180" w:type="dxa"/>
            <w:vAlign w:val="bottom"/>
          </w:tcPr>
          <w:p>
            <w:pPr>
              <w:jc w:val="right"/>
              <w:ind w:right="601"/>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420"/>
              <w:spacing w:after="0"/>
              <w:rPr>
                <w:sz w:val="20"/>
                <w:szCs w:val="20"/>
                <w:color w:val="auto"/>
              </w:rPr>
            </w:pPr>
            <w:r>
              <w:rPr>
                <w:rFonts w:ascii="Arial" w:cs="Arial" w:eastAsia="Arial" w:hAnsi="Arial"/>
                <w:sz w:val="16"/>
                <w:szCs w:val="16"/>
                <w:color w:val="auto"/>
              </w:rPr>
              <w:t>276,383</w:t>
            </w:r>
          </w:p>
        </w:tc>
        <w:tc>
          <w:tcPr>
            <w:tcW w:w="1020" w:type="dxa"/>
            <w:vAlign w:val="bottom"/>
          </w:tcPr>
          <w:p>
            <w:pPr>
              <w:jc w:val="right"/>
              <w:spacing w:after="0"/>
              <w:rPr>
                <w:sz w:val="20"/>
                <w:szCs w:val="20"/>
                <w:color w:val="auto"/>
              </w:rPr>
            </w:pPr>
            <w:r>
              <w:rPr>
                <w:rFonts w:ascii="Arial" w:cs="Arial" w:eastAsia="Arial" w:hAnsi="Arial"/>
                <w:sz w:val="16"/>
                <w:szCs w:val="16"/>
                <w:color w:val="auto"/>
              </w:rPr>
              <w:t>276,383</w:t>
            </w:r>
          </w:p>
        </w:tc>
      </w:tr>
      <w:tr>
        <w:trPr>
          <w:trHeight w:val="189"/>
        </w:trPr>
        <w:tc>
          <w:tcPr>
            <w:tcW w:w="604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Edward J. Zore</w:t>
            </w:r>
          </w:p>
        </w:tc>
        <w:tc>
          <w:tcPr>
            <w:tcW w:w="2180" w:type="dxa"/>
            <w:vAlign w:val="bottom"/>
            <w:tcBorders>
              <w:bottom w:val="single" w:sz="8" w:color="auto"/>
            </w:tcBorders>
            <w:shd w:val="clear" w:color="auto" w:fill="E6EDF3"/>
          </w:tcPr>
          <w:p>
            <w:pPr>
              <w:jc w:val="right"/>
              <w:ind w:right="601"/>
              <w:spacing w:after="0"/>
              <w:rPr>
                <w:sz w:val="20"/>
                <w:szCs w:val="20"/>
                <w:color w:val="auto"/>
              </w:rPr>
            </w:pPr>
            <w:r>
              <w:rPr>
                <w:rFonts w:ascii="Arial" w:cs="Arial" w:eastAsia="Arial" w:hAnsi="Arial"/>
                <w:sz w:val="16"/>
                <w:szCs w:val="16"/>
                <w:color w:val="auto"/>
              </w:rPr>
              <w:t>123,379</w:t>
            </w:r>
          </w:p>
        </w:tc>
        <w:tc>
          <w:tcPr>
            <w:tcW w:w="1780" w:type="dxa"/>
            <w:vAlign w:val="bottom"/>
            <w:tcBorders>
              <w:bottom w:val="single" w:sz="8" w:color="auto"/>
            </w:tcBorders>
            <w:shd w:val="clear" w:color="auto" w:fill="E6EDF3"/>
          </w:tcPr>
          <w:p>
            <w:pPr>
              <w:jc w:val="right"/>
              <w:ind w:right="420"/>
              <w:spacing w:after="0"/>
              <w:rPr>
                <w:sz w:val="20"/>
                <w:szCs w:val="20"/>
                <w:color w:val="auto"/>
              </w:rPr>
            </w:pPr>
            <w:r>
              <w:rPr>
                <w:rFonts w:ascii="Arial" w:cs="Arial" w:eastAsia="Arial" w:hAnsi="Arial"/>
                <w:sz w:val="16"/>
                <w:szCs w:val="16"/>
                <w:color w:val="auto"/>
              </w:rPr>
              <w:t>146,145</w:t>
            </w:r>
          </w:p>
        </w:tc>
        <w:tc>
          <w:tcPr>
            <w:tcW w:w="10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269,524</w:t>
            </w:r>
          </w:p>
        </w:tc>
      </w:tr>
    </w:tbl>
    <w:p>
      <w:pPr>
        <w:spacing w:after="0" w:line="54" w:lineRule="exact"/>
        <w:rPr>
          <w:sz w:val="20"/>
          <w:szCs w:val="20"/>
          <w:color w:val="auto"/>
        </w:rPr>
      </w:pPr>
    </w:p>
    <w:p>
      <w:pPr>
        <w:ind w:left="520" w:hanging="316"/>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Van Handel was elected to the Board of Directors on December 11, 2017 and received a pro-rata annual grant of deferred stock and annual retainer.</w:t>
      </w:r>
    </w:p>
    <w:p>
      <w:pPr>
        <w:spacing w:after="0" w:line="68" w:lineRule="exact"/>
        <w:rPr>
          <w:rFonts w:ascii="Arial" w:cs="Arial" w:eastAsia="Arial" w:hAnsi="Arial"/>
          <w:sz w:val="14"/>
          <w:szCs w:val="14"/>
          <w:color w:val="auto"/>
        </w:rPr>
      </w:pPr>
    </w:p>
    <w:p>
      <w:pPr>
        <w:ind w:left="520" w:right="300" w:hanging="316"/>
        <w:spacing w:after="0" w:line="266" w:lineRule="auto"/>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Reflects deferred stock and restricted stock granted under our 2011 Equity Incentive Plan and the Terms and Conditions Regarding the Grant of Awards to Non-Employee Directors under the 2011 Equity Incentive Plan. These amounts reflect the grant date fair value of the awards as computed in accordance with FASB ASC Topic 718. The amount reflected in the table was made up of:</w:t>
      </w:r>
    </w:p>
    <w:p>
      <w:pPr>
        <w:spacing w:after="0" w:line="18"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For Ms. Boswell, $145,000 attributable to the annual grant of restricted stock (1,632 shares) in 2017.</w:t>
      </w:r>
    </w:p>
    <w:p>
      <w:pPr>
        <w:spacing w:after="0" w:line="68" w:lineRule="exact"/>
        <w:rPr>
          <w:rFonts w:ascii="Arial" w:cs="Arial" w:eastAsia="Arial" w:hAnsi="Arial"/>
          <w:sz w:val="14"/>
          <w:szCs w:val="14"/>
          <w:color w:val="auto"/>
        </w:rPr>
      </w:pPr>
    </w:p>
    <w:p>
      <w:pPr>
        <w:ind w:left="520" w:right="100"/>
        <w:spacing w:after="0" w:line="291" w:lineRule="auto"/>
        <w:rPr>
          <w:rFonts w:ascii="Arial" w:cs="Arial" w:eastAsia="Arial" w:hAnsi="Arial"/>
          <w:sz w:val="14"/>
          <w:szCs w:val="14"/>
          <w:color w:val="auto"/>
        </w:rPr>
      </w:pPr>
      <w:r>
        <w:rPr>
          <w:rFonts w:ascii="Arial" w:cs="Arial" w:eastAsia="Arial" w:hAnsi="Arial"/>
          <w:sz w:val="14"/>
          <w:szCs w:val="14"/>
          <w:color w:val="auto"/>
        </w:rPr>
        <w:t>For Ms. Dominguez, $145,000 attributable to the annual grant of restricted stock (1,632 shares) and $3,780 attributable to deferred stock issued in lieu of dividends (33 shares) in 2017.</w:t>
      </w:r>
    </w:p>
    <w:p>
      <w:pPr>
        <w:spacing w:after="0" w:line="1" w:lineRule="exact"/>
        <w:rPr>
          <w:rFonts w:ascii="Arial" w:cs="Arial" w:eastAsia="Arial" w:hAnsi="Arial"/>
          <w:sz w:val="14"/>
          <w:szCs w:val="14"/>
          <w:color w:val="auto"/>
        </w:rPr>
      </w:pPr>
    </w:p>
    <w:p>
      <w:pPr>
        <w:ind w:left="520" w:right="120"/>
        <w:spacing w:after="0" w:line="291" w:lineRule="auto"/>
        <w:rPr>
          <w:rFonts w:ascii="Arial" w:cs="Arial" w:eastAsia="Arial" w:hAnsi="Arial"/>
          <w:sz w:val="14"/>
          <w:szCs w:val="14"/>
          <w:color w:val="auto"/>
        </w:rPr>
      </w:pPr>
      <w:r>
        <w:rPr>
          <w:rFonts w:ascii="Arial" w:cs="Arial" w:eastAsia="Arial" w:hAnsi="Arial"/>
          <w:sz w:val="14"/>
          <w:szCs w:val="14"/>
          <w:color w:val="auto"/>
        </w:rPr>
        <w:t>For Mr. Downe, $145,000 attributable to the annual grant of deferred stock (1,632 shares), $116,552 attributable to deferred stock granted in lieu of 100% of his annual retainer and pro-rata service as lead director (1,018 shares) and $33,903 attributable to deferred stock issued in lieu of dividends (296 shares) in 2017.</w:t>
      </w:r>
    </w:p>
    <w:p>
      <w:pPr>
        <w:spacing w:after="0" w:line="1" w:lineRule="exact"/>
        <w:rPr>
          <w:rFonts w:ascii="Arial" w:cs="Arial" w:eastAsia="Arial" w:hAnsi="Arial"/>
          <w:sz w:val="14"/>
          <w:szCs w:val="14"/>
          <w:color w:val="auto"/>
        </w:rPr>
      </w:pPr>
    </w:p>
    <w:p>
      <w:pPr>
        <w:ind w:left="520" w:right="80"/>
        <w:spacing w:after="0" w:line="291" w:lineRule="auto"/>
        <w:rPr>
          <w:rFonts w:ascii="Arial" w:cs="Arial" w:eastAsia="Arial" w:hAnsi="Arial"/>
          <w:sz w:val="14"/>
          <w:szCs w:val="14"/>
          <w:color w:val="auto"/>
        </w:rPr>
      </w:pPr>
      <w:r>
        <w:rPr>
          <w:rFonts w:ascii="Arial" w:cs="Arial" w:eastAsia="Arial" w:hAnsi="Arial"/>
          <w:sz w:val="14"/>
          <w:szCs w:val="14"/>
          <w:color w:val="auto"/>
        </w:rPr>
        <w:t>For Mr. Ferraro, $145,000 attributable to the annual grant of deferred stock (1,632 shares), $100,000 attributable to deferred stock granted in lieu of 100% of his annual retainer (873 shares) and $8,590 attributable to deferred stock issued in lieu of dividends (75 shares) in 2017.</w:t>
      </w:r>
    </w:p>
    <w:p>
      <w:pPr>
        <w:spacing w:after="0" w:line="1" w:lineRule="exact"/>
        <w:rPr>
          <w:rFonts w:ascii="Arial" w:cs="Arial" w:eastAsia="Arial" w:hAnsi="Arial"/>
          <w:sz w:val="14"/>
          <w:szCs w:val="14"/>
          <w:color w:val="auto"/>
        </w:rPr>
      </w:pPr>
    </w:p>
    <w:p>
      <w:pPr>
        <w:ind w:left="520" w:right="660"/>
        <w:spacing w:after="0" w:line="291" w:lineRule="auto"/>
        <w:rPr>
          <w:rFonts w:ascii="Arial" w:cs="Arial" w:eastAsia="Arial" w:hAnsi="Arial"/>
          <w:sz w:val="14"/>
          <w:szCs w:val="14"/>
          <w:color w:val="auto"/>
        </w:rPr>
      </w:pPr>
      <w:r>
        <w:rPr>
          <w:rFonts w:ascii="Arial" w:cs="Arial" w:eastAsia="Arial" w:hAnsi="Arial"/>
          <w:sz w:val="14"/>
          <w:szCs w:val="14"/>
          <w:color w:val="auto"/>
        </w:rPr>
        <w:t>For Ms. Hemingway Hall, $145,000 attributable to the annual grant of deferred stock (1,632 shares) and $10,079 attributable to deferred stock issued in lieu of dividends (88 shares) in 2017.</w:t>
      </w:r>
    </w:p>
    <w:p>
      <w:pPr>
        <w:spacing w:after="0" w:line="1" w:lineRule="exact"/>
        <w:rPr>
          <w:rFonts w:ascii="Arial" w:cs="Arial" w:eastAsia="Arial" w:hAnsi="Arial"/>
          <w:sz w:val="14"/>
          <w:szCs w:val="14"/>
          <w:color w:val="auto"/>
        </w:rPr>
      </w:pPr>
    </w:p>
    <w:p>
      <w:pPr>
        <w:ind w:left="520" w:right="480"/>
        <w:spacing w:after="0" w:line="291" w:lineRule="auto"/>
        <w:rPr>
          <w:rFonts w:ascii="Arial" w:cs="Arial" w:eastAsia="Arial" w:hAnsi="Arial"/>
          <w:sz w:val="14"/>
          <w:szCs w:val="14"/>
          <w:color w:val="auto"/>
        </w:rPr>
      </w:pPr>
      <w:r>
        <w:rPr>
          <w:rFonts w:ascii="Arial" w:cs="Arial" w:eastAsia="Arial" w:hAnsi="Arial"/>
          <w:sz w:val="14"/>
          <w:szCs w:val="14"/>
          <w:color w:val="auto"/>
        </w:rPr>
        <w:t>For Ms. Howard, $145,000 attributable to the annual grant of deferred stock (1,632 shares), $100,000 attributable to deferred stock granted in lieu of 100% of her annual retainer (873 shares) and $3,207 attributable to deferred stock issued in lieu of dividends (28 shares) in 2017.</w:t>
      </w:r>
    </w:p>
    <w:p>
      <w:pPr>
        <w:spacing w:after="0" w:line="1" w:lineRule="exact"/>
        <w:rPr>
          <w:rFonts w:ascii="Arial" w:cs="Arial" w:eastAsia="Arial" w:hAnsi="Arial"/>
          <w:sz w:val="14"/>
          <w:szCs w:val="14"/>
          <w:color w:val="auto"/>
        </w:rPr>
      </w:pPr>
    </w:p>
    <w:p>
      <w:pPr>
        <w:ind w:left="520" w:right="120"/>
        <w:spacing w:after="0" w:line="291" w:lineRule="auto"/>
        <w:rPr>
          <w:rFonts w:ascii="Arial" w:cs="Arial" w:eastAsia="Arial" w:hAnsi="Arial"/>
          <w:sz w:val="14"/>
          <w:szCs w:val="14"/>
          <w:color w:val="auto"/>
        </w:rPr>
      </w:pPr>
      <w:r>
        <w:rPr>
          <w:rFonts w:ascii="Arial" w:cs="Arial" w:eastAsia="Arial" w:hAnsi="Arial"/>
          <w:sz w:val="14"/>
          <w:szCs w:val="14"/>
          <w:color w:val="auto"/>
        </w:rPr>
        <w:t>For Mr. Mendoza, $145,000 attributable to the annual grant of deferred stock (1,632 shares), and $33,216 attributable to deferred stock issued in lieu of dividends (290 shares) in 2017.</w:t>
      </w:r>
    </w:p>
    <w:p>
      <w:pPr>
        <w:spacing w:after="0" w:line="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For Mr. Payne, $145,000 attributable to the annual grant of restricted stock (1,632 shares) in 2017.</w:t>
      </w:r>
    </w:p>
    <w:p>
      <w:pPr>
        <w:spacing w:after="0" w:line="68" w:lineRule="exact"/>
        <w:rPr>
          <w:rFonts w:ascii="Arial" w:cs="Arial" w:eastAsia="Arial" w:hAnsi="Arial"/>
          <w:sz w:val="14"/>
          <w:szCs w:val="14"/>
          <w:color w:val="auto"/>
        </w:rPr>
      </w:pPr>
    </w:p>
    <w:p>
      <w:pPr>
        <w:ind w:left="520" w:right="120"/>
        <w:spacing w:after="0" w:line="291" w:lineRule="auto"/>
        <w:rPr>
          <w:rFonts w:ascii="Arial" w:cs="Arial" w:eastAsia="Arial" w:hAnsi="Arial"/>
          <w:sz w:val="14"/>
          <w:szCs w:val="14"/>
          <w:color w:val="auto"/>
        </w:rPr>
      </w:pPr>
      <w:r>
        <w:rPr>
          <w:rFonts w:ascii="Arial" w:cs="Arial" w:eastAsia="Arial" w:hAnsi="Arial"/>
          <w:sz w:val="14"/>
          <w:szCs w:val="14"/>
          <w:color w:val="auto"/>
        </w:rPr>
        <w:t>For Mr. Read, $145,000 attributable to the annual grant of restricted stock (1,632 shares) and $115 attributable to deferred stock issued in lieu of dividends (1 share) in 2017.</w:t>
      </w:r>
    </w:p>
    <w:p>
      <w:pPr>
        <w:spacing w:after="0" w:line="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For Ms. Sartain, $145,000 attributable to the annual grant of restricted stock (1,632 shares) in 2017.</w:t>
      </w:r>
    </w:p>
    <w:p>
      <w:pPr>
        <w:spacing w:after="0" w:line="68"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For Mr. Van Handel, $8,342 attributable to the annual grant of deferred stock pro-rated based on the start date of December 11, 2017 (65 shares).</w:t>
      </w:r>
    </w:p>
    <w:p>
      <w:pPr>
        <w:spacing w:after="0" w:line="68" w:lineRule="exact"/>
        <w:rPr>
          <w:rFonts w:ascii="Arial" w:cs="Arial" w:eastAsia="Arial" w:hAnsi="Arial"/>
          <w:sz w:val="14"/>
          <w:szCs w:val="14"/>
          <w:color w:val="auto"/>
        </w:rPr>
      </w:pPr>
    </w:p>
    <w:p>
      <w:pPr>
        <w:ind w:left="520" w:right="140"/>
        <w:spacing w:after="0" w:line="291" w:lineRule="auto"/>
        <w:rPr>
          <w:rFonts w:ascii="Arial" w:cs="Arial" w:eastAsia="Arial" w:hAnsi="Arial"/>
          <w:sz w:val="14"/>
          <w:szCs w:val="14"/>
          <w:color w:val="auto"/>
        </w:rPr>
      </w:pPr>
      <w:r>
        <w:rPr>
          <w:rFonts w:ascii="Arial" w:cs="Arial" w:eastAsia="Arial" w:hAnsi="Arial"/>
          <w:sz w:val="14"/>
          <w:szCs w:val="14"/>
          <w:color w:val="auto"/>
        </w:rPr>
        <w:t>For Mr. Walter, $145,000 attributable to the annual grant of deferred stock (1,632 shares), $100,000 attributable to deferred stock granted in lieu of 100% of his annual retainer (873 shares) and $31,383 attributable to deferred stock issued in lieu of dividends (274 shares) in 2017.</w:t>
      </w:r>
    </w:p>
    <w:p>
      <w:pPr>
        <w:spacing w:after="0" w:line="1" w:lineRule="exact"/>
        <w:rPr>
          <w:rFonts w:ascii="Arial" w:cs="Arial" w:eastAsia="Arial" w:hAnsi="Arial"/>
          <w:sz w:val="14"/>
          <w:szCs w:val="14"/>
          <w:color w:val="auto"/>
        </w:rPr>
      </w:pPr>
    </w:p>
    <w:p>
      <w:pPr>
        <w:ind w:left="520" w:right="40"/>
        <w:spacing w:after="0" w:line="291" w:lineRule="auto"/>
        <w:rPr>
          <w:rFonts w:ascii="Arial" w:cs="Arial" w:eastAsia="Arial" w:hAnsi="Arial"/>
          <w:sz w:val="14"/>
          <w:szCs w:val="14"/>
          <w:color w:val="auto"/>
        </w:rPr>
      </w:pPr>
      <w:r>
        <w:rPr>
          <w:rFonts w:ascii="Arial" w:cs="Arial" w:eastAsia="Arial" w:hAnsi="Arial"/>
          <w:sz w:val="14"/>
          <w:szCs w:val="14"/>
          <w:color w:val="auto"/>
        </w:rPr>
        <w:t>For Mr. Zore, $145,000 attributable to the annual grant of restricted stock (1,632 shares) and $1,145 attributable to deferred stock issued in lieu of dividends (10 shares) in 2017.</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72</w:t>
      </w:r>
    </w:p>
    <w:p>
      <w:pPr>
        <w:sectPr>
          <w:pgSz w:w="11900" w:h="16838" w:orient="portrait"/>
          <w:cols w:equalWidth="0" w:num="1">
            <w:col w:w="11240"/>
          </w:cols>
          <w:pgMar w:left="240" w:top="455" w:right="41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200" w:type="dxa"/>
        <w:tblCellMar>
          <w:top w:w="0" w:type="dxa"/>
          <w:left w:w="0" w:type="dxa"/>
          <w:bottom w:w="0" w:type="dxa"/>
          <w:right w:w="0" w:type="dxa"/>
        </w:tblCellMar>
      </w:tblPr>
      <w:tr>
        <w:trPr>
          <w:trHeight w:val="301"/>
        </w:trPr>
        <w:tc>
          <w:tcPr>
            <w:tcW w:w="20" w:type="dxa"/>
            <w:vAlign w:val="bottom"/>
          </w:tcPr>
          <w:p>
            <w:pPr>
              <w:spacing w:after="0"/>
              <w:rPr>
                <w:sz w:val="24"/>
                <w:szCs w:val="24"/>
                <w:color w:val="auto"/>
              </w:rPr>
            </w:pPr>
          </w:p>
        </w:tc>
        <w:tc>
          <w:tcPr>
            <w:tcW w:w="8420" w:type="dxa"/>
            <w:vAlign w:val="bottom"/>
            <w:shd w:val="clear" w:color="auto" w:fill="5D89B4"/>
          </w:tcPr>
          <w:p>
            <w:pPr>
              <w:spacing w:after="0"/>
              <w:rPr>
                <w:sz w:val="24"/>
                <w:szCs w:val="24"/>
                <w:color w:val="auto"/>
              </w:rPr>
            </w:pPr>
          </w:p>
        </w:tc>
        <w:tc>
          <w:tcPr>
            <w:tcW w:w="2600" w:type="dxa"/>
            <w:vAlign w:val="bottom"/>
            <w:shd w:val="clear" w:color="auto" w:fill="5D89B4"/>
          </w:tcPr>
          <w:p>
            <w:pPr>
              <w:jc w:val="right"/>
              <w:ind w:right="40"/>
              <w:spacing w:after="0"/>
              <w:rPr>
                <w:sz w:val="20"/>
                <w:szCs w:val="20"/>
                <w:color w:val="auto"/>
              </w:rPr>
            </w:pPr>
            <w:r>
              <w:rPr>
                <w:rFonts w:ascii="Arial" w:cs="Arial" w:eastAsia="Arial" w:hAnsi="Arial"/>
                <w:sz w:val="18"/>
                <w:szCs w:val="18"/>
                <w:color w:val="FFFFFF"/>
              </w:rPr>
              <w:t>Compensation Tables</w:t>
            </w:r>
          </w:p>
        </w:tc>
      </w:tr>
      <w:tr>
        <w:trPr>
          <w:trHeight w:val="77"/>
        </w:trPr>
        <w:tc>
          <w:tcPr>
            <w:tcW w:w="20" w:type="dxa"/>
            <w:vAlign w:val="bottom"/>
          </w:tcPr>
          <w:p>
            <w:pPr>
              <w:spacing w:after="0"/>
              <w:rPr>
                <w:sz w:val="6"/>
                <w:szCs w:val="6"/>
                <w:color w:val="auto"/>
              </w:rPr>
            </w:pPr>
          </w:p>
        </w:tc>
        <w:tc>
          <w:tcPr>
            <w:tcW w:w="8420" w:type="dxa"/>
            <w:vAlign w:val="bottom"/>
            <w:shd w:val="clear" w:color="auto" w:fill="5D89B4"/>
          </w:tcPr>
          <w:p>
            <w:pPr>
              <w:spacing w:after="0"/>
              <w:rPr>
                <w:sz w:val="6"/>
                <w:szCs w:val="6"/>
                <w:color w:val="auto"/>
              </w:rPr>
            </w:pPr>
          </w:p>
        </w:tc>
        <w:tc>
          <w:tcPr>
            <w:tcW w:w="2600" w:type="dxa"/>
            <w:vAlign w:val="bottom"/>
            <w:shd w:val="clear" w:color="auto" w:fill="5D89B4"/>
          </w:tcPr>
          <w:p>
            <w:pPr>
              <w:spacing w:after="0"/>
              <w:rPr>
                <w:sz w:val="6"/>
                <w:szCs w:val="6"/>
                <w:color w:val="auto"/>
              </w:rPr>
            </w:pPr>
          </w:p>
        </w:tc>
      </w:tr>
      <w:tr>
        <w:trPr>
          <w:trHeight w:val="330"/>
        </w:trPr>
        <w:tc>
          <w:tcPr>
            <w:tcW w:w="8440" w:type="dxa"/>
            <w:vAlign w:val="bottom"/>
            <w:gridSpan w:val="2"/>
          </w:tcPr>
          <w:p>
            <w:pPr>
              <w:spacing w:after="0"/>
              <w:rPr>
                <w:sz w:val="20"/>
                <w:szCs w:val="20"/>
                <w:color w:val="auto"/>
              </w:rPr>
            </w:pPr>
            <w:r>
              <w:rPr>
                <w:rFonts w:ascii="Arial" w:cs="Arial" w:eastAsia="Arial" w:hAnsi="Arial"/>
                <w:sz w:val="14"/>
                <w:szCs w:val="14"/>
                <w:color w:val="auto"/>
              </w:rPr>
              <w:t>As of December 31, 2017, the aggregate number of shares of deferred stock held by the non-employee directors was as follows:</w:t>
            </w:r>
          </w:p>
        </w:tc>
        <w:tc>
          <w:tcPr>
            <w:tcW w:w="260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84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r>
      <w:tr>
        <w:trPr>
          <w:trHeight w:val="235"/>
        </w:trPr>
        <w:tc>
          <w:tcPr>
            <w:tcW w:w="20" w:type="dxa"/>
            <w:vAlign w:val="bottom"/>
          </w:tcPr>
          <w:p>
            <w:pPr>
              <w:spacing w:after="0"/>
              <w:rPr>
                <w:sz w:val="20"/>
                <w:szCs w:val="20"/>
                <w:color w:val="auto"/>
              </w:rPr>
            </w:pPr>
          </w:p>
        </w:tc>
        <w:tc>
          <w:tcPr>
            <w:tcW w:w="8420" w:type="dxa"/>
            <w:vAlign w:val="bottom"/>
            <w:shd w:val="clear" w:color="auto" w:fill="9DB8D2"/>
          </w:tcPr>
          <w:p>
            <w:pPr>
              <w:spacing w:after="0"/>
              <w:rPr>
                <w:sz w:val="20"/>
                <w:szCs w:val="20"/>
                <w:color w:val="auto"/>
              </w:rPr>
            </w:pPr>
          </w:p>
        </w:tc>
        <w:tc>
          <w:tcPr>
            <w:tcW w:w="2600" w:type="dxa"/>
            <w:vAlign w:val="bottom"/>
            <w:shd w:val="clear" w:color="auto" w:fill="9DB8D2"/>
          </w:tcPr>
          <w:p>
            <w:pPr>
              <w:jc w:val="right"/>
              <w:ind w:right="20"/>
              <w:spacing w:after="0"/>
              <w:rPr>
                <w:sz w:val="20"/>
                <w:szCs w:val="20"/>
                <w:color w:val="auto"/>
              </w:rPr>
            </w:pPr>
            <w:r>
              <w:rPr>
                <w:rFonts w:ascii="Arial" w:cs="Arial" w:eastAsia="Arial" w:hAnsi="Arial"/>
                <w:sz w:val="14"/>
                <w:szCs w:val="14"/>
                <w:b w:val="1"/>
                <w:bCs w:val="1"/>
                <w:color w:val="auto"/>
              </w:rPr>
              <w:t>Shares of Deferred Stock held at</w:t>
            </w:r>
          </w:p>
        </w:tc>
      </w:tr>
      <w:tr>
        <w:trPr>
          <w:trHeight w:val="177"/>
        </w:trPr>
        <w:tc>
          <w:tcPr>
            <w:tcW w:w="20" w:type="dxa"/>
            <w:vAlign w:val="bottom"/>
          </w:tcPr>
          <w:p>
            <w:pPr>
              <w:spacing w:after="0"/>
              <w:rPr>
                <w:sz w:val="15"/>
                <w:szCs w:val="15"/>
                <w:color w:val="auto"/>
              </w:rPr>
            </w:pPr>
          </w:p>
        </w:tc>
        <w:tc>
          <w:tcPr>
            <w:tcW w:w="842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w:t>
            </w:r>
          </w:p>
        </w:tc>
        <w:tc>
          <w:tcPr>
            <w:tcW w:w="2600" w:type="dxa"/>
            <w:vAlign w:val="bottom"/>
            <w:tcBorders>
              <w:bottom w:val="single" w:sz="8" w:color="auto"/>
            </w:tcBorders>
            <w:shd w:val="clear" w:color="auto" w:fill="9DB8D2"/>
          </w:tcPr>
          <w:p>
            <w:pPr>
              <w:jc w:val="right"/>
              <w:ind w:right="440"/>
              <w:spacing w:after="0"/>
              <w:rPr>
                <w:sz w:val="20"/>
                <w:szCs w:val="20"/>
                <w:color w:val="auto"/>
              </w:rPr>
            </w:pPr>
            <w:r>
              <w:rPr>
                <w:rFonts w:ascii="Arial" w:cs="Arial" w:eastAsia="Arial" w:hAnsi="Arial"/>
                <w:sz w:val="14"/>
                <w:szCs w:val="14"/>
                <w:b w:val="1"/>
                <w:bCs w:val="1"/>
                <w:color w:val="auto"/>
              </w:rPr>
              <w:t>December 31, 2017</w:t>
            </w:r>
          </w:p>
        </w:tc>
      </w:tr>
      <w:tr>
        <w:trPr>
          <w:trHeight w:val="183"/>
        </w:trPr>
        <w:tc>
          <w:tcPr>
            <w:tcW w:w="20" w:type="dxa"/>
            <w:vAlign w:val="bottom"/>
          </w:tcPr>
          <w:p>
            <w:pPr>
              <w:spacing w:after="0"/>
              <w:rPr>
                <w:sz w:val="15"/>
                <w:szCs w:val="15"/>
                <w:color w:val="auto"/>
              </w:rPr>
            </w:pPr>
          </w:p>
        </w:tc>
        <w:tc>
          <w:tcPr>
            <w:tcW w:w="8420" w:type="dxa"/>
            <w:vAlign w:val="bottom"/>
            <w:shd w:val="clear" w:color="auto" w:fill="E6EDF3"/>
          </w:tcPr>
          <w:p>
            <w:pPr>
              <w:ind w:left="60"/>
              <w:spacing w:after="0" w:line="183" w:lineRule="exact"/>
              <w:rPr>
                <w:sz w:val="20"/>
                <w:szCs w:val="20"/>
                <w:color w:val="auto"/>
              </w:rPr>
            </w:pPr>
            <w:r>
              <w:rPr>
                <w:rFonts w:ascii="Arial" w:cs="Arial" w:eastAsia="Arial" w:hAnsi="Arial"/>
                <w:sz w:val="16"/>
                <w:szCs w:val="16"/>
                <w:color w:val="auto"/>
              </w:rPr>
              <w:t>Gina R. Boswell</w:t>
            </w:r>
          </w:p>
        </w:tc>
        <w:tc>
          <w:tcPr>
            <w:tcW w:w="2600" w:type="dxa"/>
            <w:vAlign w:val="bottom"/>
            <w:shd w:val="clear" w:color="auto" w:fill="E6EDF3"/>
          </w:tcPr>
          <w:p>
            <w:pPr>
              <w:jc w:val="right"/>
              <w:ind w:right="700"/>
              <w:spacing w:after="0" w:line="183" w:lineRule="exact"/>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8420" w:type="dxa"/>
            <w:vAlign w:val="bottom"/>
          </w:tcPr>
          <w:p>
            <w:pPr>
              <w:ind w:left="60"/>
              <w:spacing w:after="0"/>
              <w:rPr>
                <w:sz w:val="20"/>
                <w:szCs w:val="20"/>
                <w:color w:val="auto"/>
              </w:rPr>
            </w:pPr>
            <w:r>
              <w:rPr>
                <w:rFonts w:ascii="Arial" w:cs="Arial" w:eastAsia="Arial" w:hAnsi="Arial"/>
                <w:sz w:val="16"/>
                <w:szCs w:val="16"/>
                <w:color w:val="auto"/>
              </w:rPr>
              <w:t>Cari M. Dominguez</w:t>
            </w:r>
          </w:p>
        </w:tc>
        <w:tc>
          <w:tcPr>
            <w:tcW w:w="2600" w:type="dxa"/>
            <w:vAlign w:val="bottom"/>
          </w:tcPr>
          <w:p>
            <w:pPr>
              <w:jc w:val="right"/>
              <w:ind w:right="700"/>
              <w:spacing w:after="0"/>
              <w:rPr>
                <w:sz w:val="20"/>
                <w:szCs w:val="20"/>
                <w:color w:val="auto"/>
              </w:rPr>
            </w:pPr>
            <w:r>
              <w:rPr>
                <w:rFonts w:ascii="Arial" w:cs="Arial" w:eastAsia="Arial" w:hAnsi="Arial"/>
                <w:sz w:val="16"/>
                <w:szCs w:val="16"/>
                <w:color w:val="auto"/>
              </w:rPr>
              <w:t>2,095</w:t>
            </w:r>
          </w:p>
        </w:tc>
      </w:tr>
      <w:tr>
        <w:trPr>
          <w:trHeight w:val="189"/>
        </w:trPr>
        <w:tc>
          <w:tcPr>
            <w:tcW w:w="20" w:type="dxa"/>
            <w:vAlign w:val="bottom"/>
          </w:tcPr>
          <w:p>
            <w:pPr>
              <w:spacing w:after="0"/>
              <w:rPr>
                <w:sz w:val="16"/>
                <w:szCs w:val="16"/>
                <w:color w:val="auto"/>
              </w:rPr>
            </w:pPr>
          </w:p>
        </w:tc>
        <w:tc>
          <w:tcPr>
            <w:tcW w:w="8420" w:type="dxa"/>
            <w:vAlign w:val="bottom"/>
            <w:shd w:val="clear" w:color="auto" w:fill="E6EDF3"/>
          </w:tcPr>
          <w:p>
            <w:pPr>
              <w:ind w:left="60"/>
              <w:spacing w:after="0"/>
              <w:rPr>
                <w:sz w:val="20"/>
                <w:szCs w:val="20"/>
                <w:color w:val="auto"/>
              </w:rPr>
            </w:pPr>
            <w:r>
              <w:rPr>
                <w:rFonts w:ascii="Arial" w:cs="Arial" w:eastAsia="Arial" w:hAnsi="Arial"/>
                <w:sz w:val="16"/>
                <w:szCs w:val="16"/>
                <w:color w:val="auto"/>
              </w:rPr>
              <w:t>William Downe</w:t>
            </w:r>
          </w:p>
        </w:tc>
        <w:tc>
          <w:tcPr>
            <w:tcW w:w="2600" w:type="dxa"/>
            <w:vAlign w:val="bottom"/>
            <w:shd w:val="clear" w:color="auto" w:fill="E6EDF3"/>
          </w:tcPr>
          <w:p>
            <w:pPr>
              <w:jc w:val="right"/>
              <w:ind w:right="700"/>
              <w:spacing w:after="0"/>
              <w:rPr>
                <w:sz w:val="20"/>
                <w:szCs w:val="20"/>
                <w:color w:val="auto"/>
              </w:rPr>
            </w:pPr>
            <w:r>
              <w:rPr>
                <w:rFonts w:ascii="Arial" w:cs="Arial" w:eastAsia="Arial" w:hAnsi="Arial"/>
                <w:sz w:val="16"/>
                <w:szCs w:val="16"/>
                <w:color w:val="auto"/>
              </w:rPr>
              <w:t>19,469</w:t>
            </w:r>
          </w:p>
        </w:tc>
      </w:tr>
      <w:tr>
        <w:trPr>
          <w:trHeight w:val="189"/>
        </w:trPr>
        <w:tc>
          <w:tcPr>
            <w:tcW w:w="20" w:type="dxa"/>
            <w:vAlign w:val="bottom"/>
          </w:tcPr>
          <w:p>
            <w:pPr>
              <w:spacing w:after="0"/>
              <w:rPr>
                <w:sz w:val="16"/>
                <w:szCs w:val="16"/>
                <w:color w:val="auto"/>
              </w:rPr>
            </w:pPr>
          </w:p>
        </w:tc>
        <w:tc>
          <w:tcPr>
            <w:tcW w:w="8420" w:type="dxa"/>
            <w:vAlign w:val="bottom"/>
          </w:tcPr>
          <w:p>
            <w:pPr>
              <w:ind w:left="60"/>
              <w:spacing w:after="0"/>
              <w:rPr>
                <w:sz w:val="20"/>
                <w:szCs w:val="20"/>
                <w:color w:val="auto"/>
              </w:rPr>
            </w:pPr>
            <w:r>
              <w:rPr>
                <w:rFonts w:ascii="Arial" w:cs="Arial" w:eastAsia="Arial" w:hAnsi="Arial"/>
                <w:sz w:val="16"/>
                <w:szCs w:val="16"/>
                <w:color w:val="auto"/>
              </w:rPr>
              <w:t>John F. Ferraro</w:t>
            </w:r>
          </w:p>
        </w:tc>
        <w:tc>
          <w:tcPr>
            <w:tcW w:w="2600" w:type="dxa"/>
            <w:vAlign w:val="bottom"/>
          </w:tcPr>
          <w:p>
            <w:pPr>
              <w:jc w:val="right"/>
              <w:ind w:right="700"/>
              <w:spacing w:after="0"/>
              <w:rPr>
                <w:sz w:val="20"/>
                <w:szCs w:val="20"/>
                <w:color w:val="auto"/>
              </w:rPr>
            </w:pPr>
            <w:r>
              <w:rPr>
                <w:rFonts w:ascii="Arial" w:cs="Arial" w:eastAsia="Arial" w:hAnsi="Arial"/>
                <w:sz w:val="16"/>
                <w:szCs w:val="16"/>
                <w:color w:val="auto"/>
              </w:rPr>
              <w:t>5,516</w:t>
            </w:r>
          </w:p>
        </w:tc>
      </w:tr>
      <w:tr>
        <w:trPr>
          <w:trHeight w:val="189"/>
        </w:trPr>
        <w:tc>
          <w:tcPr>
            <w:tcW w:w="20" w:type="dxa"/>
            <w:vAlign w:val="bottom"/>
          </w:tcPr>
          <w:p>
            <w:pPr>
              <w:spacing w:after="0"/>
              <w:rPr>
                <w:sz w:val="16"/>
                <w:szCs w:val="16"/>
                <w:color w:val="auto"/>
              </w:rPr>
            </w:pPr>
          </w:p>
        </w:tc>
        <w:tc>
          <w:tcPr>
            <w:tcW w:w="8420" w:type="dxa"/>
            <w:vAlign w:val="bottom"/>
            <w:shd w:val="clear" w:color="auto" w:fill="E6EDF3"/>
          </w:tcPr>
          <w:p>
            <w:pPr>
              <w:ind w:left="60"/>
              <w:spacing w:after="0"/>
              <w:rPr>
                <w:sz w:val="20"/>
                <w:szCs w:val="20"/>
                <w:color w:val="auto"/>
              </w:rPr>
            </w:pPr>
            <w:r>
              <w:rPr>
                <w:rFonts w:ascii="Arial" w:cs="Arial" w:eastAsia="Arial" w:hAnsi="Arial"/>
                <w:sz w:val="16"/>
                <w:szCs w:val="16"/>
                <w:color w:val="auto"/>
              </w:rPr>
              <w:t>Patricia Hemingway Hall</w:t>
            </w:r>
          </w:p>
        </w:tc>
        <w:tc>
          <w:tcPr>
            <w:tcW w:w="2600" w:type="dxa"/>
            <w:vAlign w:val="bottom"/>
            <w:shd w:val="clear" w:color="auto" w:fill="E6EDF3"/>
          </w:tcPr>
          <w:p>
            <w:pPr>
              <w:jc w:val="right"/>
              <w:ind w:right="700"/>
              <w:spacing w:after="0"/>
              <w:rPr>
                <w:sz w:val="20"/>
                <w:szCs w:val="20"/>
                <w:color w:val="auto"/>
              </w:rPr>
            </w:pPr>
            <w:r>
              <w:rPr>
                <w:rFonts w:ascii="Arial" w:cs="Arial" w:eastAsia="Arial" w:hAnsi="Arial"/>
                <w:sz w:val="16"/>
                <w:szCs w:val="16"/>
                <w:color w:val="auto"/>
              </w:rPr>
              <w:t>5,480</w:t>
            </w:r>
          </w:p>
        </w:tc>
      </w:tr>
      <w:tr>
        <w:trPr>
          <w:trHeight w:val="189"/>
        </w:trPr>
        <w:tc>
          <w:tcPr>
            <w:tcW w:w="20" w:type="dxa"/>
            <w:vAlign w:val="bottom"/>
          </w:tcPr>
          <w:p>
            <w:pPr>
              <w:spacing w:after="0"/>
              <w:rPr>
                <w:sz w:val="16"/>
                <w:szCs w:val="16"/>
                <w:color w:val="auto"/>
              </w:rPr>
            </w:pPr>
          </w:p>
        </w:tc>
        <w:tc>
          <w:tcPr>
            <w:tcW w:w="8420" w:type="dxa"/>
            <w:vAlign w:val="bottom"/>
          </w:tcPr>
          <w:p>
            <w:pPr>
              <w:ind w:left="60"/>
              <w:spacing w:after="0"/>
              <w:rPr>
                <w:sz w:val="20"/>
                <w:szCs w:val="20"/>
                <w:color w:val="auto"/>
              </w:rPr>
            </w:pPr>
            <w:r>
              <w:rPr>
                <w:rFonts w:ascii="Arial" w:cs="Arial" w:eastAsia="Arial" w:hAnsi="Arial"/>
                <w:sz w:val="16"/>
                <w:szCs w:val="16"/>
                <w:color w:val="auto"/>
              </w:rPr>
              <w:t>Julie M. Howard</w:t>
            </w:r>
          </w:p>
        </w:tc>
        <w:tc>
          <w:tcPr>
            <w:tcW w:w="2600" w:type="dxa"/>
            <w:vAlign w:val="bottom"/>
          </w:tcPr>
          <w:p>
            <w:pPr>
              <w:jc w:val="right"/>
              <w:ind w:right="700"/>
              <w:spacing w:after="0"/>
              <w:rPr>
                <w:sz w:val="20"/>
                <w:szCs w:val="20"/>
                <w:color w:val="auto"/>
              </w:rPr>
            </w:pPr>
            <w:r>
              <w:rPr>
                <w:rFonts w:ascii="Arial" w:cs="Arial" w:eastAsia="Arial" w:hAnsi="Arial"/>
                <w:sz w:val="16"/>
                <w:szCs w:val="16"/>
                <w:color w:val="auto"/>
              </w:rPr>
              <w:t>2,618</w:t>
            </w:r>
          </w:p>
        </w:tc>
      </w:tr>
      <w:tr>
        <w:trPr>
          <w:trHeight w:val="189"/>
        </w:trPr>
        <w:tc>
          <w:tcPr>
            <w:tcW w:w="20" w:type="dxa"/>
            <w:vAlign w:val="bottom"/>
          </w:tcPr>
          <w:p>
            <w:pPr>
              <w:spacing w:after="0"/>
              <w:rPr>
                <w:sz w:val="16"/>
                <w:szCs w:val="16"/>
                <w:color w:val="auto"/>
              </w:rPr>
            </w:pPr>
          </w:p>
        </w:tc>
        <w:tc>
          <w:tcPr>
            <w:tcW w:w="8420" w:type="dxa"/>
            <w:vAlign w:val="bottom"/>
            <w:shd w:val="clear" w:color="auto" w:fill="E6EDF3"/>
          </w:tcPr>
          <w:p>
            <w:pPr>
              <w:ind w:left="60"/>
              <w:spacing w:after="0"/>
              <w:rPr>
                <w:sz w:val="20"/>
                <w:szCs w:val="20"/>
                <w:color w:val="auto"/>
              </w:rPr>
            </w:pPr>
            <w:r>
              <w:rPr>
                <w:rFonts w:ascii="Arial" w:cs="Arial" w:eastAsia="Arial" w:hAnsi="Arial"/>
                <w:sz w:val="16"/>
                <w:szCs w:val="16"/>
                <w:color w:val="auto"/>
              </w:rPr>
              <w:t>Roberto Mendoza</w:t>
            </w:r>
          </w:p>
        </w:tc>
        <w:tc>
          <w:tcPr>
            <w:tcW w:w="2600" w:type="dxa"/>
            <w:vAlign w:val="bottom"/>
            <w:shd w:val="clear" w:color="auto" w:fill="E6EDF3"/>
          </w:tcPr>
          <w:p>
            <w:pPr>
              <w:jc w:val="right"/>
              <w:ind w:right="700"/>
              <w:spacing w:after="0"/>
              <w:rPr>
                <w:sz w:val="20"/>
                <w:szCs w:val="20"/>
                <w:color w:val="auto"/>
              </w:rPr>
            </w:pPr>
            <w:r>
              <w:rPr>
                <w:rFonts w:ascii="Arial" w:cs="Arial" w:eastAsia="Arial" w:hAnsi="Arial"/>
                <w:sz w:val="16"/>
                <w:szCs w:val="16"/>
                <w:color w:val="auto"/>
              </w:rPr>
              <w:t>19,995</w:t>
            </w:r>
          </w:p>
        </w:tc>
      </w:tr>
      <w:tr>
        <w:trPr>
          <w:trHeight w:val="189"/>
        </w:trPr>
        <w:tc>
          <w:tcPr>
            <w:tcW w:w="20" w:type="dxa"/>
            <w:vAlign w:val="bottom"/>
          </w:tcPr>
          <w:p>
            <w:pPr>
              <w:spacing w:after="0"/>
              <w:rPr>
                <w:sz w:val="16"/>
                <w:szCs w:val="16"/>
                <w:color w:val="auto"/>
              </w:rPr>
            </w:pPr>
          </w:p>
        </w:tc>
        <w:tc>
          <w:tcPr>
            <w:tcW w:w="8420" w:type="dxa"/>
            <w:vAlign w:val="bottom"/>
          </w:tcPr>
          <w:p>
            <w:pPr>
              <w:ind w:left="60"/>
              <w:spacing w:after="0"/>
              <w:rPr>
                <w:sz w:val="20"/>
                <w:szCs w:val="20"/>
                <w:color w:val="auto"/>
              </w:rPr>
            </w:pPr>
            <w:r>
              <w:rPr>
                <w:rFonts w:ascii="Arial" w:cs="Arial" w:eastAsia="Arial" w:hAnsi="Arial"/>
                <w:sz w:val="16"/>
                <w:szCs w:val="16"/>
                <w:color w:val="auto"/>
              </w:rPr>
              <w:t>Ulice Payne, Jr.</w:t>
            </w:r>
          </w:p>
        </w:tc>
        <w:tc>
          <w:tcPr>
            <w:tcW w:w="2600" w:type="dxa"/>
            <w:vAlign w:val="bottom"/>
          </w:tcPr>
          <w:p>
            <w:pPr>
              <w:jc w:val="right"/>
              <w:ind w:right="70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8420" w:type="dxa"/>
            <w:vAlign w:val="bottom"/>
            <w:shd w:val="clear" w:color="auto" w:fill="E6EDF3"/>
          </w:tcPr>
          <w:p>
            <w:pPr>
              <w:ind w:left="60"/>
              <w:spacing w:after="0"/>
              <w:rPr>
                <w:sz w:val="20"/>
                <w:szCs w:val="20"/>
                <w:color w:val="auto"/>
              </w:rPr>
            </w:pPr>
            <w:r>
              <w:rPr>
                <w:rFonts w:ascii="Arial" w:cs="Arial" w:eastAsia="Arial" w:hAnsi="Arial"/>
                <w:sz w:val="16"/>
                <w:szCs w:val="16"/>
                <w:color w:val="auto"/>
              </w:rPr>
              <w:t>Paul Read</w:t>
            </w:r>
          </w:p>
        </w:tc>
        <w:tc>
          <w:tcPr>
            <w:tcW w:w="2600" w:type="dxa"/>
            <w:vAlign w:val="bottom"/>
            <w:shd w:val="clear" w:color="auto" w:fill="E6EDF3"/>
          </w:tcPr>
          <w:p>
            <w:pPr>
              <w:jc w:val="right"/>
              <w:ind w:right="70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8420" w:type="dxa"/>
            <w:vAlign w:val="bottom"/>
          </w:tcPr>
          <w:p>
            <w:pPr>
              <w:ind w:left="60"/>
              <w:spacing w:after="0"/>
              <w:rPr>
                <w:sz w:val="20"/>
                <w:szCs w:val="20"/>
                <w:color w:val="auto"/>
              </w:rPr>
            </w:pPr>
            <w:r>
              <w:rPr>
                <w:rFonts w:ascii="Arial" w:cs="Arial" w:eastAsia="Arial" w:hAnsi="Arial"/>
                <w:sz w:val="16"/>
                <w:szCs w:val="16"/>
                <w:color w:val="auto"/>
              </w:rPr>
              <w:t>Elizabeth P. Sartain</w:t>
            </w:r>
          </w:p>
        </w:tc>
        <w:tc>
          <w:tcPr>
            <w:tcW w:w="2600" w:type="dxa"/>
            <w:vAlign w:val="bottom"/>
          </w:tcPr>
          <w:p>
            <w:pPr>
              <w:jc w:val="right"/>
              <w:ind w:right="70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8420" w:type="dxa"/>
            <w:vAlign w:val="bottom"/>
            <w:shd w:val="clear" w:color="auto" w:fill="E6EDF3"/>
          </w:tcPr>
          <w:p>
            <w:pPr>
              <w:ind w:left="60"/>
              <w:spacing w:after="0"/>
              <w:rPr>
                <w:sz w:val="20"/>
                <w:szCs w:val="20"/>
                <w:color w:val="auto"/>
              </w:rPr>
            </w:pPr>
            <w:r>
              <w:rPr>
                <w:rFonts w:ascii="Arial" w:cs="Arial" w:eastAsia="Arial" w:hAnsi="Arial"/>
                <w:sz w:val="16"/>
                <w:szCs w:val="16"/>
                <w:color w:val="auto"/>
              </w:rPr>
              <w:t>Michael J. Van Handel</w:t>
            </w:r>
          </w:p>
        </w:tc>
        <w:tc>
          <w:tcPr>
            <w:tcW w:w="2600" w:type="dxa"/>
            <w:vAlign w:val="bottom"/>
            <w:shd w:val="clear" w:color="auto" w:fill="E6EDF3"/>
          </w:tcPr>
          <w:p>
            <w:pPr>
              <w:jc w:val="right"/>
              <w:ind w:right="700"/>
              <w:spacing w:after="0"/>
              <w:rPr>
                <w:sz w:val="20"/>
                <w:szCs w:val="20"/>
                <w:color w:val="auto"/>
              </w:rPr>
            </w:pPr>
            <w:r>
              <w:rPr>
                <w:rFonts w:ascii="Arial" w:cs="Arial" w:eastAsia="Arial" w:hAnsi="Arial"/>
                <w:sz w:val="16"/>
                <w:szCs w:val="16"/>
                <w:color w:val="auto"/>
              </w:rPr>
              <w:t>65</w:t>
            </w:r>
          </w:p>
        </w:tc>
      </w:tr>
      <w:tr>
        <w:trPr>
          <w:trHeight w:val="189"/>
        </w:trPr>
        <w:tc>
          <w:tcPr>
            <w:tcW w:w="20" w:type="dxa"/>
            <w:vAlign w:val="bottom"/>
          </w:tcPr>
          <w:p>
            <w:pPr>
              <w:spacing w:after="0"/>
              <w:rPr>
                <w:sz w:val="16"/>
                <w:szCs w:val="16"/>
                <w:color w:val="auto"/>
              </w:rPr>
            </w:pPr>
          </w:p>
        </w:tc>
        <w:tc>
          <w:tcPr>
            <w:tcW w:w="8420" w:type="dxa"/>
            <w:vAlign w:val="bottom"/>
          </w:tcPr>
          <w:p>
            <w:pPr>
              <w:ind w:left="60"/>
              <w:spacing w:after="0"/>
              <w:rPr>
                <w:sz w:val="20"/>
                <w:szCs w:val="20"/>
                <w:color w:val="auto"/>
              </w:rPr>
            </w:pPr>
            <w:r>
              <w:rPr>
                <w:rFonts w:ascii="Arial" w:cs="Arial" w:eastAsia="Arial" w:hAnsi="Arial"/>
                <w:sz w:val="16"/>
                <w:szCs w:val="16"/>
                <w:color w:val="auto"/>
              </w:rPr>
              <w:t>John R. Walter</w:t>
            </w:r>
          </w:p>
        </w:tc>
        <w:tc>
          <w:tcPr>
            <w:tcW w:w="2600" w:type="dxa"/>
            <w:vAlign w:val="bottom"/>
          </w:tcPr>
          <w:p>
            <w:pPr>
              <w:jc w:val="right"/>
              <w:ind w:right="700"/>
              <w:spacing w:after="0"/>
              <w:rPr>
                <w:sz w:val="20"/>
                <w:szCs w:val="20"/>
                <w:color w:val="auto"/>
              </w:rPr>
            </w:pPr>
            <w:r>
              <w:rPr>
                <w:rFonts w:ascii="Arial" w:cs="Arial" w:eastAsia="Arial" w:hAnsi="Arial"/>
                <w:sz w:val="16"/>
                <w:szCs w:val="16"/>
                <w:color w:val="auto"/>
              </w:rPr>
              <w:t>17,939</w:t>
            </w:r>
          </w:p>
        </w:tc>
      </w:tr>
      <w:tr>
        <w:trPr>
          <w:trHeight w:val="189"/>
        </w:trPr>
        <w:tc>
          <w:tcPr>
            <w:tcW w:w="20" w:type="dxa"/>
            <w:vAlign w:val="bottom"/>
          </w:tcPr>
          <w:p>
            <w:pPr>
              <w:spacing w:after="0"/>
              <w:rPr>
                <w:sz w:val="16"/>
                <w:szCs w:val="16"/>
                <w:color w:val="auto"/>
              </w:rPr>
            </w:pPr>
          </w:p>
        </w:tc>
        <w:tc>
          <w:tcPr>
            <w:tcW w:w="842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Edward J. Zore</w:t>
            </w:r>
          </w:p>
        </w:tc>
        <w:tc>
          <w:tcPr>
            <w:tcW w:w="2600" w:type="dxa"/>
            <w:vAlign w:val="bottom"/>
            <w:tcBorders>
              <w:bottom w:val="single" w:sz="8" w:color="auto"/>
            </w:tcBorders>
            <w:shd w:val="clear" w:color="auto" w:fill="E6EDF3"/>
          </w:tcPr>
          <w:p>
            <w:pPr>
              <w:jc w:val="right"/>
              <w:ind w:right="700"/>
              <w:spacing w:after="0"/>
              <w:rPr>
                <w:sz w:val="20"/>
                <w:szCs w:val="20"/>
                <w:color w:val="auto"/>
              </w:rPr>
            </w:pPr>
            <w:r>
              <w:rPr>
                <w:rFonts w:ascii="Arial" w:cs="Arial" w:eastAsia="Arial" w:hAnsi="Arial"/>
                <w:sz w:val="16"/>
                <w:szCs w:val="16"/>
                <w:color w:val="auto"/>
              </w:rPr>
              <w:t>644</w:t>
            </w:r>
          </w:p>
        </w:tc>
      </w:tr>
    </w:tbl>
    <w:p>
      <w:pPr>
        <w:spacing w:after="0" w:line="126" w:lineRule="exact"/>
        <w:rPr>
          <w:sz w:val="20"/>
          <w:szCs w:val="20"/>
          <w:color w:val="auto"/>
        </w:rPr>
      </w:pPr>
    </w:p>
    <w:p>
      <w:pPr>
        <w:ind w:left="200" w:right="260"/>
        <w:spacing w:after="0" w:line="276" w:lineRule="auto"/>
        <w:rPr>
          <w:sz w:val="20"/>
          <w:szCs w:val="20"/>
          <w:color w:val="auto"/>
        </w:rPr>
      </w:pPr>
      <w:r>
        <w:rPr>
          <w:rFonts w:ascii="Arial" w:cs="Arial" w:eastAsia="Arial" w:hAnsi="Arial"/>
          <w:sz w:val="18"/>
          <w:szCs w:val="18"/>
          <w:color w:val="auto"/>
        </w:rPr>
        <w:t>All such shares of deferred stock were fully vested as of December 31, 2017. All shares of restricted stock granted to the non-employee directors in 2017 were fully vested as of December 31, 2017.</w:t>
      </w:r>
    </w:p>
    <w:p>
      <w:pPr>
        <w:spacing w:after="0" w:line="78" w:lineRule="exact"/>
        <w:rPr>
          <w:sz w:val="20"/>
          <w:szCs w:val="20"/>
          <w:color w:val="auto"/>
        </w:rPr>
      </w:pPr>
    </w:p>
    <w:p>
      <w:pPr>
        <w:ind w:left="200" w:right="380"/>
        <w:spacing w:after="0" w:line="255" w:lineRule="auto"/>
        <w:rPr>
          <w:sz w:val="20"/>
          <w:szCs w:val="20"/>
          <w:color w:val="auto"/>
        </w:rPr>
      </w:pPr>
      <w:r>
        <w:rPr>
          <w:rFonts w:ascii="Arial" w:cs="Arial" w:eastAsia="Arial" w:hAnsi="Arial"/>
          <w:sz w:val="18"/>
          <w:szCs w:val="18"/>
          <w:color w:val="auto"/>
        </w:rPr>
        <w:t>For 2017, the board of directors approved the compensation arrangement for non-employee directors described below. Non-employee directors were paid a cash retainer equal to $100,000 per year. The fee structure for committee chairs and the lead director was as follows:</w:t>
      </w:r>
    </w:p>
    <w:p>
      <w:pPr>
        <w:spacing w:after="0" w:line="115"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6"/>
          <w:szCs w:val="16"/>
          <w:color w:val="auto"/>
        </w:rPr>
        <w:t>$15,000</w:t>
      </w:r>
      <w:r>
        <w:rPr>
          <w:sz w:val="20"/>
          <w:szCs w:val="20"/>
          <w:color w:val="auto"/>
        </w:rPr>
        <w:tab/>
      </w:r>
      <w:r>
        <w:rPr>
          <w:rFonts w:ascii="Arial" w:cs="Arial" w:eastAsia="Arial" w:hAnsi="Arial"/>
          <w:sz w:val="16"/>
          <w:szCs w:val="16"/>
          <w:color w:val="auto"/>
        </w:rPr>
        <w:t>Annual retainer for services as chair of the 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6997700"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5" w:lineRule="exact"/>
        <w:rPr>
          <w:sz w:val="20"/>
          <w:szCs w:val="20"/>
          <w:color w:val="auto"/>
        </w:rPr>
      </w:pPr>
    </w:p>
    <w:p>
      <w:pPr>
        <w:ind w:left="300" w:right="2020"/>
        <w:spacing w:after="0" w:line="246" w:lineRule="auto"/>
        <w:rPr>
          <w:sz w:val="20"/>
          <w:szCs w:val="20"/>
          <w:color w:val="auto"/>
        </w:rPr>
      </w:pPr>
      <w:r>
        <w:rPr>
          <w:rFonts w:ascii="Arial" w:cs="Arial" w:eastAsia="Arial" w:hAnsi="Arial"/>
          <w:sz w:val="16"/>
          <w:szCs w:val="16"/>
          <w:color w:val="auto"/>
        </w:rPr>
        <w:t>$20,000 Annual retainer for services as chair of the Audit or Executive Compensation and Human Resources Committee $25,000 Annual retainer for service as lead director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-120015</wp:posOffset>
            </wp:positionV>
            <wp:extent cx="6997700" cy="1200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7700" cy="120015"/>
                    </a:xfrm>
                    <a:prstGeom prst="rect">
                      <a:avLst/>
                    </a:prstGeom>
                    <a:noFill/>
                  </pic:spPr>
                </pic:pic>
              </a:graphicData>
            </a:graphic>
          </wp:anchor>
        </w:drawing>
      </w:r>
    </w:p>
    <w:p>
      <w:pPr>
        <w:ind w:left="300"/>
        <w:spacing w:after="0"/>
        <w:tabs>
          <w:tab w:leader="none" w:pos="1180" w:val="left"/>
        </w:tabs>
        <w:rPr>
          <w:sz w:val="20"/>
          <w:szCs w:val="20"/>
          <w:color w:val="auto"/>
        </w:rPr>
      </w:pPr>
      <w:r>
        <w:rPr>
          <w:rFonts w:ascii="Arial" w:cs="Arial" w:eastAsia="Arial" w:hAnsi="Arial"/>
          <w:sz w:val="16"/>
          <w:szCs w:val="16"/>
          <w:color w:val="auto"/>
        </w:rPr>
        <w:t>$30,000</w:t>
      </w:r>
      <w:r>
        <w:rPr>
          <w:sz w:val="20"/>
          <w:szCs w:val="20"/>
          <w:color w:val="auto"/>
        </w:rPr>
        <w:tab/>
      </w:r>
      <w:r>
        <w:rPr>
          <w:rFonts w:ascii="Arial" w:cs="Arial" w:eastAsia="Arial" w:hAnsi="Arial"/>
          <w:sz w:val="16"/>
          <w:szCs w:val="16"/>
          <w:color w:val="auto"/>
        </w:rPr>
        <w:t>Annual retainer in the case where the lead director also serves as chair of one of the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9"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Except as described below, non-employee directors may elect to receive deferred stock under the 2011 Equity Incentive Plan in lieu of their annual cash retainer. Elections may cover 50%, 75% or 100% of the annual cash retainer payable to the director for the election period for which the annual cash retainer is payable. An election period begins on January 1 of each year or the date of the director’s initial appointment to the board of directors, whichever is later, and ends on the date a director ceases to be a director or December 31, whichever is earlier. The deferred stock will be granted to the director following the end of the election period to which the election applies. The number of shares of deferred stock granted to the director will be equal to the amount of the annual cash retainer to which the election applies, divided by the average of the closing prices of ManpowerGroup common stock on the last trading day of each full or partial calendar quarter covered by the election period. For the election period that ended on December 31, 2017, Mr. Downe, Mr. Ferraro,</w:t>
      </w:r>
    </w:p>
    <w:p>
      <w:pPr>
        <w:spacing w:after="0" w:line="1" w:lineRule="exact"/>
        <w:rPr>
          <w:sz w:val="20"/>
          <w:szCs w:val="20"/>
          <w:color w:val="auto"/>
        </w:rPr>
      </w:pPr>
    </w:p>
    <w:p>
      <w:pPr>
        <w:ind w:left="200" w:right="480"/>
        <w:spacing w:after="0" w:line="251" w:lineRule="auto"/>
        <w:rPr>
          <w:sz w:val="20"/>
          <w:szCs w:val="20"/>
          <w:color w:val="auto"/>
        </w:rPr>
      </w:pPr>
      <w:r>
        <w:rPr>
          <w:rFonts w:ascii="Arial" w:cs="Arial" w:eastAsia="Arial" w:hAnsi="Arial"/>
          <w:sz w:val="18"/>
          <w:szCs w:val="18"/>
          <w:color w:val="auto"/>
        </w:rPr>
        <w:t>Ms. Howard and Mr. Walter elected to accept deferred stock in lieu of 100% of the annual cash retainer to which they were otherwise entitled.</w:t>
      </w:r>
    </w:p>
    <w:p>
      <w:pPr>
        <w:spacing w:after="0" w:line="99" w:lineRule="exact"/>
        <w:rPr>
          <w:sz w:val="20"/>
          <w:szCs w:val="20"/>
          <w:color w:val="auto"/>
        </w:rPr>
      </w:pPr>
    </w:p>
    <w:p>
      <w:pPr>
        <w:ind w:left="200" w:right="40"/>
        <w:spacing w:after="0" w:line="241" w:lineRule="auto"/>
        <w:rPr>
          <w:sz w:val="20"/>
          <w:szCs w:val="20"/>
          <w:color w:val="auto"/>
        </w:rPr>
      </w:pPr>
      <w:r>
        <w:rPr>
          <w:rFonts w:ascii="Arial" w:cs="Arial" w:eastAsia="Arial" w:hAnsi="Arial"/>
          <w:sz w:val="18"/>
          <w:szCs w:val="18"/>
          <w:color w:val="auto"/>
        </w:rPr>
        <w:t>Shares of common stock represented by deferred stock granted to a director prior to January 1, 2007 will be distributed to the director within 30 days after the date the director ceases to be a member of the board of directors. Shares of common stock represented by deferred stock granted to a director on or after January 1, 2007 will be distributed to the director on the earliest of the third anniversary of the date of grant or within 30 days after the date the director ceases to be a member of the board of directors. However, the director will have the right to extend the deferral period for these grants by at least five years, and thereafter to extend any previously extended deferral period by at least five more years, provided in each case this election to extend is made at least twelve months before the last day of the then current deferral period.</w:t>
      </w:r>
    </w:p>
    <w:p>
      <w:pPr>
        <w:spacing w:after="0" w:line="112" w:lineRule="exact"/>
        <w:rPr>
          <w:sz w:val="20"/>
          <w:szCs w:val="20"/>
          <w:color w:val="auto"/>
        </w:rPr>
      </w:pPr>
    </w:p>
    <w:p>
      <w:pPr>
        <w:ind w:left="200" w:right="120"/>
        <w:spacing w:after="0" w:line="276" w:lineRule="auto"/>
        <w:rPr>
          <w:sz w:val="20"/>
          <w:szCs w:val="20"/>
          <w:color w:val="auto"/>
        </w:rPr>
      </w:pPr>
      <w:r>
        <w:rPr>
          <w:rFonts w:ascii="Arial" w:cs="Arial" w:eastAsia="Arial" w:hAnsi="Arial"/>
          <w:sz w:val="18"/>
          <w:szCs w:val="18"/>
          <w:color w:val="auto"/>
        </w:rPr>
        <w:t>In addition to the cash compensation (or elective deferred stock), each non-employee director received an annual grant of deferred stock. The grant was effective on the first day of 2017, and the number of shares granted equaled</w:t>
      </w:r>
    </w:p>
    <w:p>
      <w:pPr>
        <w:spacing w:after="0" w:line="66"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73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Compensation Tables</w:t>
      </w:r>
    </w:p>
    <w:p>
      <w:pPr>
        <w:spacing w:after="0" w:line="239" w:lineRule="exact"/>
        <w:rPr>
          <w:sz w:val="20"/>
          <w:szCs w:val="20"/>
          <w:color w:val="auto"/>
        </w:rPr>
      </w:pPr>
    </w:p>
    <w:p>
      <w:pPr>
        <w:ind w:left="200" w:right="60"/>
        <w:spacing w:after="0" w:line="245" w:lineRule="auto"/>
        <w:rPr>
          <w:sz w:val="20"/>
          <w:szCs w:val="20"/>
          <w:color w:val="auto"/>
        </w:rPr>
      </w:pPr>
      <w:r>
        <w:rPr>
          <w:rFonts w:ascii="Arial" w:cs="Arial" w:eastAsia="Arial" w:hAnsi="Arial"/>
          <w:sz w:val="18"/>
          <w:szCs w:val="18"/>
          <w:color w:val="auto"/>
        </w:rPr>
        <w:t>$145,000 divided by the closing sale price of a share of ManpowerGroup’s common stock on the last business day of the preceding year, or 1,632 shares of deferred stock for 2017. Such deferred stock vests in equal quarterly installments on the last day of each calendar quarter during the year. Shares of common stock represented by vested deferred stock held by a director will be distributed to the director on the earliest of the third anniversary of the effective date of grant or within 30 days after the date the director ceases to be a member of the board of directors.</w:t>
      </w:r>
    </w:p>
    <w:p>
      <w:pPr>
        <w:spacing w:after="0" w:line="105"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The director will have the right to extend the deferral period as described above. A new non-employee director will receive a grant of deferred stock effective the date the director is appointed to the board, and the grant will be prorated for the period beginning on the date of the director’s appointment and ending on December 31 of that year.</w:t>
      </w:r>
    </w:p>
    <w:p>
      <w:pPr>
        <w:spacing w:after="0" w:line="97"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color w:val="auto"/>
        </w:rPr>
        <w:t>Instead of receiving the annual grant of deferred stock, non-employee directors have the right to elect to receive the same number of shares of restricted stock.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 or within 10 days of appointment to the board of directors.</w:t>
      </w:r>
    </w:p>
    <w:p>
      <w:pPr>
        <w:spacing w:after="0" w:line="90"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Prior to becoming a member of the board of directors, Mr. Van Handel previously served as an executive officer of the company until his retirement in February 2017. As an executive officer, Mr. Van Handel was entitled to receive compensation that included base salary, annual incentive awards, and periodic equity awards as well as other benefits. In connection with his part-year employment in 2017, Mr. Van Handel received income of $131,686, which includes base salary, customary benefits and perquisites. In connection with his retirement from the company, Mr. Van Handel received the following, which has previously been disclosed: 42,815 shares of restricted stock units with a value of $4,648,853 (as of the date of disbursement on August 16, 2017); accelerated stock options having an intrinsic value of $349,380 (as of the date of retirement); performance-based deferred compensation of $710,781 as well as $129,854 of pension benefits (as of the date of retirement). On February 15, 2018, Mr. Van Handel also received a payout of 28,375 shares with a value of $3,489,274 (based on the value on that date) following the completion of the three-year performance period of a previously-disclosed grant of PSUs made in 2015.</w:t>
      </w:r>
    </w:p>
    <w:p>
      <w:pPr>
        <w:spacing w:after="0" w:line="113"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color w:val="auto"/>
        </w:rPr>
        <w:t>The board of directors has approved an amendment to the compensation program for non-employee directors effective as of January 1, 2018. The annual equity grant has been increased from $145,000 per year to $160,000 per year. The annual cash board retainer has been increased from $100,000 per year to $115,000 per year. There was no change to the fee structure for committee chairs and the lead director for 2018.</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74</w:t>
      </w:r>
    </w:p>
    <w:p>
      <w:pPr>
        <w:sectPr>
          <w:pgSz w:w="11900" w:h="16838" w:orient="portrait"/>
          <w:cols w:equalWidth="0" w:num="1">
            <w:col w:w="11180"/>
          </w:cols>
          <w:pgMar w:left="240" w:top="455" w:right="4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Compensation Tables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5D89B4"/>
        </w:rPr>
        <w:t>Non-Employee Director Stock Ownership Guidelines</w:t>
      </w:r>
    </w:p>
    <w:p>
      <w:pPr>
        <w:spacing w:after="0" w:line="170" w:lineRule="exact"/>
        <w:rPr>
          <w:sz w:val="20"/>
          <w:szCs w:val="20"/>
          <w:color w:val="auto"/>
        </w:rPr>
      </w:pPr>
    </w:p>
    <w:p>
      <w:pPr>
        <w:ind w:left="200" w:right="40"/>
        <w:spacing w:after="0" w:line="243" w:lineRule="auto"/>
        <w:rPr>
          <w:sz w:val="20"/>
          <w:szCs w:val="20"/>
          <w:color w:val="auto"/>
        </w:rPr>
      </w:pPr>
      <w:r>
        <w:rPr>
          <w:rFonts w:ascii="Arial" w:cs="Arial" w:eastAsia="Arial" w:hAnsi="Arial"/>
          <w:sz w:val="18"/>
          <w:szCs w:val="18"/>
          <w:color w:val="auto"/>
        </w:rPr>
        <w:t>The nominating and governance committee believes that non-employee directors should hold a meaningful stake in ManpowerGroup to align their economic interests with those of the shareholders. To that end, the board of directors adopted stock ownership guidelines that currently require non-employee directors to own shares or hold vested deferred stock or vested restricted stock equal in value to five times the 2015 annual cash retainer ($90,000 at January 1, 2015, for a total guideline of $450,000). The committee takes into account vested deferred and restricted stock in determining targeted ownership levels. The following table details each non-employee director’s stock ownership relative to the stock ownership guidelines:</w:t>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2920" w:type="dxa"/>
            <w:vAlign w:val="bottom"/>
            <w:tcBorders>
              <w:top w:val="single" w:sz="8" w:color="auto"/>
            </w:tcBorders>
            <w:shd w:val="clear" w:color="auto" w:fill="9DB8D2"/>
          </w:tcPr>
          <w:p>
            <w:pPr>
              <w:spacing w:after="0"/>
              <w:rPr>
                <w:sz w:val="22"/>
                <w:szCs w:val="22"/>
                <w:color w:val="auto"/>
              </w:rPr>
            </w:pPr>
          </w:p>
        </w:tc>
        <w:tc>
          <w:tcPr>
            <w:tcW w:w="2040" w:type="dxa"/>
            <w:vAlign w:val="bottom"/>
            <w:tcBorders>
              <w:top w:val="single" w:sz="8" w:color="auto"/>
            </w:tcBorders>
            <w:shd w:val="clear" w:color="auto" w:fill="9DB8D2"/>
          </w:tcPr>
          <w:p>
            <w:pPr>
              <w:jc w:val="center"/>
              <w:ind w:left="21"/>
              <w:spacing w:after="0"/>
              <w:rPr>
                <w:sz w:val="20"/>
                <w:szCs w:val="20"/>
                <w:color w:val="auto"/>
              </w:rPr>
            </w:pPr>
            <w:r>
              <w:rPr>
                <w:rFonts w:ascii="Arial" w:cs="Arial" w:eastAsia="Arial" w:hAnsi="Arial"/>
                <w:sz w:val="14"/>
                <w:szCs w:val="14"/>
                <w:b w:val="1"/>
                <w:bCs w:val="1"/>
                <w:color w:val="auto"/>
                <w:w w:val="98"/>
              </w:rPr>
              <w:t>Target</w:t>
            </w:r>
          </w:p>
        </w:tc>
        <w:tc>
          <w:tcPr>
            <w:tcW w:w="2160" w:type="dxa"/>
            <w:vAlign w:val="bottom"/>
            <w:tcBorders>
              <w:top w:val="single" w:sz="8" w:color="auto"/>
            </w:tcBorders>
            <w:shd w:val="clear" w:color="auto" w:fill="9DB8D2"/>
          </w:tcPr>
          <w:p>
            <w:pPr>
              <w:spacing w:after="0"/>
              <w:rPr>
                <w:sz w:val="22"/>
                <w:szCs w:val="22"/>
                <w:color w:val="auto"/>
              </w:rPr>
            </w:pPr>
          </w:p>
        </w:tc>
        <w:tc>
          <w:tcPr>
            <w:tcW w:w="2020" w:type="dxa"/>
            <w:vAlign w:val="bottom"/>
            <w:tcBorders>
              <w:top w:val="single" w:sz="8" w:color="auto"/>
            </w:tcBorders>
            <w:shd w:val="clear" w:color="auto" w:fill="9DB8D2"/>
          </w:tcPr>
          <w:p>
            <w:pPr>
              <w:spacing w:after="0"/>
              <w:rPr>
                <w:sz w:val="22"/>
                <w:szCs w:val="22"/>
                <w:color w:val="auto"/>
              </w:rPr>
            </w:pPr>
          </w:p>
        </w:tc>
        <w:tc>
          <w:tcPr>
            <w:tcW w:w="1880" w:type="dxa"/>
            <w:vAlign w:val="bottom"/>
            <w:tcBorders>
              <w:top w:val="single" w:sz="8" w:color="auto"/>
            </w:tcBorders>
            <w:shd w:val="clear" w:color="auto" w:fill="9DB8D2"/>
          </w:tcPr>
          <w:p>
            <w:pPr>
              <w:spacing w:after="0"/>
              <w:rPr>
                <w:sz w:val="22"/>
                <w:szCs w:val="22"/>
                <w:color w:val="auto"/>
              </w:rPr>
            </w:pPr>
          </w:p>
        </w:tc>
      </w:tr>
      <w:tr>
        <w:trPr>
          <w:trHeight w:val="162"/>
        </w:trPr>
        <w:tc>
          <w:tcPr>
            <w:tcW w:w="2920" w:type="dxa"/>
            <w:vAlign w:val="bottom"/>
            <w:shd w:val="clear" w:color="auto" w:fill="9DB8D2"/>
          </w:tcPr>
          <w:p>
            <w:pPr>
              <w:spacing w:after="0"/>
              <w:rPr>
                <w:sz w:val="14"/>
                <w:szCs w:val="14"/>
                <w:color w:val="auto"/>
              </w:rPr>
            </w:pPr>
          </w:p>
        </w:tc>
        <w:tc>
          <w:tcPr>
            <w:tcW w:w="2040" w:type="dxa"/>
            <w:vAlign w:val="bottom"/>
            <w:shd w:val="clear" w:color="auto" w:fill="9DB8D2"/>
          </w:tcPr>
          <w:p>
            <w:pPr>
              <w:jc w:val="center"/>
              <w:ind w:left="21"/>
              <w:spacing w:after="0"/>
              <w:rPr>
                <w:sz w:val="20"/>
                <w:szCs w:val="20"/>
                <w:color w:val="auto"/>
              </w:rPr>
            </w:pPr>
            <w:r>
              <w:rPr>
                <w:rFonts w:ascii="Arial" w:cs="Arial" w:eastAsia="Arial" w:hAnsi="Arial"/>
                <w:sz w:val="14"/>
                <w:szCs w:val="14"/>
                <w:b w:val="1"/>
                <w:bCs w:val="1"/>
                <w:color w:val="auto"/>
              </w:rPr>
              <w:t>Number of shares</w:t>
            </w:r>
          </w:p>
        </w:tc>
        <w:tc>
          <w:tcPr>
            <w:tcW w:w="2160" w:type="dxa"/>
            <w:vAlign w:val="bottom"/>
            <w:shd w:val="clear" w:color="auto" w:fill="9DB8D2"/>
          </w:tcPr>
          <w:p>
            <w:pPr>
              <w:jc w:val="right"/>
              <w:ind w:right="480"/>
              <w:spacing w:after="0"/>
              <w:rPr>
                <w:sz w:val="20"/>
                <w:szCs w:val="20"/>
                <w:color w:val="auto"/>
              </w:rPr>
            </w:pPr>
            <w:r>
              <w:rPr>
                <w:rFonts w:ascii="Arial" w:cs="Arial" w:eastAsia="Arial" w:hAnsi="Arial"/>
                <w:sz w:val="14"/>
                <w:szCs w:val="14"/>
                <w:b w:val="1"/>
                <w:bCs w:val="1"/>
                <w:color w:val="auto"/>
              </w:rPr>
              <w:t>Number of shares</w:t>
            </w:r>
          </w:p>
        </w:tc>
        <w:tc>
          <w:tcPr>
            <w:tcW w:w="2020" w:type="dxa"/>
            <w:vAlign w:val="bottom"/>
            <w:shd w:val="clear" w:color="auto" w:fill="9DB8D2"/>
          </w:tcPr>
          <w:p>
            <w:pPr>
              <w:jc w:val="right"/>
              <w:ind w:right="340"/>
              <w:spacing w:after="0"/>
              <w:rPr>
                <w:sz w:val="20"/>
                <w:szCs w:val="20"/>
                <w:color w:val="auto"/>
              </w:rPr>
            </w:pPr>
            <w:r>
              <w:rPr>
                <w:rFonts w:ascii="Arial" w:cs="Arial" w:eastAsia="Arial" w:hAnsi="Arial"/>
                <w:sz w:val="14"/>
                <w:szCs w:val="14"/>
                <w:b w:val="1"/>
                <w:bCs w:val="1"/>
                <w:color w:val="auto"/>
              </w:rPr>
              <w:t>Value of shares</w:t>
            </w:r>
          </w:p>
        </w:tc>
        <w:tc>
          <w:tcPr>
            <w:tcW w:w="1880" w:type="dxa"/>
            <w:vAlign w:val="bottom"/>
            <w:shd w:val="clear" w:color="auto" w:fill="9DB8D2"/>
          </w:tcPr>
          <w:p>
            <w:pPr>
              <w:jc w:val="center"/>
              <w:ind w:left="320"/>
              <w:spacing w:after="0"/>
              <w:rPr>
                <w:sz w:val="20"/>
                <w:szCs w:val="20"/>
                <w:color w:val="auto"/>
              </w:rPr>
            </w:pPr>
            <w:r>
              <w:rPr>
                <w:rFonts w:ascii="Arial" w:cs="Arial" w:eastAsia="Arial" w:hAnsi="Arial"/>
                <w:sz w:val="14"/>
                <w:szCs w:val="14"/>
                <w:b w:val="1"/>
                <w:bCs w:val="1"/>
                <w:color w:val="auto"/>
              </w:rPr>
              <w:t>Target Date to</w:t>
            </w:r>
          </w:p>
        </w:tc>
      </w:tr>
      <w:tr>
        <w:trPr>
          <w:trHeight w:val="177"/>
        </w:trPr>
        <w:tc>
          <w:tcPr>
            <w:tcW w:w="292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Director</w:t>
            </w:r>
          </w:p>
        </w:tc>
        <w:tc>
          <w:tcPr>
            <w:tcW w:w="2040" w:type="dxa"/>
            <w:vAlign w:val="bottom"/>
            <w:tcBorders>
              <w:bottom w:val="single" w:sz="8" w:color="auto"/>
            </w:tcBorders>
            <w:shd w:val="clear" w:color="auto" w:fill="9DB8D2"/>
          </w:tcPr>
          <w:p>
            <w:pPr>
              <w:jc w:val="center"/>
              <w:ind w:left="21"/>
              <w:spacing w:after="0"/>
              <w:rPr>
                <w:sz w:val="20"/>
                <w:szCs w:val="20"/>
                <w:color w:val="auto"/>
              </w:rPr>
            </w:pPr>
            <w:r>
              <w:rPr>
                <w:rFonts w:ascii="Arial" w:cs="Arial" w:eastAsia="Arial" w:hAnsi="Arial"/>
                <w:sz w:val="14"/>
                <w:szCs w:val="14"/>
                <w:b w:val="1"/>
                <w:bCs w:val="1"/>
                <w:color w:val="auto"/>
                <w:w w:val="99"/>
              </w:rPr>
              <w:t>(#)(1)</w:t>
            </w:r>
          </w:p>
        </w:tc>
        <w:tc>
          <w:tcPr>
            <w:tcW w:w="2160" w:type="dxa"/>
            <w:vAlign w:val="bottom"/>
            <w:tcBorders>
              <w:bottom w:val="single" w:sz="8" w:color="auto"/>
            </w:tcBorders>
            <w:shd w:val="clear" w:color="auto" w:fill="9DB8D2"/>
          </w:tcPr>
          <w:p>
            <w:pPr>
              <w:jc w:val="right"/>
              <w:ind w:right="760"/>
              <w:spacing w:after="0"/>
              <w:rPr>
                <w:sz w:val="20"/>
                <w:szCs w:val="20"/>
                <w:color w:val="auto"/>
              </w:rPr>
            </w:pPr>
            <w:r>
              <w:rPr>
                <w:rFonts w:ascii="Arial" w:cs="Arial" w:eastAsia="Arial" w:hAnsi="Arial"/>
                <w:sz w:val="14"/>
                <w:szCs w:val="14"/>
                <w:b w:val="1"/>
                <w:bCs w:val="1"/>
                <w:color w:val="auto"/>
              </w:rPr>
              <w:t>held(#)(2)</w:t>
            </w:r>
          </w:p>
        </w:tc>
        <w:tc>
          <w:tcPr>
            <w:tcW w:w="2020" w:type="dxa"/>
            <w:vAlign w:val="bottom"/>
            <w:tcBorders>
              <w:bottom w:val="single" w:sz="8" w:color="auto"/>
            </w:tcBorders>
            <w:shd w:val="clear" w:color="auto" w:fill="9DB8D2"/>
          </w:tcPr>
          <w:p>
            <w:pPr>
              <w:jc w:val="right"/>
              <w:ind w:right="680"/>
              <w:spacing w:after="0"/>
              <w:rPr>
                <w:sz w:val="20"/>
                <w:szCs w:val="20"/>
                <w:color w:val="auto"/>
              </w:rPr>
            </w:pPr>
            <w:r>
              <w:rPr>
                <w:rFonts w:ascii="Arial" w:cs="Arial" w:eastAsia="Arial" w:hAnsi="Arial"/>
                <w:sz w:val="14"/>
                <w:szCs w:val="14"/>
                <w:b w:val="1"/>
                <w:bCs w:val="1"/>
                <w:color w:val="auto"/>
              </w:rPr>
              <w:t>($)(3)</w:t>
            </w:r>
          </w:p>
        </w:tc>
        <w:tc>
          <w:tcPr>
            <w:tcW w:w="1880" w:type="dxa"/>
            <w:vAlign w:val="bottom"/>
            <w:tcBorders>
              <w:bottom w:val="single" w:sz="8" w:color="auto"/>
            </w:tcBorders>
            <w:shd w:val="clear" w:color="auto" w:fill="9DB8D2"/>
          </w:tcPr>
          <w:p>
            <w:pPr>
              <w:jc w:val="center"/>
              <w:ind w:left="320"/>
              <w:spacing w:after="0"/>
              <w:rPr>
                <w:sz w:val="20"/>
                <w:szCs w:val="20"/>
                <w:color w:val="auto"/>
              </w:rPr>
            </w:pPr>
            <w:r>
              <w:rPr>
                <w:rFonts w:ascii="Arial" w:cs="Arial" w:eastAsia="Arial" w:hAnsi="Arial"/>
                <w:sz w:val="14"/>
                <w:szCs w:val="14"/>
                <w:b w:val="1"/>
                <w:bCs w:val="1"/>
                <w:color w:val="auto"/>
              </w:rPr>
              <w:t>Satisfy Guidelines(4)</w:t>
            </w:r>
          </w:p>
        </w:tc>
      </w:tr>
      <w:tr>
        <w:trPr>
          <w:trHeight w:val="183"/>
        </w:trPr>
        <w:tc>
          <w:tcPr>
            <w:tcW w:w="2920" w:type="dxa"/>
            <w:vAlign w:val="bottom"/>
            <w:shd w:val="clear" w:color="auto" w:fill="E6EDF3"/>
          </w:tcPr>
          <w:p>
            <w:pPr>
              <w:ind w:left="60"/>
              <w:spacing w:after="0" w:line="183" w:lineRule="exact"/>
              <w:rPr>
                <w:sz w:val="20"/>
                <w:szCs w:val="20"/>
                <w:color w:val="auto"/>
              </w:rPr>
            </w:pPr>
            <w:r>
              <w:rPr>
                <w:rFonts w:ascii="Arial" w:cs="Arial" w:eastAsia="Arial" w:hAnsi="Arial"/>
                <w:sz w:val="16"/>
                <w:szCs w:val="16"/>
                <w:color w:val="auto"/>
              </w:rPr>
              <w:t>Gina R. Boswell</w:t>
            </w:r>
          </w:p>
        </w:tc>
        <w:tc>
          <w:tcPr>
            <w:tcW w:w="2040" w:type="dxa"/>
            <w:vAlign w:val="bottom"/>
            <w:shd w:val="clear" w:color="auto" w:fill="E6EDF3"/>
          </w:tcPr>
          <w:p>
            <w:pPr>
              <w:jc w:val="right"/>
              <w:ind w:right="581"/>
              <w:spacing w:after="0" w:line="183" w:lineRule="exact"/>
              <w:rPr>
                <w:sz w:val="20"/>
                <w:szCs w:val="20"/>
                <w:color w:val="auto"/>
              </w:rPr>
            </w:pPr>
            <w:r>
              <w:rPr>
                <w:rFonts w:ascii="Arial" w:cs="Arial" w:eastAsia="Arial" w:hAnsi="Arial"/>
                <w:sz w:val="16"/>
                <w:szCs w:val="16"/>
                <w:color w:val="auto"/>
              </w:rPr>
              <w:t>6,601</w:t>
            </w:r>
          </w:p>
        </w:tc>
        <w:tc>
          <w:tcPr>
            <w:tcW w:w="2160" w:type="dxa"/>
            <w:vAlign w:val="bottom"/>
            <w:shd w:val="clear" w:color="auto" w:fill="E6EDF3"/>
          </w:tcPr>
          <w:p>
            <w:pPr>
              <w:jc w:val="right"/>
              <w:ind w:right="820"/>
              <w:spacing w:after="0" w:line="183" w:lineRule="exact"/>
              <w:rPr>
                <w:sz w:val="20"/>
                <w:szCs w:val="20"/>
                <w:color w:val="auto"/>
              </w:rPr>
            </w:pPr>
            <w:r>
              <w:rPr>
                <w:rFonts w:ascii="Arial" w:cs="Arial" w:eastAsia="Arial" w:hAnsi="Arial"/>
                <w:sz w:val="16"/>
                <w:szCs w:val="16"/>
                <w:color w:val="auto"/>
              </w:rPr>
              <w:t>7,870</w:t>
            </w:r>
          </w:p>
        </w:tc>
        <w:tc>
          <w:tcPr>
            <w:tcW w:w="2020" w:type="dxa"/>
            <w:vAlign w:val="bottom"/>
            <w:shd w:val="clear" w:color="auto" w:fill="E6EDF3"/>
          </w:tcPr>
          <w:p>
            <w:pPr>
              <w:jc w:val="right"/>
              <w:ind w:right="480"/>
              <w:spacing w:after="0" w:line="183" w:lineRule="exact"/>
              <w:rPr>
                <w:sz w:val="20"/>
                <w:szCs w:val="20"/>
                <w:color w:val="auto"/>
              </w:rPr>
            </w:pPr>
            <w:r>
              <w:rPr>
                <w:rFonts w:ascii="Arial" w:cs="Arial" w:eastAsia="Arial" w:hAnsi="Arial"/>
                <w:sz w:val="16"/>
                <w:szCs w:val="16"/>
                <w:color w:val="auto"/>
              </w:rPr>
              <w:t>964,705</w:t>
            </w:r>
          </w:p>
        </w:tc>
        <w:tc>
          <w:tcPr>
            <w:tcW w:w="1880" w:type="dxa"/>
            <w:vAlign w:val="bottom"/>
            <w:shd w:val="clear" w:color="auto" w:fill="E6EDF3"/>
          </w:tcPr>
          <w:p>
            <w:pPr>
              <w:jc w:val="center"/>
              <w:ind w:left="320"/>
              <w:spacing w:after="0" w:line="183" w:lineRule="exact"/>
              <w:rPr>
                <w:sz w:val="20"/>
                <w:szCs w:val="20"/>
                <w:color w:val="auto"/>
              </w:rPr>
            </w:pPr>
            <w:r>
              <w:rPr>
                <w:rFonts w:ascii="Arial" w:cs="Arial" w:eastAsia="Arial" w:hAnsi="Arial"/>
                <w:sz w:val="16"/>
                <w:szCs w:val="16"/>
                <w:color w:val="auto"/>
              </w:rPr>
              <w:t>Guidelines Satisfied</w:t>
            </w:r>
          </w:p>
        </w:tc>
      </w:tr>
      <w:tr>
        <w:trPr>
          <w:trHeight w:val="189"/>
        </w:trPr>
        <w:tc>
          <w:tcPr>
            <w:tcW w:w="2920" w:type="dxa"/>
            <w:vAlign w:val="bottom"/>
          </w:tcPr>
          <w:p>
            <w:pPr>
              <w:ind w:left="60"/>
              <w:spacing w:after="0"/>
              <w:rPr>
                <w:sz w:val="20"/>
                <w:szCs w:val="20"/>
                <w:color w:val="auto"/>
              </w:rPr>
            </w:pPr>
            <w:r>
              <w:rPr>
                <w:rFonts w:ascii="Arial" w:cs="Arial" w:eastAsia="Arial" w:hAnsi="Arial"/>
                <w:sz w:val="16"/>
                <w:szCs w:val="16"/>
                <w:color w:val="auto"/>
              </w:rPr>
              <w:t>Cari M. Dominguez</w:t>
            </w:r>
          </w:p>
        </w:tc>
        <w:tc>
          <w:tcPr>
            <w:tcW w:w="2040" w:type="dxa"/>
            <w:vAlign w:val="bottom"/>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tcPr>
          <w:p>
            <w:pPr>
              <w:jc w:val="right"/>
              <w:ind w:right="820"/>
              <w:spacing w:after="0"/>
              <w:rPr>
                <w:sz w:val="20"/>
                <w:szCs w:val="20"/>
                <w:color w:val="auto"/>
              </w:rPr>
            </w:pPr>
            <w:r>
              <w:rPr>
                <w:rFonts w:ascii="Arial" w:cs="Arial" w:eastAsia="Arial" w:hAnsi="Arial"/>
                <w:sz w:val="16"/>
                <w:szCs w:val="16"/>
                <w:color w:val="auto"/>
              </w:rPr>
              <w:t>20,354</w:t>
            </w:r>
          </w:p>
        </w:tc>
        <w:tc>
          <w:tcPr>
            <w:tcW w:w="2020" w:type="dxa"/>
            <w:vAlign w:val="bottom"/>
          </w:tcPr>
          <w:p>
            <w:pPr>
              <w:jc w:val="right"/>
              <w:ind w:right="480"/>
              <w:spacing w:after="0"/>
              <w:rPr>
                <w:sz w:val="20"/>
                <w:szCs w:val="20"/>
                <w:color w:val="auto"/>
              </w:rPr>
            </w:pPr>
            <w:r>
              <w:rPr>
                <w:rFonts w:ascii="Arial" w:cs="Arial" w:eastAsia="Arial" w:hAnsi="Arial"/>
                <w:sz w:val="16"/>
                <w:szCs w:val="16"/>
                <w:color w:val="auto"/>
              </w:rPr>
              <w:t>2,494,993</w:t>
            </w:r>
          </w:p>
        </w:tc>
        <w:tc>
          <w:tcPr>
            <w:tcW w:w="1880" w:type="dxa"/>
            <w:vAlign w:val="bottom"/>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189"/>
        </w:trPr>
        <w:tc>
          <w:tcPr>
            <w:tcW w:w="2920" w:type="dxa"/>
            <w:vAlign w:val="bottom"/>
            <w:shd w:val="clear" w:color="auto" w:fill="E6EDF3"/>
          </w:tcPr>
          <w:p>
            <w:pPr>
              <w:ind w:left="60"/>
              <w:spacing w:after="0"/>
              <w:rPr>
                <w:sz w:val="20"/>
                <w:szCs w:val="20"/>
                <w:color w:val="auto"/>
              </w:rPr>
            </w:pPr>
            <w:r>
              <w:rPr>
                <w:rFonts w:ascii="Arial" w:cs="Arial" w:eastAsia="Arial" w:hAnsi="Arial"/>
                <w:sz w:val="16"/>
                <w:szCs w:val="16"/>
                <w:color w:val="auto"/>
              </w:rPr>
              <w:t>William Downe</w:t>
            </w:r>
          </w:p>
        </w:tc>
        <w:tc>
          <w:tcPr>
            <w:tcW w:w="2040" w:type="dxa"/>
            <w:vAlign w:val="bottom"/>
            <w:shd w:val="clear" w:color="auto" w:fill="E6EDF3"/>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shd w:val="clear" w:color="auto" w:fill="E6EDF3"/>
          </w:tcPr>
          <w:p>
            <w:pPr>
              <w:jc w:val="right"/>
              <w:ind w:right="820"/>
              <w:spacing w:after="0"/>
              <w:rPr>
                <w:sz w:val="20"/>
                <w:szCs w:val="20"/>
                <w:color w:val="auto"/>
              </w:rPr>
            </w:pPr>
            <w:r>
              <w:rPr>
                <w:rFonts w:ascii="Arial" w:cs="Arial" w:eastAsia="Arial" w:hAnsi="Arial"/>
                <w:sz w:val="16"/>
                <w:szCs w:val="16"/>
                <w:color w:val="auto"/>
              </w:rPr>
              <w:t>37,730</w:t>
            </w:r>
          </w:p>
        </w:tc>
        <w:tc>
          <w:tcPr>
            <w:tcW w:w="2020" w:type="dxa"/>
            <w:vAlign w:val="bottom"/>
            <w:shd w:val="clear" w:color="auto" w:fill="E6EDF3"/>
          </w:tcPr>
          <w:p>
            <w:pPr>
              <w:jc w:val="right"/>
              <w:ind w:right="480"/>
              <w:spacing w:after="0"/>
              <w:rPr>
                <w:sz w:val="20"/>
                <w:szCs w:val="20"/>
                <w:color w:val="auto"/>
              </w:rPr>
            </w:pPr>
            <w:r>
              <w:rPr>
                <w:rFonts w:ascii="Arial" w:cs="Arial" w:eastAsia="Arial" w:hAnsi="Arial"/>
                <w:sz w:val="16"/>
                <w:szCs w:val="16"/>
                <w:color w:val="auto"/>
              </w:rPr>
              <w:t>4,624,943</w:t>
            </w:r>
          </w:p>
        </w:tc>
        <w:tc>
          <w:tcPr>
            <w:tcW w:w="1880" w:type="dxa"/>
            <w:vAlign w:val="bottom"/>
            <w:shd w:val="clear" w:color="auto" w:fill="E6EDF3"/>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189"/>
        </w:trPr>
        <w:tc>
          <w:tcPr>
            <w:tcW w:w="2920" w:type="dxa"/>
            <w:vAlign w:val="bottom"/>
          </w:tcPr>
          <w:p>
            <w:pPr>
              <w:ind w:left="60"/>
              <w:spacing w:after="0"/>
              <w:rPr>
                <w:sz w:val="20"/>
                <w:szCs w:val="20"/>
                <w:color w:val="auto"/>
              </w:rPr>
            </w:pPr>
            <w:r>
              <w:rPr>
                <w:rFonts w:ascii="Arial" w:cs="Arial" w:eastAsia="Arial" w:hAnsi="Arial"/>
                <w:sz w:val="16"/>
                <w:szCs w:val="16"/>
                <w:color w:val="auto"/>
              </w:rPr>
              <w:t>John F. Ferraro</w:t>
            </w:r>
          </w:p>
        </w:tc>
        <w:tc>
          <w:tcPr>
            <w:tcW w:w="2040" w:type="dxa"/>
            <w:vAlign w:val="bottom"/>
          </w:tcPr>
          <w:p>
            <w:pPr>
              <w:jc w:val="right"/>
              <w:ind w:right="581"/>
              <w:spacing w:after="0"/>
              <w:rPr>
                <w:sz w:val="20"/>
                <w:szCs w:val="20"/>
                <w:color w:val="auto"/>
              </w:rPr>
            </w:pPr>
            <w:r>
              <w:rPr>
                <w:rFonts w:ascii="Arial" w:cs="Arial" w:eastAsia="Arial" w:hAnsi="Arial"/>
                <w:sz w:val="16"/>
                <w:szCs w:val="16"/>
                <w:color w:val="auto"/>
              </w:rPr>
              <w:t>5,894</w:t>
            </w:r>
          </w:p>
        </w:tc>
        <w:tc>
          <w:tcPr>
            <w:tcW w:w="2160" w:type="dxa"/>
            <w:vAlign w:val="bottom"/>
          </w:tcPr>
          <w:p>
            <w:pPr>
              <w:jc w:val="right"/>
              <w:ind w:right="820"/>
              <w:spacing w:after="0"/>
              <w:rPr>
                <w:sz w:val="20"/>
                <w:szCs w:val="20"/>
                <w:color w:val="auto"/>
              </w:rPr>
            </w:pPr>
            <w:r>
              <w:rPr>
                <w:rFonts w:ascii="Arial" w:cs="Arial" w:eastAsia="Arial" w:hAnsi="Arial"/>
                <w:sz w:val="16"/>
                <w:szCs w:val="16"/>
                <w:color w:val="auto"/>
              </w:rPr>
              <w:t>5,516</w:t>
            </w:r>
          </w:p>
        </w:tc>
        <w:tc>
          <w:tcPr>
            <w:tcW w:w="2020" w:type="dxa"/>
            <w:vAlign w:val="bottom"/>
          </w:tcPr>
          <w:p>
            <w:pPr>
              <w:jc w:val="right"/>
              <w:ind w:right="480"/>
              <w:spacing w:after="0"/>
              <w:rPr>
                <w:sz w:val="20"/>
                <w:szCs w:val="20"/>
                <w:color w:val="auto"/>
              </w:rPr>
            </w:pPr>
            <w:r>
              <w:rPr>
                <w:rFonts w:ascii="Arial" w:cs="Arial" w:eastAsia="Arial" w:hAnsi="Arial"/>
                <w:sz w:val="16"/>
                <w:szCs w:val="16"/>
                <w:color w:val="auto"/>
              </w:rPr>
              <w:t>676,151</w:t>
            </w:r>
          </w:p>
        </w:tc>
        <w:tc>
          <w:tcPr>
            <w:tcW w:w="1880" w:type="dxa"/>
            <w:vAlign w:val="bottom"/>
          </w:tcPr>
          <w:p>
            <w:pPr>
              <w:jc w:val="center"/>
              <w:ind w:left="320"/>
              <w:spacing w:after="0"/>
              <w:rPr>
                <w:sz w:val="20"/>
                <w:szCs w:val="20"/>
                <w:color w:val="auto"/>
              </w:rPr>
            </w:pPr>
            <w:r>
              <w:rPr>
                <w:rFonts w:ascii="Arial" w:cs="Arial" w:eastAsia="Arial" w:hAnsi="Arial"/>
                <w:sz w:val="16"/>
                <w:szCs w:val="16"/>
                <w:color w:val="auto"/>
              </w:rPr>
              <w:t>January 1, 2020</w:t>
            </w:r>
          </w:p>
        </w:tc>
      </w:tr>
      <w:tr>
        <w:trPr>
          <w:trHeight w:val="189"/>
        </w:trPr>
        <w:tc>
          <w:tcPr>
            <w:tcW w:w="2920" w:type="dxa"/>
            <w:vAlign w:val="bottom"/>
            <w:shd w:val="clear" w:color="auto" w:fill="E6EDF3"/>
          </w:tcPr>
          <w:p>
            <w:pPr>
              <w:ind w:left="60"/>
              <w:spacing w:after="0"/>
              <w:rPr>
                <w:sz w:val="20"/>
                <w:szCs w:val="20"/>
                <w:color w:val="auto"/>
              </w:rPr>
            </w:pPr>
            <w:r>
              <w:rPr>
                <w:rFonts w:ascii="Arial" w:cs="Arial" w:eastAsia="Arial" w:hAnsi="Arial"/>
                <w:sz w:val="16"/>
                <w:szCs w:val="16"/>
                <w:color w:val="auto"/>
              </w:rPr>
              <w:t>Patricia Hemingway Hall</w:t>
            </w:r>
          </w:p>
        </w:tc>
        <w:tc>
          <w:tcPr>
            <w:tcW w:w="2040" w:type="dxa"/>
            <w:vAlign w:val="bottom"/>
            <w:shd w:val="clear" w:color="auto" w:fill="E6EDF3"/>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shd w:val="clear" w:color="auto" w:fill="E6EDF3"/>
          </w:tcPr>
          <w:p>
            <w:pPr>
              <w:jc w:val="right"/>
              <w:ind w:right="820"/>
              <w:spacing w:after="0"/>
              <w:rPr>
                <w:sz w:val="20"/>
                <w:szCs w:val="20"/>
                <w:color w:val="auto"/>
              </w:rPr>
            </w:pPr>
            <w:r>
              <w:rPr>
                <w:rFonts w:ascii="Arial" w:cs="Arial" w:eastAsia="Arial" w:hAnsi="Arial"/>
                <w:sz w:val="16"/>
                <w:szCs w:val="16"/>
                <w:color w:val="auto"/>
              </w:rPr>
              <w:t>8,501</w:t>
            </w:r>
          </w:p>
        </w:tc>
        <w:tc>
          <w:tcPr>
            <w:tcW w:w="2020" w:type="dxa"/>
            <w:vAlign w:val="bottom"/>
            <w:shd w:val="clear" w:color="auto" w:fill="E6EDF3"/>
          </w:tcPr>
          <w:p>
            <w:pPr>
              <w:jc w:val="right"/>
              <w:ind w:right="480"/>
              <w:spacing w:after="0"/>
              <w:rPr>
                <w:sz w:val="20"/>
                <w:szCs w:val="20"/>
                <w:color w:val="auto"/>
              </w:rPr>
            </w:pPr>
            <w:r>
              <w:rPr>
                <w:rFonts w:ascii="Arial" w:cs="Arial" w:eastAsia="Arial" w:hAnsi="Arial"/>
                <w:sz w:val="16"/>
                <w:szCs w:val="16"/>
                <w:color w:val="auto"/>
              </w:rPr>
              <w:t>1,042,053</w:t>
            </w:r>
          </w:p>
        </w:tc>
        <w:tc>
          <w:tcPr>
            <w:tcW w:w="1880" w:type="dxa"/>
            <w:vAlign w:val="bottom"/>
            <w:shd w:val="clear" w:color="auto" w:fill="E6EDF3"/>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189"/>
        </w:trPr>
        <w:tc>
          <w:tcPr>
            <w:tcW w:w="2920" w:type="dxa"/>
            <w:vAlign w:val="bottom"/>
          </w:tcPr>
          <w:p>
            <w:pPr>
              <w:ind w:left="60"/>
              <w:spacing w:after="0"/>
              <w:rPr>
                <w:sz w:val="20"/>
                <w:szCs w:val="20"/>
                <w:color w:val="auto"/>
              </w:rPr>
            </w:pPr>
            <w:r>
              <w:rPr>
                <w:rFonts w:ascii="Arial" w:cs="Arial" w:eastAsia="Arial" w:hAnsi="Arial"/>
                <w:sz w:val="16"/>
                <w:szCs w:val="16"/>
                <w:color w:val="auto"/>
              </w:rPr>
              <w:t>Julie M. Howard</w:t>
            </w:r>
          </w:p>
        </w:tc>
        <w:tc>
          <w:tcPr>
            <w:tcW w:w="2040" w:type="dxa"/>
            <w:vAlign w:val="bottom"/>
          </w:tcPr>
          <w:p>
            <w:pPr>
              <w:jc w:val="right"/>
              <w:ind w:right="581"/>
              <w:spacing w:after="0"/>
              <w:rPr>
                <w:sz w:val="20"/>
                <w:szCs w:val="20"/>
                <w:color w:val="auto"/>
              </w:rPr>
            </w:pPr>
            <w:r>
              <w:rPr>
                <w:rFonts w:ascii="Arial" w:cs="Arial" w:eastAsia="Arial" w:hAnsi="Arial"/>
                <w:sz w:val="16"/>
                <w:szCs w:val="16"/>
                <w:color w:val="auto"/>
              </w:rPr>
              <w:t>5,064</w:t>
            </w:r>
          </w:p>
        </w:tc>
        <w:tc>
          <w:tcPr>
            <w:tcW w:w="2160" w:type="dxa"/>
            <w:vAlign w:val="bottom"/>
          </w:tcPr>
          <w:p>
            <w:pPr>
              <w:jc w:val="right"/>
              <w:ind w:right="820"/>
              <w:spacing w:after="0"/>
              <w:rPr>
                <w:sz w:val="20"/>
                <w:szCs w:val="20"/>
                <w:color w:val="auto"/>
              </w:rPr>
            </w:pPr>
            <w:r>
              <w:rPr>
                <w:rFonts w:ascii="Arial" w:cs="Arial" w:eastAsia="Arial" w:hAnsi="Arial"/>
                <w:sz w:val="16"/>
                <w:szCs w:val="16"/>
                <w:color w:val="auto"/>
              </w:rPr>
              <w:t>2,618</w:t>
            </w:r>
          </w:p>
        </w:tc>
        <w:tc>
          <w:tcPr>
            <w:tcW w:w="2020" w:type="dxa"/>
            <w:vAlign w:val="bottom"/>
          </w:tcPr>
          <w:p>
            <w:pPr>
              <w:jc w:val="right"/>
              <w:ind w:right="480"/>
              <w:spacing w:after="0"/>
              <w:rPr>
                <w:sz w:val="20"/>
                <w:szCs w:val="20"/>
                <w:color w:val="auto"/>
              </w:rPr>
            </w:pPr>
            <w:r>
              <w:rPr>
                <w:rFonts w:ascii="Arial" w:cs="Arial" w:eastAsia="Arial" w:hAnsi="Arial"/>
                <w:sz w:val="16"/>
                <w:szCs w:val="16"/>
                <w:color w:val="auto"/>
              </w:rPr>
              <w:t>320,914</w:t>
            </w:r>
          </w:p>
        </w:tc>
        <w:tc>
          <w:tcPr>
            <w:tcW w:w="1880" w:type="dxa"/>
            <w:vAlign w:val="bottom"/>
          </w:tcPr>
          <w:p>
            <w:pPr>
              <w:jc w:val="center"/>
              <w:ind w:left="320"/>
              <w:spacing w:after="0"/>
              <w:rPr>
                <w:sz w:val="20"/>
                <w:szCs w:val="20"/>
                <w:color w:val="auto"/>
              </w:rPr>
            </w:pPr>
            <w:r>
              <w:rPr>
                <w:rFonts w:ascii="Arial" w:cs="Arial" w:eastAsia="Arial" w:hAnsi="Arial"/>
                <w:sz w:val="16"/>
                <w:szCs w:val="16"/>
                <w:color w:val="auto"/>
              </w:rPr>
              <w:t>December 12, 2020</w:t>
            </w:r>
          </w:p>
        </w:tc>
      </w:tr>
      <w:tr>
        <w:trPr>
          <w:trHeight w:val="189"/>
        </w:trPr>
        <w:tc>
          <w:tcPr>
            <w:tcW w:w="2920" w:type="dxa"/>
            <w:vAlign w:val="bottom"/>
            <w:shd w:val="clear" w:color="auto" w:fill="E6EDF3"/>
          </w:tcPr>
          <w:p>
            <w:pPr>
              <w:ind w:left="60"/>
              <w:spacing w:after="0"/>
              <w:rPr>
                <w:sz w:val="20"/>
                <w:szCs w:val="20"/>
                <w:color w:val="auto"/>
              </w:rPr>
            </w:pPr>
            <w:r>
              <w:rPr>
                <w:rFonts w:ascii="Arial" w:cs="Arial" w:eastAsia="Arial" w:hAnsi="Arial"/>
                <w:sz w:val="16"/>
                <w:szCs w:val="16"/>
                <w:color w:val="auto"/>
              </w:rPr>
              <w:t>Roberto Mendoza</w:t>
            </w:r>
          </w:p>
        </w:tc>
        <w:tc>
          <w:tcPr>
            <w:tcW w:w="2040" w:type="dxa"/>
            <w:vAlign w:val="bottom"/>
            <w:shd w:val="clear" w:color="auto" w:fill="E6EDF3"/>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shd w:val="clear" w:color="auto" w:fill="E6EDF3"/>
          </w:tcPr>
          <w:p>
            <w:pPr>
              <w:jc w:val="right"/>
              <w:ind w:right="820"/>
              <w:spacing w:after="0"/>
              <w:rPr>
                <w:sz w:val="20"/>
                <w:szCs w:val="20"/>
                <w:color w:val="auto"/>
              </w:rPr>
            </w:pPr>
            <w:r>
              <w:rPr>
                <w:rFonts w:ascii="Arial" w:cs="Arial" w:eastAsia="Arial" w:hAnsi="Arial"/>
                <w:sz w:val="16"/>
                <w:szCs w:val="16"/>
                <w:color w:val="auto"/>
              </w:rPr>
              <w:t>22,616</w:t>
            </w:r>
          </w:p>
        </w:tc>
        <w:tc>
          <w:tcPr>
            <w:tcW w:w="2020" w:type="dxa"/>
            <w:vAlign w:val="bottom"/>
            <w:shd w:val="clear" w:color="auto" w:fill="E6EDF3"/>
          </w:tcPr>
          <w:p>
            <w:pPr>
              <w:jc w:val="right"/>
              <w:ind w:right="480"/>
              <w:spacing w:after="0"/>
              <w:rPr>
                <w:sz w:val="20"/>
                <w:szCs w:val="20"/>
                <w:color w:val="auto"/>
              </w:rPr>
            </w:pPr>
            <w:r>
              <w:rPr>
                <w:rFonts w:ascii="Arial" w:cs="Arial" w:eastAsia="Arial" w:hAnsi="Arial"/>
                <w:sz w:val="16"/>
                <w:szCs w:val="16"/>
                <w:color w:val="auto"/>
              </w:rPr>
              <w:t>2,772,269</w:t>
            </w:r>
          </w:p>
        </w:tc>
        <w:tc>
          <w:tcPr>
            <w:tcW w:w="1880" w:type="dxa"/>
            <w:vAlign w:val="bottom"/>
            <w:shd w:val="clear" w:color="auto" w:fill="E6EDF3"/>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189"/>
        </w:trPr>
        <w:tc>
          <w:tcPr>
            <w:tcW w:w="2920" w:type="dxa"/>
            <w:vAlign w:val="bottom"/>
          </w:tcPr>
          <w:p>
            <w:pPr>
              <w:ind w:left="60"/>
              <w:spacing w:after="0"/>
              <w:rPr>
                <w:sz w:val="20"/>
                <w:szCs w:val="20"/>
                <w:color w:val="auto"/>
              </w:rPr>
            </w:pPr>
            <w:r>
              <w:rPr>
                <w:rFonts w:ascii="Arial" w:cs="Arial" w:eastAsia="Arial" w:hAnsi="Arial"/>
                <w:sz w:val="16"/>
                <w:szCs w:val="16"/>
                <w:color w:val="auto"/>
              </w:rPr>
              <w:t>Ulice Payne, Jr.</w:t>
            </w:r>
          </w:p>
        </w:tc>
        <w:tc>
          <w:tcPr>
            <w:tcW w:w="2040" w:type="dxa"/>
            <w:vAlign w:val="bottom"/>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tcPr>
          <w:p>
            <w:pPr>
              <w:jc w:val="right"/>
              <w:ind w:right="820"/>
              <w:spacing w:after="0"/>
              <w:rPr>
                <w:sz w:val="20"/>
                <w:szCs w:val="20"/>
                <w:color w:val="auto"/>
              </w:rPr>
            </w:pPr>
            <w:r>
              <w:rPr>
                <w:rFonts w:ascii="Arial" w:cs="Arial" w:eastAsia="Arial" w:hAnsi="Arial"/>
                <w:sz w:val="16"/>
                <w:szCs w:val="16"/>
                <w:color w:val="auto"/>
              </w:rPr>
              <w:t>11,136</w:t>
            </w:r>
          </w:p>
        </w:tc>
        <w:tc>
          <w:tcPr>
            <w:tcW w:w="2020" w:type="dxa"/>
            <w:vAlign w:val="bottom"/>
          </w:tcPr>
          <w:p>
            <w:pPr>
              <w:jc w:val="right"/>
              <w:ind w:right="480"/>
              <w:spacing w:after="0"/>
              <w:rPr>
                <w:sz w:val="20"/>
                <w:szCs w:val="20"/>
                <w:color w:val="auto"/>
              </w:rPr>
            </w:pPr>
            <w:r>
              <w:rPr>
                <w:rFonts w:ascii="Arial" w:cs="Arial" w:eastAsia="Arial" w:hAnsi="Arial"/>
                <w:sz w:val="16"/>
                <w:szCs w:val="16"/>
                <w:color w:val="auto"/>
              </w:rPr>
              <w:t>1,365,051</w:t>
            </w:r>
          </w:p>
        </w:tc>
        <w:tc>
          <w:tcPr>
            <w:tcW w:w="1880" w:type="dxa"/>
            <w:vAlign w:val="bottom"/>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189"/>
        </w:trPr>
        <w:tc>
          <w:tcPr>
            <w:tcW w:w="2920" w:type="dxa"/>
            <w:vAlign w:val="bottom"/>
            <w:shd w:val="clear" w:color="auto" w:fill="E6EDF3"/>
          </w:tcPr>
          <w:p>
            <w:pPr>
              <w:ind w:left="60"/>
              <w:spacing w:after="0"/>
              <w:rPr>
                <w:sz w:val="20"/>
                <w:szCs w:val="20"/>
                <w:color w:val="auto"/>
              </w:rPr>
            </w:pPr>
            <w:r>
              <w:rPr>
                <w:rFonts w:ascii="Arial" w:cs="Arial" w:eastAsia="Arial" w:hAnsi="Arial"/>
                <w:sz w:val="16"/>
                <w:szCs w:val="16"/>
                <w:color w:val="auto"/>
              </w:rPr>
              <w:t>Paul Read</w:t>
            </w:r>
          </w:p>
        </w:tc>
        <w:tc>
          <w:tcPr>
            <w:tcW w:w="2040" w:type="dxa"/>
            <w:vAlign w:val="bottom"/>
            <w:shd w:val="clear" w:color="auto" w:fill="E6EDF3"/>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shd w:val="clear" w:color="auto" w:fill="E6EDF3"/>
          </w:tcPr>
          <w:p>
            <w:pPr>
              <w:jc w:val="right"/>
              <w:ind w:right="820"/>
              <w:spacing w:after="0"/>
              <w:rPr>
                <w:sz w:val="20"/>
                <w:szCs w:val="20"/>
                <w:color w:val="auto"/>
              </w:rPr>
            </w:pPr>
            <w:r>
              <w:rPr>
                <w:rFonts w:ascii="Arial" w:cs="Arial" w:eastAsia="Arial" w:hAnsi="Arial"/>
                <w:sz w:val="16"/>
                <w:szCs w:val="16"/>
                <w:color w:val="auto"/>
              </w:rPr>
              <w:t>5,353</w:t>
            </w:r>
          </w:p>
        </w:tc>
        <w:tc>
          <w:tcPr>
            <w:tcW w:w="2020" w:type="dxa"/>
            <w:vAlign w:val="bottom"/>
            <w:shd w:val="clear" w:color="auto" w:fill="E6EDF3"/>
          </w:tcPr>
          <w:p>
            <w:pPr>
              <w:jc w:val="right"/>
              <w:ind w:right="480"/>
              <w:spacing w:after="0"/>
              <w:rPr>
                <w:sz w:val="20"/>
                <w:szCs w:val="20"/>
                <w:color w:val="auto"/>
              </w:rPr>
            </w:pPr>
            <w:r>
              <w:rPr>
                <w:rFonts w:ascii="Arial" w:cs="Arial" w:eastAsia="Arial" w:hAnsi="Arial"/>
                <w:sz w:val="16"/>
                <w:szCs w:val="16"/>
                <w:color w:val="auto"/>
              </w:rPr>
              <w:t>656,171</w:t>
            </w:r>
          </w:p>
        </w:tc>
        <w:tc>
          <w:tcPr>
            <w:tcW w:w="1880" w:type="dxa"/>
            <w:vAlign w:val="bottom"/>
            <w:shd w:val="clear" w:color="auto" w:fill="E6EDF3"/>
          </w:tcPr>
          <w:p>
            <w:pPr>
              <w:jc w:val="center"/>
              <w:ind w:left="320"/>
              <w:spacing w:after="0"/>
              <w:rPr>
                <w:sz w:val="20"/>
                <w:szCs w:val="20"/>
                <w:color w:val="auto"/>
              </w:rPr>
            </w:pPr>
            <w:r>
              <w:rPr>
                <w:rFonts w:ascii="Arial" w:cs="Arial" w:eastAsia="Arial" w:hAnsi="Arial"/>
                <w:sz w:val="16"/>
                <w:szCs w:val="16"/>
                <w:color w:val="auto"/>
              </w:rPr>
              <w:t>December 15, 2018</w:t>
            </w:r>
          </w:p>
        </w:tc>
      </w:tr>
      <w:tr>
        <w:trPr>
          <w:trHeight w:val="189"/>
        </w:trPr>
        <w:tc>
          <w:tcPr>
            <w:tcW w:w="2920" w:type="dxa"/>
            <w:vAlign w:val="bottom"/>
          </w:tcPr>
          <w:p>
            <w:pPr>
              <w:ind w:left="60"/>
              <w:spacing w:after="0"/>
              <w:rPr>
                <w:sz w:val="20"/>
                <w:szCs w:val="20"/>
                <w:color w:val="auto"/>
              </w:rPr>
            </w:pPr>
            <w:r>
              <w:rPr>
                <w:rFonts w:ascii="Arial" w:cs="Arial" w:eastAsia="Arial" w:hAnsi="Arial"/>
                <w:sz w:val="16"/>
                <w:szCs w:val="16"/>
                <w:color w:val="auto"/>
              </w:rPr>
              <w:t>Elizabeth P. Sartain</w:t>
            </w:r>
          </w:p>
        </w:tc>
        <w:tc>
          <w:tcPr>
            <w:tcW w:w="2040" w:type="dxa"/>
            <w:vAlign w:val="bottom"/>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tcPr>
          <w:p>
            <w:pPr>
              <w:jc w:val="right"/>
              <w:ind w:right="820"/>
              <w:spacing w:after="0"/>
              <w:rPr>
                <w:sz w:val="20"/>
                <w:szCs w:val="20"/>
                <w:color w:val="auto"/>
              </w:rPr>
            </w:pPr>
            <w:r>
              <w:rPr>
                <w:rFonts w:ascii="Arial" w:cs="Arial" w:eastAsia="Arial" w:hAnsi="Arial"/>
                <w:sz w:val="16"/>
                <w:szCs w:val="16"/>
                <w:color w:val="auto"/>
              </w:rPr>
              <w:t>17,959</w:t>
            </w:r>
          </w:p>
        </w:tc>
        <w:tc>
          <w:tcPr>
            <w:tcW w:w="2020" w:type="dxa"/>
            <w:vAlign w:val="bottom"/>
          </w:tcPr>
          <w:p>
            <w:pPr>
              <w:jc w:val="right"/>
              <w:ind w:right="480"/>
              <w:spacing w:after="0"/>
              <w:rPr>
                <w:sz w:val="20"/>
                <w:szCs w:val="20"/>
                <w:color w:val="auto"/>
              </w:rPr>
            </w:pPr>
            <w:r>
              <w:rPr>
                <w:rFonts w:ascii="Arial" w:cs="Arial" w:eastAsia="Arial" w:hAnsi="Arial"/>
                <w:sz w:val="16"/>
                <w:szCs w:val="16"/>
                <w:color w:val="auto"/>
              </w:rPr>
              <w:t>2,201,414</w:t>
            </w:r>
          </w:p>
        </w:tc>
        <w:tc>
          <w:tcPr>
            <w:tcW w:w="1880" w:type="dxa"/>
            <w:vAlign w:val="bottom"/>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189"/>
        </w:trPr>
        <w:tc>
          <w:tcPr>
            <w:tcW w:w="2920" w:type="dxa"/>
            <w:vAlign w:val="bottom"/>
            <w:shd w:val="clear" w:color="auto" w:fill="E6EDF3"/>
          </w:tcPr>
          <w:p>
            <w:pPr>
              <w:ind w:left="60"/>
              <w:spacing w:after="0"/>
              <w:rPr>
                <w:sz w:val="20"/>
                <w:szCs w:val="20"/>
                <w:color w:val="auto"/>
              </w:rPr>
            </w:pPr>
            <w:r>
              <w:rPr>
                <w:rFonts w:ascii="Arial" w:cs="Arial" w:eastAsia="Arial" w:hAnsi="Arial"/>
                <w:sz w:val="16"/>
                <w:szCs w:val="16"/>
                <w:color w:val="auto"/>
              </w:rPr>
              <w:t>Michael J. Van Handel</w:t>
            </w:r>
          </w:p>
        </w:tc>
        <w:tc>
          <w:tcPr>
            <w:tcW w:w="2040" w:type="dxa"/>
            <w:vAlign w:val="bottom"/>
            <w:shd w:val="clear" w:color="auto" w:fill="E6EDF3"/>
          </w:tcPr>
          <w:p>
            <w:pPr>
              <w:jc w:val="right"/>
              <w:ind w:right="581"/>
              <w:spacing w:after="0"/>
              <w:rPr>
                <w:sz w:val="20"/>
                <w:szCs w:val="20"/>
                <w:color w:val="auto"/>
              </w:rPr>
            </w:pPr>
            <w:r>
              <w:rPr>
                <w:rFonts w:ascii="Arial" w:cs="Arial" w:eastAsia="Arial" w:hAnsi="Arial"/>
                <w:sz w:val="16"/>
                <w:szCs w:val="16"/>
                <w:color w:val="auto"/>
              </w:rPr>
              <w:t>3,568</w:t>
            </w:r>
          </w:p>
        </w:tc>
        <w:tc>
          <w:tcPr>
            <w:tcW w:w="2160" w:type="dxa"/>
            <w:vAlign w:val="bottom"/>
            <w:shd w:val="clear" w:color="auto" w:fill="E6EDF3"/>
          </w:tcPr>
          <w:p>
            <w:pPr>
              <w:jc w:val="right"/>
              <w:ind w:right="820"/>
              <w:spacing w:after="0"/>
              <w:rPr>
                <w:sz w:val="20"/>
                <w:szCs w:val="20"/>
                <w:color w:val="auto"/>
              </w:rPr>
            </w:pPr>
            <w:r>
              <w:rPr>
                <w:rFonts w:ascii="Arial" w:cs="Arial" w:eastAsia="Arial" w:hAnsi="Arial"/>
                <w:sz w:val="16"/>
                <w:szCs w:val="16"/>
                <w:color w:val="auto"/>
              </w:rPr>
              <w:t>17,348</w:t>
            </w:r>
          </w:p>
        </w:tc>
        <w:tc>
          <w:tcPr>
            <w:tcW w:w="2020" w:type="dxa"/>
            <w:vAlign w:val="bottom"/>
            <w:shd w:val="clear" w:color="auto" w:fill="E6EDF3"/>
          </w:tcPr>
          <w:p>
            <w:pPr>
              <w:jc w:val="right"/>
              <w:ind w:right="480"/>
              <w:spacing w:after="0"/>
              <w:rPr>
                <w:sz w:val="20"/>
                <w:szCs w:val="20"/>
                <w:color w:val="auto"/>
              </w:rPr>
            </w:pPr>
            <w:r>
              <w:rPr>
                <w:rFonts w:ascii="Arial" w:cs="Arial" w:eastAsia="Arial" w:hAnsi="Arial"/>
                <w:sz w:val="16"/>
                <w:szCs w:val="16"/>
                <w:color w:val="auto"/>
              </w:rPr>
              <w:t>2,126,518</w:t>
            </w:r>
          </w:p>
        </w:tc>
        <w:tc>
          <w:tcPr>
            <w:tcW w:w="1880" w:type="dxa"/>
            <w:vAlign w:val="bottom"/>
            <w:shd w:val="clear" w:color="auto" w:fill="E6EDF3"/>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189"/>
        </w:trPr>
        <w:tc>
          <w:tcPr>
            <w:tcW w:w="2920" w:type="dxa"/>
            <w:vAlign w:val="bottom"/>
          </w:tcPr>
          <w:p>
            <w:pPr>
              <w:ind w:left="60"/>
              <w:spacing w:after="0"/>
              <w:rPr>
                <w:sz w:val="20"/>
                <w:szCs w:val="20"/>
                <w:color w:val="auto"/>
              </w:rPr>
            </w:pPr>
            <w:r>
              <w:rPr>
                <w:rFonts w:ascii="Arial" w:cs="Arial" w:eastAsia="Arial" w:hAnsi="Arial"/>
                <w:sz w:val="16"/>
                <w:szCs w:val="16"/>
                <w:color w:val="auto"/>
              </w:rPr>
              <w:t>John R. Walter</w:t>
            </w:r>
          </w:p>
        </w:tc>
        <w:tc>
          <w:tcPr>
            <w:tcW w:w="2040" w:type="dxa"/>
            <w:vAlign w:val="bottom"/>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tcPr>
          <w:p>
            <w:pPr>
              <w:jc w:val="right"/>
              <w:ind w:right="820"/>
              <w:spacing w:after="0"/>
              <w:rPr>
                <w:sz w:val="20"/>
                <w:szCs w:val="20"/>
                <w:color w:val="auto"/>
              </w:rPr>
            </w:pPr>
            <w:r>
              <w:rPr>
                <w:rFonts w:ascii="Arial" w:cs="Arial" w:eastAsia="Arial" w:hAnsi="Arial"/>
                <w:sz w:val="16"/>
                <w:szCs w:val="16"/>
                <w:color w:val="auto"/>
              </w:rPr>
              <w:t>20,463</w:t>
            </w:r>
          </w:p>
        </w:tc>
        <w:tc>
          <w:tcPr>
            <w:tcW w:w="2020" w:type="dxa"/>
            <w:vAlign w:val="bottom"/>
          </w:tcPr>
          <w:p>
            <w:pPr>
              <w:jc w:val="right"/>
              <w:ind w:right="480"/>
              <w:spacing w:after="0"/>
              <w:rPr>
                <w:sz w:val="20"/>
                <w:szCs w:val="20"/>
                <w:color w:val="auto"/>
              </w:rPr>
            </w:pPr>
            <w:r>
              <w:rPr>
                <w:rFonts w:ascii="Arial" w:cs="Arial" w:eastAsia="Arial" w:hAnsi="Arial"/>
                <w:sz w:val="16"/>
                <w:szCs w:val="16"/>
                <w:color w:val="auto"/>
              </w:rPr>
              <w:t>2,508,355</w:t>
            </w:r>
          </w:p>
        </w:tc>
        <w:tc>
          <w:tcPr>
            <w:tcW w:w="1880" w:type="dxa"/>
            <w:vAlign w:val="bottom"/>
          </w:tcPr>
          <w:p>
            <w:pPr>
              <w:jc w:val="center"/>
              <w:ind w:left="320"/>
              <w:spacing w:after="0"/>
              <w:rPr>
                <w:sz w:val="20"/>
                <w:szCs w:val="20"/>
                <w:color w:val="auto"/>
              </w:rPr>
            </w:pPr>
            <w:r>
              <w:rPr>
                <w:rFonts w:ascii="Arial" w:cs="Arial" w:eastAsia="Arial" w:hAnsi="Arial"/>
                <w:sz w:val="16"/>
                <w:szCs w:val="16"/>
                <w:color w:val="auto"/>
              </w:rPr>
              <w:t>Guidelines Satisfied</w:t>
            </w:r>
          </w:p>
        </w:tc>
      </w:tr>
      <w:tr>
        <w:trPr>
          <w:trHeight w:val="189"/>
        </w:trPr>
        <w:tc>
          <w:tcPr>
            <w:tcW w:w="292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Edward J. Zore</w:t>
            </w:r>
          </w:p>
        </w:tc>
        <w:tc>
          <w:tcPr>
            <w:tcW w:w="2040" w:type="dxa"/>
            <w:vAlign w:val="bottom"/>
            <w:tcBorders>
              <w:bottom w:val="single" w:sz="8" w:color="auto"/>
            </w:tcBorders>
            <w:shd w:val="clear" w:color="auto" w:fill="E6EDF3"/>
          </w:tcPr>
          <w:p>
            <w:pPr>
              <w:jc w:val="right"/>
              <w:ind w:right="581"/>
              <w:spacing w:after="0"/>
              <w:rPr>
                <w:sz w:val="20"/>
                <w:szCs w:val="20"/>
                <w:color w:val="auto"/>
              </w:rPr>
            </w:pPr>
            <w:r>
              <w:rPr>
                <w:rFonts w:ascii="Arial" w:cs="Arial" w:eastAsia="Arial" w:hAnsi="Arial"/>
                <w:sz w:val="16"/>
                <w:szCs w:val="16"/>
                <w:color w:val="auto"/>
              </w:rPr>
              <w:t>6,601</w:t>
            </w:r>
          </w:p>
        </w:tc>
        <w:tc>
          <w:tcPr>
            <w:tcW w:w="2160" w:type="dxa"/>
            <w:vAlign w:val="bottom"/>
            <w:tcBorders>
              <w:bottom w:val="single" w:sz="8" w:color="auto"/>
            </w:tcBorders>
            <w:shd w:val="clear" w:color="auto" w:fill="E6EDF3"/>
          </w:tcPr>
          <w:p>
            <w:pPr>
              <w:jc w:val="right"/>
              <w:ind w:right="820"/>
              <w:spacing w:after="0"/>
              <w:rPr>
                <w:sz w:val="20"/>
                <w:szCs w:val="20"/>
                <w:color w:val="auto"/>
              </w:rPr>
            </w:pPr>
            <w:r>
              <w:rPr>
                <w:rFonts w:ascii="Arial" w:cs="Arial" w:eastAsia="Arial" w:hAnsi="Arial"/>
                <w:sz w:val="16"/>
                <w:szCs w:val="16"/>
                <w:color w:val="auto"/>
              </w:rPr>
              <w:t>31,789</w:t>
            </w:r>
          </w:p>
        </w:tc>
        <w:tc>
          <w:tcPr>
            <w:tcW w:w="2020" w:type="dxa"/>
            <w:vAlign w:val="bottom"/>
            <w:tcBorders>
              <w:bottom w:val="single" w:sz="8" w:color="auto"/>
            </w:tcBorders>
            <w:shd w:val="clear" w:color="auto" w:fill="E6EDF3"/>
          </w:tcPr>
          <w:p>
            <w:pPr>
              <w:jc w:val="right"/>
              <w:ind w:right="480"/>
              <w:spacing w:after="0"/>
              <w:rPr>
                <w:sz w:val="20"/>
                <w:szCs w:val="20"/>
                <w:color w:val="auto"/>
              </w:rPr>
            </w:pPr>
            <w:r>
              <w:rPr>
                <w:rFonts w:ascii="Arial" w:cs="Arial" w:eastAsia="Arial" w:hAnsi="Arial"/>
                <w:sz w:val="16"/>
                <w:szCs w:val="16"/>
                <w:color w:val="auto"/>
              </w:rPr>
              <w:t>3,896,696</w:t>
            </w:r>
          </w:p>
        </w:tc>
        <w:tc>
          <w:tcPr>
            <w:tcW w:w="1880" w:type="dxa"/>
            <w:vAlign w:val="bottom"/>
            <w:tcBorders>
              <w:bottom w:val="single" w:sz="8" w:color="auto"/>
            </w:tcBorders>
            <w:shd w:val="clear" w:color="auto" w:fill="E6EDF3"/>
          </w:tcPr>
          <w:p>
            <w:pPr>
              <w:jc w:val="center"/>
              <w:ind w:left="320"/>
              <w:spacing w:after="0"/>
              <w:rPr>
                <w:sz w:val="20"/>
                <w:szCs w:val="20"/>
                <w:color w:val="auto"/>
              </w:rPr>
            </w:pPr>
            <w:r>
              <w:rPr>
                <w:rFonts w:ascii="Arial" w:cs="Arial" w:eastAsia="Arial" w:hAnsi="Arial"/>
                <w:sz w:val="16"/>
                <w:szCs w:val="16"/>
                <w:color w:val="auto"/>
              </w:rPr>
              <w:t>Guidelines Satisfied</w:t>
            </w:r>
          </w:p>
        </w:tc>
      </w:tr>
    </w:tbl>
    <w:p>
      <w:pPr>
        <w:spacing w:after="0" w:line="54" w:lineRule="exact"/>
        <w:rPr>
          <w:sz w:val="20"/>
          <w:szCs w:val="20"/>
          <w:color w:val="auto"/>
        </w:rPr>
      </w:pPr>
    </w:p>
    <w:p>
      <w:pPr>
        <w:ind w:left="520" w:right="320" w:hanging="316"/>
        <w:spacing w:after="0" w:line="266" w:lineRule="auto"/>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Target shares are based on target value ($450,000) divided by the closing stock price on December 31, 2014 of $68.17 for non-employee directors in office as of January 1, 2015. For non-employee directors appointed after January 1, 2015 target shares are based on target value ($450,000) divided by the closing price of the Company’s common stock on the last business day of the month during which the director was or is first appointed to the Board of Directors.</w:t>
      </w:r>
    </w:p>
    <w:p>
      <w:pPr>
        <w:spacing w:after="0" w:line="18" w:lineRule="exact"/>
        <w:rPr>
          <w:rFonts w:ascii="Arial" w:cs="Arial" w:eastAsia="Arial" w:hAnsi="Arial"/>
          <w:sz w:val="14"/>
          <w:szCs w:val="14"/>
          <w:color w:val="auto"/>
        </w:rPr>
      </w:pPr>
    </w:p>
    <w:p>
      <w:pPr>
        <w:ind w:left="520" w:right="4940" w:hanging="316"/>
        <w:spacing w:after="0" w:line="342" w:lineRule="auto"/>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the number of shares held as of the record date, February 23, 2018 as follows: For Ms. Boswell, 7,870 shares of common stock.</w:t>
      </w:r>
    </w:p>
    <w:p>
      <w:pPr>
        <w:ind w:left="520"/>
        <w:spacing w:after="0"/>
        <w:rPr>
          <w:rFonts w:ascii="Arial" w:cs="Arial" w:eastAsia="Arial" w:hAnsi="Arial"/>
          <w:sz w:val="14"/>
          <w:szCs w:val="14"/>
          <w:color w:val="auto"/>
        </w:rPr>
      </w:pPr>
      <w:r>
        <w:rPr>
          <w:rFonts w:ascii="Arial" w:cs="Arial" w:eastAsia="Arial" w:hAnsi="Arial"/>
          <w:sz w:val="14"/>
          <w:szCs w:val="14"/>
          <w:color w:val="auto"/>
        </w:rPr>
        <w:t>For Ms. Dominguez, 20,354 shares of common stock.</w:t>
      </w:r>
    </w:p>
    <w:p>
      <w:pPr>
        <w:spacing w:after="0" w:line="68" w:lineRule="exact"/>
        <w:rPr>
          <w:rFonts w:ascii="Arial" w:cs="Arial" w:eastAsia="Arial" w:hAnsi="Arial"/>
          <w:sz w:val="14"/>
          <w:szCs w:val="14"/>
          <w:color w:val="auto"/>
        </w:rPr>
      </w:pPr>
    </w:p>
    <w:p>
      <w:pPr>
        <w:ind w:left="520" w:right="4800"/>
        <w:spacing w:after="0" w:line="342" w:lineRule="auto"/>
        <w:rPr>
          <w:rFonts w:ascii="Arial" w:cs="Arial" w:eastAsia="Arial" w:hAnsi="Arial"/>
          <w:sz w:val="14"/>
          <w:szCs w:val="14"/>
          <w:color w:val="auto"/>
        </w:rPr>
      </w:pPr>
      <w:r>
        <w:rPr>
          <w:rFonts w:ascii="Arial" w:cs="Arial" w:eastAsia="Arial" w:hAnsi="Arial"/>
          <w:sz w:val="14"/>
          <w:szCs w:val="14"/>
          <w:color w:val="auto"/>
        </w:rPr>
        <w:t>For Mr. Downe, 18,261 shares of common stock and 19,469 shares of vested deferred stock. For Mr. Ferraro, 5,516 shares of vested deferred stock.</w:t>
      </w:r>
    </w:p>
    <w:p>
      <w:pPr>
        <w:ind w:left="520" w:right="4340"/>
        <w:spacing w:after="0" w:line="342" w:lineRule="auto"/>
        <w:rPr>
          <w:rFonts w:ascii="Arial" w:cs="Arial" w:eastAsia="Arial" w:hAnsi="Arial"/>
          <w:sz w:val="14"/>
          <w:szCs w:val="14"/>
          <w:color w:val="auto"/>
        </w:rPr>
      </w:pPr>
      <w:r>
        <w:rPr>
          <w:rFonts w:ascii="Arial" w:cs="Arial" w:eastAsia="Arial" w:hAnsi="Arial"/>
          <w:sz w:val="14"/>
          <w:szCs w:val="14"/>
          <w:color w:val="auto"/>
        </w:rPr>
        <w:t>For Ms. Hemingway Hall, 5,116 shares of common stock and 3,385 shares of vested deferred stock. For Ms. Howard, 2,618 shares of vested deferred stock.</w:t>
      </w:r>
    </w:p>
    <w:p>
      <w:pPr>
        <w:ind w:left="520" w:right="4740"/>
        <w:spacing w:after="0" w:line="342" w:lineRule="auto"/>
        <w:rPr>
          <w:rFonts w:ascii="Arial" w:cs="Arial" w:eastAsia="Arial" w:hAnsi="Arial"/>
          <w:sz w:val="14"/>
          <w:szCs w:val="14"/>
          <w:color w:val="auto"/>
        </w:rPr>
      </w:pPr>
      <w:r>
        <w:rPr>
          <w:rFonts w:ascii="Arial" w:cs="Arial" w:eastAsia="Arial" w:hAnsi="Arial"/>
          <w:sz w:val="14"/>
          <w:szCs w:val="14"/>
          <w:color w:val="auto"/>
        </w:rPr>
        <w:t>For Mr. Mendoza, 4,463 shares of common stock and 18,153 shares of vested deferred stock. For Mr. Payne, 11,136 shares of common stock.</w:t>
      </w:r>
    </w:p>
    <w:p>
      <w:pPr>
        <w:ind w:left="520" w:right="7560"/>
        <w:spacing w:after="0" w:line="342" w:lineRule="auto"/>
        <w:rPr>
          <w:rFonts w:ascii="Arial" w:cs="Arial" w:eastAsia="Arial" w:hAnsi="Arial"/>
          <w:sz w:val="14"/>
          <w:szCs w:val="14"/>
          <w:color w:val="auto"/>
        </w:rPr>
      </w:pPr>
      <w:r>
        <w:rPr>
          <w:rFonts w:ascii="Arial" w:cs="Arial" w:eastAsia="Arial" w:hAnsi="Arial"/>
          <w:sz w:val="14"/>
          <w:szCs w:val="14"/>
          <w:color w:val="auto"/>
        </w:rPr>
        <w:t>For Mr. Read, 5,353 shares of common stock. For Ms. Sartain, 17,959 shares of common stock.</w:t>
      </w:r>
    </w:p>
    <w:p>
      <w:pPr>
        <w:ind w:left="520" w:right="4780"/>
        <w:spacing w:after="0" w:line="342" w:lineRule="auto"/>
        <w:rPr>
          <w:rFonts w:ascii="Arial" w:cs="Arial" w:eastAsia="Arial" w:hAnsi="Arial"/>
          <w:sz w:val="14"/>
          <w:szCs w:val="14"/>
          <w:color w:val="auto"/>
        </w:rPr>
      </w:pPr>
      <w:r>
        <w:rPr>
          <w:rFonts w:ascii="Arial" w:cs="Arial" w:eastAsia="Arial" w:hAnsi="Arial"/>
          <w:sz w:val="14"/>
          <w:szCs w:val="14"/>
          <w:color w:val="auto"/>
        </w:rPr>
        <w:t>For Mr. Van Handel, 17,283 shares of common stock and 65 shares of vested deferred stock. For Mr. Walter, 7,403 shares of common stock and 13,060 shares of vested deferred stock. For Mr. Zore, 31,145 shares of common stock and 644 shares of vested deferred stock.</w:t>
      </w:r>
    </w:p>
    <w:p>
      <w:pPr>
        <w:ind w:left="520" w:hanging="316"/>
        <w:spacing w:after="0"/>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on price per share of ManpowerGroup common stock on February 23, 2018 of $122.58.</w:t>
      </w:r>
    </w:p>
    <w:p>
      <w:pPr>
        <w:spacing w:after="0" w:line="68" w:lineRule="exact"/>
        <w:rPr>
          <w:rFonts w:ascii="Arial" w:cs="Arial" w:eastAsia="Arial" w:hAnsi="Arial"/>
          <w:sz w:val="14"/>
          <w:szCs w:val="14"/>
          <w:color w:val="auto"/>
        </w:rPr>
      </w:pPr>
    </w:p>
    <w:p>
      <w:pPr>
        <w:ind w:left="520" w:right="100" w:hanging="316"/>
        <w:spacing w:after="0" w:line="266" w:lineRule="auto"/>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Non-employee directors in office as of January 1, 2015 must meet the ownership guidelines by January 1, 2018, except for Mr. Read who did not join the board until December 2014. Mr. Read and all non-employee directors appointed after January 1, 2015 must meet the ownership guidelines by the fourth anniversary of the date of appointment.</w:t>
      </w:r>
    </w:p>
    <w:p>
      <w:pPr>
        <w:spacing w:after="0" w:line="78"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5D89B4"/>
        </w:rPr>
        <w:t xml:space="preserve">75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40"/>
          </w:cols>
          <w:pgMar w:left="240" w:top="455" w:right="41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CEO Pay Ratio</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CEO Pay Ratio</w:t>
      </w:r>
    </w:p>
    <w:p>
      <w:pPr>
        <w:spacing w:after="0" w:line="245" w:lineRule="exact"/>
        <w:rPr>
          <w:sz w:val="20"/>
          <w:szCs w:val="20"/>
          <w:color w:val="auto"/>
        </w:rPr>
      </w:pPr>
    </w:p>
    <w:p>
      <w:pPr>
        <w:ind w:left="200" w:right="560"/>
        <w:spacing w:after="0" w:line="276" w:lineRule="auto"/>
        <w:rPr>
          <w:sz w:val="20"/>
          <w:szCs w:val="20"/>
          <w:color w:val="auto"/>
        </w:rPr>
      </w:pPr>
      <w:r>
        <w:rPr>
          <w:rFonts w:ascii="Arial" w:cs="Arial" w:eastAsia="Arial" w:hAnsi="Arial"/>
          <w:sz w:val="18"/>
          <w:szCs w:val="18"/>
          <w:color w:val="auto"/>
        </w:rPr>
        <w:t>In accordance with the requirements of Item 402(u) of Regulation S-K, we have calculated a CEO Pay Ratio for 2017. This ratio is a reasonable estimate, calculated as described below.</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5D89B4"/>
        </w:rPr>
        <w:t>Measurement Date</w:t>
      </w:r>
    </w:p>
    <w:p>
      <w:pPr>
        <w:spacing w:after="0" w:line="142"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We utilized a measurement date of October 1, 2017, which reflects an employee population of more than 600,000 individuals worldwide as of the measurement date. It is important to note that 95% of this population comprises our “associates” — these are the employees on assignment that day with our clients within the 80 countries in which we operate. A majority of such assignments are temporary in nature, of different types and durations, which leads to considerable variation in our employee population on a daily basis. In accordance with Item 402(u), our employee population includes both our associates and the remaining 5% of our employees who represent our “permanent” (full and part-time) staff.</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5D89B4"/>
        </w:rPr>
        <w:t>Consistently Applied Compensation Measure</w:t>
      </w:r>
    </w:p>
    <w:p>
      <w:pPr>
        <w:spacing w:after="0" w:line="142" w:lineRule="exact"/>
        <w:rPr>
          <w:sz w:val="20"/>
          <w:szCs w:val="20"/>
          <w:color w:val="auto"/>
        </w:rPr>
      </w:pPr>
    </w:p>
    <w:p>
      <w:pPr>
        <w:ind w:left="200" w:right="20"/>
        <w:spacing w:after="0" w:line="241" w:lineRule="auto"/>
        <w:rPr>
          <w:sz w:val="20"/>
          <w:szCs w:val="20"/>
          <w:color w:val="auto"/>
        </w:rPr>
      </w:pPr>
      <w:r>
        <w:rPr>
          <w:rFonts w:ascii="Arial" w:cs="Arial" w:eastAsia="Arial" w:hAnsi="Arial"/>
          <w:sz w:val="18"/>
          <w:szCs w:val="18"/>
          <w:color w:val="auto"/>
        </w:rPr>
        <w:t>For each of these individuals, compensation was calculated based on total taxable earnings as defined in their home country’s payroll systems. Consistent with SEC rules, we have annualized this number for part-time and full-time employees who were employed for less than the full year in 2017, but not for our associates whose positions are seasonal or temporary in nature. From this, our median employee was identified, an associate located in the United Kingdom who worked in a distribution center for part of the year. His total annual compensation was calculated in accordance with the requirements of the Summary Compensation Table as being $4,828. When calculated against Mr. Prising’s compensation for 2017 of $11,987,783 as reflected in the Summary Compensation Table, it yields a CEO Pay Ratio of 2483:1.</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5D89B4"/>
        </w:rPr>
        <w:t>Calculation Excluding Associates</w:t>
      </w:r>
    </w:p>
    <w:p>
      <w:pPr>
        <w:spacing w:after="0" w:line="129" w:lineRule="exact"/>
        <w:rPr>
          <w:sz w:val="20"/>
          <w:szCs w:val="20"/>
          <w:color w:val="auto"/>
        </w:rPr>
      </w:pPr>
    </w:p>
    <w:p>
      <w:pPr>
        <w:ind w:left="200" w:right="80"/>
        <w:spacing w:after="0" w:line="245" w:lineRule="auto"/>
        <w:rPr>
          <w:sz w:val="20"/>
          <w:szCs w:val="20"/>
          <w:color w:val="auto"/>
        </w:rPr>
      </w:pPr>
      <w:r>
        <w:rPr>
          <w:rFonts w:ascii="Arial" w:cs="Arial" w:eastAsia="Arial" w:hAnsi="Arial"/>
          <w:sz w:val="18"/>
          <w:szCs w:val="18"/>
          <w:color w:val="auto"/>
        </w:rPr>
        <w:t>Supplementally, we have calculated a CEO pay ratio excluding our associates. As noted above, most of the individuals who are counted as “employees” under Item 402(u) are in fact associates who are performing work for our clients on a temporary basis. If we include only our “permanent” staff as of October 1, 2017, our median employee as of the measurement date was a junior sourcing consultant in one of our branch offices in Belgium. Her annualized total compensation was $43,344 for 2017. Under this calculation, the CEO pay ratio is 276:1. We believe this is a more representative indication of how our CEO pay compares to that of our workforce.</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76</w:t>
      </w:r>
    </w:p>
    <w:p>
      <w:pPr>
        <w:sectPr>
          <w:pgSz w:w="11900" w:h="16838" w:orient="portrait"/>
          <w:cols w:equalWidth="0" w:num="1">
            <w:col w:w="11220"/>
          </w:cols>
          <w:pgMar w:left="240" w:top="455" w:right="4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200"/>
        <w:spacing w:after="0"/>
        <w:rPr>
          <w:sz w:val="20"/>
          <w:szCs w:val="20"/>
          <w:color w:val="auto"/>
        </w:rPr>
      </w:pPr>
      <w:r>
        <w:rPr>
          <w:rFonts w:ascii="Arial" w:cs="Arial" w:eastAsia="Arial" w:hAnsi="Arial"/>
          <w:sz w:val="18"/>
          <w:szCs w:val="18"/>
          <w:color w:val="FFFFFF"/>
        </w:rPr>
        <w:t>Audit Committee Report</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Audit Committee Report</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We have an audit committee that consists entirely of independent directors, each of whom meet the independence requirements set forth by the New York Stock Exchange and the SEC. The board of directors has adopted a charter for the audit committee, which is available on our web site at </w:t>
      </w:r>
      <w:r>
        <w:rPr>
          <w:rFonts w:ascii="Arial" w:cs="Arial" w:eastAsia="Arial" w:hAnsi="Arial"/>
          <w:sz w:val="18"/>
          <w:szCs w:val="18"/>
          <w:u w:val="single" w:color="auto"/>
          <w:color w:val="auto"/>
        </w:rPr>
        <w:t>http://investor.manpowergroup.com/documents.cfm</w:t>
      </w:r>
      <w:r>
        <w:rPr>
          <w:rFonts w:ascii="Arial" w:cs="Arial" w:eastAsia="Arial" w:hAnsi="Arial"/>
          <w:sz w:val="18"/>
          <w:szCs w:val="18"/>
          <w:color w:val="auto"/>
        </w:rPr>
        <w:t>.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in monitoring the company’s compliance with its code of business conduct and ethics as well as its policies and procedures regarding anti-corruption. The committee reviews its charter on a periodic basis and recommends updates as necessary.</w:t>
      </w:r>
    </w:p>
    <w:p>
      <w:pPr>
        <w:spacing w:after="0" w:line="113" w:lineRule="exact"/>
        <w:rPr>
          <w:sz w:val="20"/>
          <w:szCs w:val="20"/>
          <w:color w:val="auto"/>
        </w:rPr>
      </w:pPr>
    </w:p>
    <w:p>
      <w:pPr>
        <w:ind w:left="200" w:right="180"/>
        <w:spacing w:after="0" w:line="248" w:lineRule="auto"/>
        <w:rPr>
          <w:sz w:val="20"/>
          <w:szCs w:val="20"/>
          <w:color w:val="auto"/>
        </w:rPr>
      </w:pPr>
      <w:r>
        <w:rPr>
          <w:rFonts w:ascii="Arial" w:cs="Arial" w:eastAsia="Arial" w:hAnsi="Arial"/>
          <w:sz w:val="18"/>
          <w:szCs w:val="18"/>
          <w:color w:val="auto"/>
        </w:rPr>
        <w:t>In 2017, the audit committee met five times. Over the course of these meetings, the audit committee met with our chief financial officer, other senior members of the finance department, senior members of the IT department, the chairperson of our disclosure committee, the head of internal audit, our chief legal officer and our independent auditors. During these meetings, the audit committee reviewed and discussed, among other things:</w:t>
      </w:r>
    </w:p>
    <w:p>
      <w:pPr>
        <w:spacing w:after="0" w:line="103" w:lineRule="exact"/>
        <w:rPr>
          <w:sz w:val="20"/>
          <w:szCs w:val="20"/>
          <w:color w:val="auto"/>
        </w:rPr>
      </w:pPr>
    </w:p>
    <w:p>
      <w:pPr>
        <w:ind w:left="640" w:right="200" w:hanging="328"/>
        <w:spacing w:after="0" w:line="276" w:lineRule="auto"/>
        <w:tabs>
          <w:tab w:leader="none" w:pos="640" w:val="left"/>
        </w:tabs>
        <w:numPr>
          <w:ilvl w:val="0"/>
          <w:numId w:val="76"/>
        </w:numPr>
        <w:rPr>
          <w:rFonts w:ascii="Arial" w:cs="Arial" w:eastAsia="Arial" w:hAnsi="Arial"/>
          <w:sz w:val="18"/>
          <w:szCs w:val="18"/>
          <w:color w:val="5D89B4"/>
        </w:rPr>
      </w:pPr>
      <w:r>
        <w:rPr>
          <w:rFonts w:ascii="Arial" w:cs="Arial" w:eastAsia="Arial" w:hAnsi="Arial"/>
          <w:sz w:val="18"/>
          <w:szCs w:val="18"/>
          <w:color w:val="auto"/>
        </w:rPr>
        <w:t>our financial statements for each of the first three quarters of 2017, including the disclosures under “Management’s Discussion and Analysis of Financial Condition and Results of Operations;”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76"/>
        </w:numPr>
        <w:rPr>
          <w:rFonts w:ascii="Arial" w:cs="Arial" w:eastAsia="Arial" w:hAnsi="Arial"/>
          <w:sz w:val="18"/>
          <w:szCs w:val="18"/>
          <w:color w:val="5D89B4"/>
        </w:rPr>
      </w:pPr>
      <w:r>
        <w:rPr>
          <w:rFonts w:ascii="Arial" w:cs="Arial" w:eastAsia="Arial" w:hAnsi="Arial"/>
          <w:sz w:val="18"/>
          <w:szCs w:val="18"/>
          <w:color w:val="auto"/>
        </w:rPr>
        <w:t>our compliance with and reporting under Section 404 of the Sarbanes-Oxley Act of 2002 and the related auditing standards;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76"/>
        </w:numPr>
        <w:rPr>
          <w:rFonts w:ascii="Arial" w:cs="Arial" w:eastAsia="Arial" w:hAnsi="Arial"/>
          <w:sz w:val="18"/>
          <w:szCs w:val="18"/>
          <w:color w:val="5D89B4"/>
        </w:rPr>
      </w:pPr>
      <w:r>
        <w:rPr>
          <w:rFonts w:ascii="Arial" w:cs="Arial" w:eastAsia="Arial" w:hAnsi="Arial"/>
          <w:sz w:val="18"/>
          <w:szCs w:val="18"/>
          <w:color w:val="auto"/>
        </w:rPr>
        <w:t>the independent auditors’ material written communications with management;</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76"/>
        </w:numPr>
        <w:rPr>
          <w:rFonts w:ascii="Arial" w:cs="Arial" w:eastAsia="Arial" w:hAnsi="Arial"/>
          <w:sz w:val="18"/>
          <w:szCs w:val="18"/>
          <w:color w:val="5D89B4"/>
        </w:rPr>
      </w:pPr>
      <w:r>
        <w:rPr>
          <w:rFonts w:ascii="Arial" w:cs="Arial" w:eastAsia="Arial" w:hAnsi="Arial"/>
          <w:sz w:val="18"/>
          <w:szCs w:val="18"/>
          <w:color w:val="auto"/>
        </w:rPr>
        <w:t>our annual internal and external audit plans and the internal and external staffing resources available to carry out our audit plans;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76"/>
        </w:numPr>
        <w:rPr>
          <w:rFonts w:ascii="Arial" w:cs="Arial" w:eastAsia="Arial" w:hAnsi="Arial"/>
          <w:sz w:val="18"/>
          <w:szCs w:val="18"/>
          <w:color w:val="5D89B4"/>
        </w:rPr>
      </w:pPr>
      <w:r>
        <w:rPr>
          <w:rFonts w:ascii="Arial" w:cs="Arial" w:eastAsia="Arial" w:hAnsi="Arial"/>
          <w:sz w:val="18"/>
          <w:szCs w:val="18"/>
          <w:color w:val="auto"/>
        </w:rPr>
        <w:t>internal audit results;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76"/>
        </w:numPr>
        <w:rPr>
          <w:rFonts w:ascii="Arial" w:cs="Arial" w:eastAsia="Arial" w:hAnsi="Arial"/>
          <w:sz w:val="18"/>
          <w:szCs w:val="18"/>
          <w:color w:val="5D89B4"/>
        </w:rPr>
      </w:pPr>
      <w:r>
        <w:rPr>
          <w:rFonts w:ascii="Arial" w:cs="Arial" w:eastAsia="Arial" w:hAnsi="Arial"/>
          <w:sz w:val="18"/>
          <w:szCs w:val="18"/>
          <w:color w:val="auto"/>
        </w:rPr>
        <w:t>our risk management framework, including financial and operational risks;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76"/>
        </w:numPr>
        <w:rPr>
          <w:rFonts w:ascii="Arial" w:cs="Arial" w:eastAsia="Arial" w:hAnsi="Arial"/>
          <w:sz w:val="18"/>
          <w:szCs w:val="18"/>
          <w:color w:val="5D89B4"/>
        </w:rPr>
      </w:pPr>
      <w:r>
        <w:rPr>
          <w:rFonts w:ascii="Arial" w:cs="Arial" w:eastAsia="Arial" w:hAnsi="Arial"/>
          <w:sz w:val="18"/>
          <w:szCs w:val="18"/>
          <w:color w:val="auto"/>
        </w:rPr>
        <w:t>certain risk matters including the Company’s risk profile, vendor contract risk, treasury matters and technology and security risk;</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76"/>
        </w:numPr>
        <w:rPr>
          <w:rFonts w:ascii="Arial" w:cs="Arial" w:eastAsia="Arial" w:hAnsi="Arial"/>
          <w:sz w:val="18"/>
          <w:szCs w:val="18"/>
          <w:color w:val="5D89B4"/>
        </w:rPr>
      </w:pPr>
      <w:r>
        <w:rPr>
          <w:rFonts w:ascii="Arial" w:cs="Arial" w:eastAsia="Arial" w:hAnsi="Arial"/>
          <w:sz w:val="18"/>
          <w:szCs w:val="18"/>
          <w:color w:val="auto"/>
        </w:rPr>
        <w:t>the impact of new accounting pronouncements;</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76"/>
        </w:numPr>
        <w:rPr>
          <w:rFonts w:ascii="Arial" w:cs="Arial" w:eastAsia="Arial" w:hAnsi="Arial"/>
          <w:sz w:val="18"/>
          <w:szCs w:val="18"/>
          <w:color w:val="5D89B4"/>
        </w:rPr>
      </w:pPr>
      <w:r>
        <w:rPr>
          <w:rFonts w:ascii="Arial" w:cs="Arial" w:eastAsia="Arial" w:hAnsi="Arial"/>
          <w:sz w:val="18"/>
          <w:szCs w:val="18"/>
          <w:color w:val="auto"/>
        </w:rPr>
        <w:t>current tax matters affecting us, including reporting compliance, audit activity and tax planning;</w:t>
      </w:r>
    </w:p>
    <w:p>
      <w:pPr>
        <w:spacing w:after="0" w:line="76" w:lineRule="exact"/>
        <w:rPr>
          <w:rFonts w:ascii="Arial" w:cs="Arial" w:eastAsia="Arial" w:hAnsi="Arial"/>
          <w:sz w:val="18"/>
          <w:szCs w:val="18"/>
          <w:color w:val="5D89B4"/>
        </w:rPr>
      </w:pPr>
    </w:p>
    <w:p>
      <w:pPr>
        <w:ind w:left="640" w:hanging="328"/>
        <w:spacing w:after="0"/>
        <w:tabs>
          <w:tab w:leader="none" w:pos="640" w:val="left"/>
        </w:tabs>
        <w:numPr>
          <w:ilvl w:val="0"/>
          <w:numId w:val="76"/>
        </w:numPr>
        <w:rPr>
          <w:rFonts w:ascii="Arial" w:cs="Arial" w:eastAsia="Arial" w:hAnsi="Arial"/>
          <w:sz w:val="18"/>
          <w:szCs w:val="18"/>
          <w:color w:val="5D89B4"/>
        </w:rPr>
      </w:pPr>
      <w:r>
        <w:rPr>
          <w:rFonts w:ascii="Arial" w:cs="Arial" w:eastAsia="Arial" w:hAnsi="Arial"/>
          <w:sz w:val="18"/>
          <w:szCs w:val="18"/>
          <w:color w:val="auto"/>
        </w:rPr>
        <w:t>litigation and regulatory matters;</w:t>
      </w:r>
    </w:p>
    <w:p>
      <w:pPr>
        <w:spacing w:after="0" w:line="76" w:lineRule="exact"/>
        <w:rPr>
          <w:rFonts w:ascii="Arial" w:cs="Arial" w:eastAsia="Arial" w:hAnsi="Arial"/>
          <w:sz w:val="18"/>
          <w:szCs w:val="18"/>
          <w:color w:val="5D89B4"/>
        </w:rPr>
      </w:pPr>
    </w:p>
    <w:p>
      <w:pPr>
        <w:ind w:left="640" w:right="280" w:hanging="328"/>
        <w:spacing w:after="0" w:line="276" w:lineRule="auto"/>
        <w:tabs>
          <w:tab w:leader="none" w:pos="640" w:val="left"/>
        </w:tabs>
        <w:numPr>
          <w:ilvl w:val="0"/>
          <w:numId w:val="76"/>
        </w:numPr>
        <w:rPr>
          <w:rFonts w:ascii="Arial" w:cs="Arial" w:eastAsia="Arial" w:hAnsi="Arial"/>
          <w:sz w:val="18"/>
          <w:szCs w:val="18"/>
          <w:color w:val="5D89B4"/>
        </w:rPr>
      </w:pPr>
      <w:r>
        <w:rPr>
          <w:rFonts w:ascii="Arial" w:cs="Arial" w:eastAsia="Arial" w:hAnsi="Arial"/>
          <w:sz w:val="18"/>
          <w:szCs w:val="18"/>
          <w:color w:val="auto"/>
        </w:rPr>
        <w:t>our compliance with our code of business conduct and ethics, our anti-corruption policy, and our policy on gifts, entertainment and sponsorships;</w:t>
      </w:r>
    </w:p>
    <w:p>
      <w:pPr>
        <w:spacing w:after="0" w:line="10" w:lineRule="exact"/>
        <w:rPr>
          <w:rFonts w:ascii="Arial" w:cs="Arial" w:eastAsia="Arial" w:hAnsi="Arial"/>
          <w:sz w:val="18"/>
          <w:szCs w:val="18"/>
          <w:color w:val="5D89B4"/>
        </w:rPr>
      </w:pPr>
    </w:p>
    <w:p>
      <w:pPr>
        <w:ind w:left="640" w:right="400" w:hanging="328"/>
        <w:spacing w:after="0" w:line="276" w:lineRule="auto"/>
        <w:tabs>
          <w:tab w:leader="none" w:pos="640" w:val="left"/>
        </w:tabs>
        <w:numPr>
          <w:ilvl w:val="0"/>
          <w:numId w:val="76"/>
        </w:numPr>
        <w:rPr>
          <w:rFonts w:ascii="Arial" w:cs="Arial" w:eastAsia="Arial" w:hAnsi="Arial"/>
          <w:sz w:val="18"/>
          <w:szCs w:val="18"/>
          <w:color w:val="5D89B4"/>
        </w:rPr>
      </w:pPr>
      <w:r>
        <w:rPr>
          <w:rFonts w:ascii="Arial" w:cs="Arial" w:eastAsia="Arial" w:hAnsi="Arial"/>
          <w:sz w:val="18"/>
          <w:szCs w:val="18"/>
          <w:color w:val="auto"/>
        </w:rPr>
        <w:t>our compliance with our Policy Regarding the Retention of Former Employees of Independent Auditors and Independent Auditor Services Policy; and</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76"/>
        </w:numPr>
        <w:rPr>
          <w:rFonts w:ascii="Arial" w:cs="Arial" w:eastAsia="Arial" w:hAnsi="Arial"/>
          <w:sz w:val="18"/>
          <w:szCs w:val="18"/>
          <w:color w:val="5D89B4"/>
        </w:rPr>
      </w:pPr>
      <w:r>
        <w:rPr>
          <w:rFonts w:ascii="Arial" w:cs="Arial" w:eastAsia="Arial" w:hAnsi="Arial"/>
          <w:sz w:val="18"/>
          <w:szCs w:val="18"/>
          <w:color w:val="auto"/>
        </w:rPr>
        <w:t>a self-evaluation of the committee.</w:t>
      </w:r>
    </w:p>
    <w:p>
      <w:pPr>
        <w:spacing w:after="0" w:line="144" w:lineRule="exact"/>
        <w:rPr>
          <w:sz w:val="20"/>
          <w:szCs w:val="20"/>
          <w:color w:val="auto"/>
        </w:rPr>
      </w:pPr>
    </w:p>
    <w:p>
      <w:pPr>
        <w:jc w:val="both"/>
        <w:ind w:left="200" w:right="280"/>
        <w:spacing w:after="0" w:line="255" w:lineRule="auto"/>
        <w:rPr>
          <w:sz w:val="20"/>
          <w:szCs w:val="20"/>
          <w:color w:val="auto"/>
        </w:rPr>
      </w:pPr>
      <w:r>
        <w:rPr>
          <w:rFonts w:ascii="Arial" w:cs="Arial" w:eastAsia="Arial" w:hAnsi="Arial"/>
          <w:sz w:val="18"/>
          <w:szCs w:val="18"/>
          <w:color w:val="auto"/>
        </w:rPr>
        <w:t>The audit committee met five times in private session with Deloitte &amp; Touche LLP and met five times in private session with the head of internal audit. The purpose of the private sessions is to allow the participants to raise any concerns they may have and to discuss other topics in a confidential setting.</w:t>
      </w:r>
    </w:p>
    <w:p>
      <w:pPr>
        <w:spacing w:after="0" w:line="83" w:lineRule="exact"/>
        <w:rPr>
          <w:sz w:val="20"/>
          <w:szCs w:val="20"/>
          <w:color w:val="auto"/>
        </w:rPr>
      </w:pPr>
    </w:p>
    <w:p>
      <w:pPr>
        <w:jc w:val="both"/>
        <w:ind w:left="200" w:right="80"/>
        <w:spacing w:after="0" w:line="255" w:lineRule="auto"/>
        <w:rPr>
          <w:sz w:val="20"/>
          <w:szCs w:val="20"/>
          <w:color w:val="auto"/>
        </w:rPr>
      </w:pPr>
      <w:r>
        <w:rPr>
          <w:rFonts w:ascii="Arial" w:cs="Arial" w:eastAsia="Arial" w:hAnsi="Arial"/>
          <w:sz w:val="18"/>
          <w:szCs w:val="18"/>
          <w:color w:val="auto"/>
        </w:rPr>
        <w:t>In addition to the meetings discussed above, the chair of the audit committee, and any other audit committee member or other member of the board of directors who desired or was requested to participate, reviewed with management and our independent auditors our financial results for each quarter of 2017 prior to the quarterly release of earnings.</w:t>
      </w:r>
    </w:p>
    <w:p>
      <w:pPr>
        <w:spacing w:after="0" w:line="97"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In February 2018, the independent auditors and members of senior management reviewed and discussed the audited financial statements for the fiscal year ended December 31, 2017 with the audit committee, together with our disclosures under “Management’s Discussion and Analysis of Financial Condition and Results of Operations.” This discussion included, among other things:</w:t>
      </w:r>
    </w:p>
    <w:p>
      <w:pPr>
        <w:spacing w:after="0" w:line="97" w:lineRule="exact"/>
        <w:rPr>
          <w:sz w:val="20"/>
          <w:szCs w:val="20"/>
          <w:color w:val="auto"/>
        </w:rPr>
      </w:pPr>
    </w:p>
    <w:p>
      <w:pPr>
        <w:ind w:left="640" w:hanging="328"/>
        <w:spacing w:after="0"/>
        <w:tabs>
          <w:tab w:leader="none" w:pos="640" w:val="left"/>
        </w:tabs>
        <w:numPr>
          <w:ilvl w:val="0"/>
          <w:numId w:val="77"/>
        </w:numPr>
        <w:rPr>
          <w:rFonts w:ascii="Arial" w:cs="Arial" w:eastAsia="Arial" w:hAnsi="Arial"/>
          <w:sz w:val="18"/>
          <w:szCs w:val="18"/>
          <w:color w:val="5D89B4"/>
        </w:rPr>
      </w:pPr>
      <w:r>
        <w:rPr>
          <w:rFonts w:ascii="Arial" w:cs="Arial" w:eastAsia="Arial" w:hAnsi="Arial"/>
          <w:sz w:val="18"/>
          <w:szCs w:val="18"/>
          <w:color w:val="auto"/>
        </w:rPr>
        <w:t>critical accounting policies and practices used in the preparation of our financial statements;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77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Audit Committee Report</w:t>
      </w:r>
    </w:p>
    <w:p>
      <w:pPr>
        <w:spacing w:after="0" w:line="320" w:lineRule="exact"/>
        <w:rPr>
          <w:sz w:val="20"/>
          <w:szCs w:val="20"/>
          <w:color w:val="auto"/>
        </w:rPr>
      </w:pPr>
    </w:p>
    <w:p>
      <w:pPr>
        <w:ind w:left="640" w:hanging="328"/>
        <w:spacing w:after="0"/>
        <w:tabs>
          <w:tab w:leader="none" w:pos="640" w:val="left"/>
        </w:tabs>
        <w:numPr>
          <w:ilvl w:val="0"/>
          <w:numId w:val="78"/>
        </w:numPr>
        <w:rPr>
          <w:rFonts w:ascii="Arial" w:cs="Arial" w:eastAsia="Arial" w:hAnsi="Arial"/>
          <w:sz w:val="18"/>
          <w:szCs w:val="18"/>
          <w:color w:val="5D89B4"/>
        </w:rPr>
      </w:pPr>
      <w:r>
        <w:rPr>
          <w:rFonts w:ascii="Arial" w:cs="Arial" w:eastAsia="Arial" w:hAnsi="Arial"/>
          <w:sz w:val="18"/>
          <w:szCs w:val="18"/>
          <w:color w:val="auto"/>
        </w:rPr>
        <w:t>our judgmental reserves;</w:t>
      </w:r>
    </w:p>
    <w:p>
      <w:pPr>
        <w:spacing w:after="0" w:line="76" w:lineRule="exact"/>
        <w:rPr>
          <w:rFonts w:ascii="Arial" w:cs="Arial" w:eastAsia="Arial" w:hAnsi="Arial"/>
          <w:sz w:val="18"/>
          <w:szCs w:val="18"/>
          <w:color w:val="5D89B4"/>
        </w:rPr>
      </w:pPr>
    </w:p>
    <w:p>
      <w:pPr>
        <w:ind w:left="640" w:right="720" w:hanging="328"/>
        <w:spacing w:after="0" w:line="276" w:lineRule="auto"/>
        <w:tabs>
          <w:tab w:leader="none" w:pos="640" w:val="left"/>
        </w:tabs>
        <w:numPr>
          <w:ilvl w:val="0"/>
          <w:numId w:val="78"/>
        </w:numPr>
        <w:rPr>
          <w:rFonts w:ascii="Arial" w:cs="Arial" w:eastAsia="Arial" w:hAnsi="Arial"/>
          <w:sz w:val="18"/>
          <w:szCs w:val="18"/>
          <w:color w:val="5D89B4"/>
        </w:rPr>
      </w:pPr>
      <w:r>
        <w:rPr>
          <w:rFonts w:ascii="Arial" w:cs="Arial" w:eastAsia="Arial" w:hAnsi="Arial"/>
          <w:sz w:val="18"/>
          <w:szCs w:val="18"/>
          <w:color w:val="auto"/>
        </w:rPr>
        <w:t>the effect of regulatory and accounting initiatives on our financial statements, including the adoption of significant accounting pronouncements;</w:t>
      </w:r>
    </w:p>
    <w:p>
      <w:pPr>
        <w:spacing w:after="0" w:line="10" w:lineRule="exact"/>
        <w:rPr>
          <w:rFonts w:ascii="Arial" w:cs="Arial" w:eastAsia="Arial" w:hAnsi="Arial"/>
          <w:sz w:val="18"/>
          <w:szCs w:val="18"/>
          <w:color w:val="5D89B4"/>
        </w:rPr>
      </w:pPr>
    </w:p>
    <w:p>
      <w:pPr>
        <w:ind w:left="640" w:hanging="328"/>
        <w:spacing w:after="0"/>
        <w:tabs>
          <w:tab w:leader="none" w:pos="640" w:val="left"/>
        </w:tabs>
        <w:numPr>
          <w:ilvl w:val="0"/>
          <w:numId w:val="78"/>
        </w:numPr>
        <w:rPr>
          <w:rFonts w:ascii="Arial" w:cs="Arial" w:eastAsia="Arial" w:hAnsi="Arial"/>
          <w:sz w:val="18"/>
          <w:szCs w:val="18"/>
          <w:color w:val="5D89B4"/>
        </w:rPr>
      </w:pPr>
      <w:r>
        <w:rPr>
          <w:rFonts w:ascii="Arial" w:cs="Arial" w:eastAsia="Arial" w:hAnsi="Arial"/>
          <w:sz w:val="18"/>
          <w:szCs w:val="18"/>
          <w:color w:val="auto"/>
        </w:rPr>
        <w:t>confirmation that there were no unrecorded material audit adjustments proposed by the independent auditors;</w:t>
      </w:r>
    </w:p>
    <w:p>
      <w:pPr>
        <w:spacing w:after="0" w:line="76" w:lineRule="exact"/>
        <w:rPr>
          <w:rFonts w:ascii="Arial" w:cs="Arial" w:eastAsia="Arial" w:hAnsi="Arial"/>
          <w:sz w:val="18"/>
          <w:szCs w:val="18"/>
          <w:color w:val="5D89B4"/>
        </w:rPr>
      </w:pPr>
    </w:p>
    <w:p>
      <w:pPr>
        <w:ind w:left="640" w:right="460" w:hanging="328"/>
        <w:spacing w:after="0" w:line="276" w:lineRule="auto"/>
        <w:tabs>
          <w:tab w:leader="none" w:pos="640" w:val="left"/>
        </w:tabs>
        <w:numPr>
          <w:ilvl w:val="0"/>
          <w:numId w:val="78"/>
        </w:numPr>
        <w:rPr>
          <w:rFonts w:ascii="Arial" w:cs="Arial" w:eastAsia="Arial" w:hAnsi="Arial"/>
          <w:sz w:val="18"/>
          <w:szCs w:val="18"/>
          <w:color w:val="5D89B4"/>
        </w:rPr>
      </w:pPr>
      <w:r>
        <w:rPr>
          <w:rFonts w:ascii="Arial" w:cs="Arial" w:eastAsia="Arial" w:hAnsi="Arial"/>
          <w:sz w:val="18"/>
          <w:szCs w:val="18"/>
          <w:color w:val="auto"/>
        </w:rPr>
        <w:t>confirmation that there were no matters of significant disagreement between management and the independent auditors arising during the audit;</w:t>
      </w:r>
    </w:p>
    <w:p>
      <w:pPr>
        <w:spacing w:after="0" w:line="10" w:lineRule="exact"/>
        <w:rPr>
          <w:rFonts w:ascii="Arial" w:cs="Arial" w:eastAsia="Arial" w:hAnsi="Arial"/>
          <w:sz w:val="18"/>
          <w:szCs w:val="18"/>
          <w:color w:val="5D89B4"/>
        </w:rPr>
      </w:pPr>
    </w:p>
    <w:p>
      <w:pPr>
        <w:ind w:left="640" w:right="440" w:hanging="328"/>
        <w:spacing w:after="0" w:line="276" w:lineRule="auto"/>
        <w:tabs>
          <w:tab w:leader="none" w:pos="640" w:val="left"/>
        </w:tabs>
        <w:numPr>
          <w:ilvl w:val="0"/>
          <w:numId w:val="78"/>
        </w:numPr>
        <w:rPr>
          <w:rFonts w:ascii="Arial" w:cs="Arial" w:eastAsia="Arial" w:hAnsi="Arial"/>
          <w:sz w:val="18"/>
          <w:szCs w:val="18"/>
          <w:color w:val="5D89B4"/>
        </w:rPr>
      </w:pPr>
      <w:r>
        <w:rPr>
          <w:rFonts w:ascii="Arial" w:cs="Arial" w:eastAsia="Arial" w:hAnsi="Arial"/>
          <w:sz w:val="18"/>
          <w:szCs w:val="18"/>
          <w:color w:val="auto"/>
        </w:rPr>
        <w:t>other matters required to be discussed by Public Company Accounting Oversight Board (“PCAOB”) Auditing Standard No. 1301 “Communications with Audit Committees;”</w:t>
      </w:r>
    </w:p>
    <w:p>
      <w:pPr>
        <w:spacing w:after="0" w:line="10" w:lineRule="exact"/>
        <w:rPr>
          <w:rFonts w:ascii="Arial" w:cs="Arial" w:eastAsia="Arial" w:hAnsi="Arial"/>
          <w:sz w:val="18"/>
          <w:szCs w:val="18"/>
          <w:color w:val="5D89B4"/>
        </w:rPr>
      </w:pPr>
    </w:p>
    <w:p>
      <w:pPr>
        <w:ind w:left="640" w:right="440" w:hanging="328"/>
        <w:spacing w:after="0" w:line="276" w:lineRule="auto"/>
        <w:tabs>
          <w:tab w:leader="none" w:pos="640" w:val="left"/>
        </w:tabs>
        <w:numPr>
          <w:ilvl w:val="0"/>
          <w:numId w:val="78"/>
        </w:numPr>
        <w:rPr>
          <w:rFonts w:ascii="Arial" w:cs="Arial" w:eastAsia="Arial" w:hAnsi="Arial"/>
          <w:sz w:val="18"/>
          <w:szCs w:val="18"/>
          <w:color w:val="5D89B4"/>
        </w:rPr>
      </w:pPr>
      <w:r>
        <w:rPr>
          <w:rFonts w:ascii="Arial" w:cs="Arial" w:eastAsia="Arial" w:hAnsi="Arial"/>
          <w:sz w:val="18"/>
          <w:szCs w:val="18"/>
          <w:color w:val="auto"/>
        </w:rPr>
        <w:t xml:space="preserve">other matters required to be discussed by PCAOB Ethics and Independence Rule 3526,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Concerning Independence; </w:t>
      </w:r>
      <w:r>
        <w:rPr>
          <w:rFonts w:ascii="Arial" w:cs="Arial" w:eastAsia="Arial" w:hAnsi="Arial"/>
          <w:sz w:val="18"/>
          <w:szCs w:val="18"/>
          <w:color w:val="auto"/>
        </w:rPr>
        <w:t>and</w:t>
      </w:r>
    </w:p>
    <w:p>
      <w:pPr>
        <w:spacing w:after="0" w:line="10" w:lineRule="exact"/>
        <w:rPr>
          <w:rFonts w:ascii="Arial" w:cs="Arial" w:eastAsia="Arial" w:hAnsi="Arial"/>
          <w:sz w:val="18"/>
          <w:szCs w:val="18"/>
          <w:color w:val="5D89B4"/>
        </w:rPr>
      </w:pPr>
    </w:p>
    <w:p>
      <w:pPr>
        <w:ind w:left="640" w:hanging="328"/>
        <w:spacing w:after="0" w:line="255" w:lineRule="auto"/>
        <w:tabs>
          <w:tab w:leader="none" w:pos="640" w:val="left"/>
        </w:tabs>
        <w:numPr>
          <w:ilvl w:val="0"/>
          <w:numId w:val="78"/>
        </w:numPr>
        <w:rPr>
          <w:rFonts w:ascii="Arial" w:cs="Arial" w:eastAsia="Arial" w:hAnsi="Arial"/>
          <w:sz w:val="18"/>
          <w:szCs w:val="18"/>
          <w:color w:val="5D89B4"/>
        </w:rPr>
      </w:pPr>
      <w:r>
        <w:rPr>
          <w:rFonts w:ascii="Arial" w:cs="Arial" w:eastAsia="Arial" w:hAnsi="Arial"/>
          <w:sz w:val="18"/>
          <w:szCs w:val="18"/>
          <w:color w:val="auto"/>
        </w:rPr>
        <w:t>matters relating to Section 404 of the Sarbanes-Oxley Act, including the management report on internal control over financial reporting for 2017 and the independent auditors’ report with respect to the effectiveness of our internal control over financial reporting and management’s assessment of the effectiveness of our internal control over financial reporting.</w:t>
      </w:r>
    </w:p>
    <w:p>
      <w:pPr>
        <w:spacing w:after="0" w:line="97" w:lineRule="exact"/>
        <w:rPr>
          <w:sz w:val="20"/>
          <w:szCs w:val="20"/>
          <w:color w:val="auto"/>
        </w:rPr>
      </w:pPr>
    </w:p>
    <w:p>
      <w:pPr>
        <w:ind w:left="200" w:right="420"/>
        <w:spacing w:after="0" w:line="276" w:lineRule="auto"/>
        <w:rPr>
          <w:sz w:val="20"/>
          <w:szCs w:val="20"/>
          <w:color w:val="auto"/>
        </w:rPr>
      </w:pPr>
      <w:r>
        <w:rPr>
          <w:rFonts w:ascii="Arial" w:cs="Arial" w:eastAsia="Arial" w:hAnsi="Arial"/>
          <w:sz w:val="18"/>
          <w:szCs w:val="18"/>
          <w:color w:val="auto"/>
        </w:rPr>
        <w:t>At this meeting, the audit committee met in separate private sessions with the independent auditors, the chairperson of our disclosure committee, the head of internal audit and management.</w:t>
      </w:r>
    </w:p>
    <w:p>
      <w:pPr>
        <w:spacing w:after="0" w:line="78" w:lineRule="exact"/>
        <w:rPr>
          <w:sz w:val="20"/>
          <w:szCs w:val="20"/>
          <w:color w:val="auto"/>
        </w:rPr>
      </w:pPr>
    </w:p>
    <w:p>
      <w:pPr>
        <w:ind w:left="200" w:right="120"/>
        <w:spacing w:after="0" w:line="276" w:lineRule="auto"/>
        <w:rPr>
          <w:sz w:val="20"/>
          <w:szCs w:val="20"/>
          <w:color w:val="auto"/>
        </w:rPr>
      </w:pPr>
      <w:r>
        <w:rPr>
          <w:rFonts w:ascii="Arial" w:cs="Arial" w:eastAsia="Arial" w:hAnsi="Arial"/>
          <w:sz w:val="18"/>
          <w:szCs w:val="18"/>
          <w:color w:val="auto"/>
        </w:rPr>
        <w:t>The audit committee has reviewed the fees billed by Deloitte &amp; Touche LLP and related entities (“Deloitte”) to us with respect to 2017 and 2016, which consist of the following:</w:t>
      </w:r>
    </w:p>
    <w:p>
      <w:pPr>
        <w:spacing w:after="0" w:line="64" w:lineRule="exact"/>
        <w:rPr>
          <w:sz w:val="20"/>
          <w:szCs w:val="20"/>
          <w:color w:val="auto"/>
        </w:rPr>
      </w:pPr>
    </w:p>
    <w:p>
      <w:pPr>
        <w:ind w:left="200" w:right="520"/>
        <w:spacing w:after="0" w:line="248"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fees billed for professional services rendered by Deloitte for the audit of our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attestation of our certification of our internal control over financial reporting as of and for the year ended December 31, 2016 and the review of the financial statements included in our Quarterly Reports on Form 10-Q for 2016 approved by the audit committee were $5,910,000.</w:t>
      </w:r>
    </w:p>
    <w:p>
      <w:pPr>
        <w:spacing w:after="0" w:line="103"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The aggregate fees billed for professional services rendered by Deloitte for the audit of our financial statements and attestation of our certification of our internal control over financial reporting as of and for the year ended December 31, 2017 and the review of the financial statements included in our Quarterly Reports on Form 10-Q for 2017 approved by the audit committee were $6,367,000.</w:t>
      </w:r>
    </w:p>
    <w:p>
      <w:pPr>
        <w:spacing w:after="0" w:line="97" w:lineRule="exact"/>
        <w:rPr>
          <w:sz w:val="20"/>
          <w:szCs w:val="20"/>
          <w:color w:val="auto"/>
        </w:rPr>
      </w:pPr>
    </w:p>
    <w:p>
      <w:pPr>
        <w:ind w:left="200" w:right="320"/>
        <w:spacing w:after="0" w:line="255"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fees billed by Deloitte for audit-related services were $64,150 in 2016. These services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auditing billing procedures for one of our foreign subsidiaries’ lines of business, performing certain agreed upon procedures and certification fees.</w:t>
      </w:r>
    </w:p>
    <w:p>
      <w:pPr>
        <w:spacing w:after="0" w:line="83"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The aggregate fees billed by Deloitte for audit-related services were $105,050 in 2017. These services consisted of issuing an audit report for one of our foreign subsidiaries regarding a government subsidy, issuing an audit report related to the statement of educational expenses for flex workers for one our subsidiaries and certification fees.</w:t>
      </w:r>
    </w:p>
    <w:p>
      <w:pPr>
        <w:spacing w:after="0" w:line="97" w:lineRule="exact"/>
        <w:rPr>
          <w:sz w:val="20"/>
          <w:szCs w:val="20"/>
          <w:color w:val="auto"/>
        </w:rPr>
      </w:pPr>
    </w:p>
    <w:p>
      <w:pPr>
        <w:ind w:left="200" w:right="240"/>
        <w:spacing w:after="0" w:line="248"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by Deloitte for tax services were $ 338,800 in 2016. These services consisted of assistance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preparation and review of certain international tax returns, consultation regarding appropriate handling of items on the U.S. and international tax returns, assistance with tax audits and examinations, advice related to VAT and wage tax matters, advice regarding tax issues relating to our reorganizations and transfer pricing studies.</w:t>
      </w:r>
    </w:p>
    <w:p>
      <w:pPr>
        <w:spacing w:after="0" w:line="103" w:lineRule="exact"/>
        <w:rPr>
          <w:sz w:val="20"/>
          <w:szCs w:val="20"/>
          <w:color w:val="auto"/>
        </w:rPr>
      </w:pPr>
    </w:p>
    <w:p>
      <w:pPr>
        <w:ind w:left="200" w:right="260"/>
        <w:spacing w:after="0" w:line="248" w:lineRule="auto"/>
        <w:rPr>
          <w:sz w:val="20"/>
          <w:szCs w:val="20"/>
          <w:color w:val="auto"/>
        </w:rPr>
      </w:pPr>
      <w:r>
        <w:rPr>
          <w:rFonts w:ascii="Arial" w:cs="Arial" w:eastAsia="Arial" w:hAnsi="Arial"/>
          <w:sz w:val="18"/>
          <w:szCs w:val="18"/>
          <w:color w:val="auto"/>
        </w:rPr>
        <w:t>The aggregate fees billed by Deloitte for tax services were $482,400 in 2017. These services consisted of assistance in the preparation and review of certain international tax returns, consultation regarding appropriate handling of items on the U.S. and international tax returns, assistance with tax audits and examinations, advice related to VAT and wage tax matters, due diligence related to a potential acquisition, advice regarding tax issues relating to our reorganizations and a transfer pricing study.</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There were no other fees and expenses billed by Deloitte to us in 2016.</w:t>
      </w:r>
    </w:p>
    <w:p>
      <w:pPr>
        <w:spacing w:after="0" w:line="144" w:lineRule="exact"/>
        <w:rPr>
          <w:sz w:val="20"/>
          <w:szCs w:val="20"/>
          <w:color w:val="auto"/>
        </w:rPr>
      </w:pPr>
    </w:p>
    <w:p>
      <w:pPr>
        <w:ind w:left="200" w:right="160"/>
        <w:spacing w:after="0" w:line="276" w:lineRule="auto"/>
        <w:rPr>
          <w:sz w:val="20"/>
          <w:szCs w:val="20"/>
          <w:color w:val="auto"/>
        </w:rPr>
      </w:pPr>
      <w:r>
        <w:rPr>
          <w:rFonts w:ascii="Arial" w:cs="Arial" w:eastAsia="Arial" w:hAnsi="Arial"/>
          <w:sz w:val="18"/>
          <w:szCs w:val="18"/>
          <w:color w:val="auto"/>
        </w:rPr>
        <w:t>The aggregate fees billed by Deloitte for all other fees were $36,900 in 2017. These services consisted of market research to benchmark certain aspects of our business.</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78</w:t>
      </w:r>
    </w:p>
    <w:p>
      <w:pPr>
        <w:sectPr>
          <w:pgSz w:w="11900" w:h="16838" w:orient="portrait"/>
          <w:cols w:equalWidth="0" w:num="1">
            <w:col w:w="11220"/>
          </w:cols>
          <w:pgMar w:left="240" w:top="455" w:right="4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9200"/>
        <w:spacing w:after="0"/>
        <w:rPr>
          <w:sz w:val="20"/>
          <w:szCs w:val="20"/>
          <w:color w:val="auto"/>
        </w:rPr>
      </w:pPr>
      <w:r>
        <w:rPr>
          <w:rFonts w:ascii="Arial" w:cs="Arial" w:eastAsia="Arial" w:hAnsi="Arial"/>
          <w:sz w:val="18"/>
          <w:szCs w:val="18"/>
          <w:color w:val="FFFFFF"/>
        </w:rPr>
        <w:t>Audit Committee Report</w:t>
      </w:r>
    </w:p>
    <w:p>
      <w:pPr>
        <w:spacing w:after="0" w:line="239" w:lineRule="exact"/>
        <w:rPr>
          <w:sz w:val="20"/>
          <w:szCs w:val="20"/>
          <w:color w:val="auto"/>
        </w:rPr>
      </w:pPr>
    </w:p>
    <w:p>
      <w:pPr>
        <w:ind w:left="200"/>
        <w:spacing w:after="0" w:line="245" w:lineRule="auto"/>
        <w:rPr>
          <w:sz w:val="20"/>
          <w:szCs w:val="20"/>
          <w:color w:val="auto"/>
        </w:rPr>
      </w:pPr>
      <w:r>
        <w:rPr>
          <w:rFonts w:ascii="Arial" w:cs="Arial" w:eastAsia="Arial" w:hAnsi="Arial"/>
          <w:sz w:val="18"/>
          <w:szCs w:val="18"/>
          <w:i w:val="1"/>
          <w:iCs w:val="1"/>
          <w:color w:val="auto"/>
        </w:rPr>
        <w:t xml:space="preserve">Approval Procedures. </w:t>
      </w:r>
      <w:r>
        <w:rPr>
          <w:rFonts w:ascii="Arial" w:cs="Arial" w:eastAsia="Arial" w:hAnsi="Arial"/>
          <w:sz w:val="18"/>
          <w:szCs w:val="18"/>
          <w:color w:val="auto"/>
        </w:rPr>
        <w:t>We have an Independent Auditor Services Policy that we review on an annual basis. The policy sets forth the types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services that we may and may not engage our auditors to provide, the approval requirements for permitted services and related disclosure and reporting standards. A copy of the policy is available on our web site at </w:t>
      </w:r>
      <w:r>
        <w:rPr>
          <w:rFonts w:ascii="Arial" w:cs="Arial" w:eastAsia="Arial" w:hAnsi="Arial"/>
          <w:sz w:val="18"/>
          <w:szCs w:val="18"/>
          <w:u w:val="single" w:color="auto"/>
          <w:color w:val="auto"/>
        </w:rPr>
        <w:t>http://investor.manpowergroup.com/documents.cfm</w:t>
      </w:r>
      <w:r>
        <w:rPr>
          <w:rFonts w:ascii="Arial" w:cs="Arial" w:eastAsia="Arial" w:hAnsi="Arial"/>
          <w:sz w:val="18"/>
          <w:szCs w:val="18"/>
          <w:color w:val="auto"/>
        </w:rPr>
        <w:t>. Each of the services described under the headings “Audit-Related Fees” and “Tax Fees” was approved during 2016 and 2017 in accordance with the policy.</w:t>
      </w:r>
    </w:p>
    <w:p>
      <w:pPr>
        <w:spacing w:after="0" w:line="105" w:lineRule="exact"/>
        <w:rPr>
          <w:sz w:val="20"/>
          <w:szCs w:val="20"/>
          <w:color w:val="auto"/>
        </w:rPr>
      </w:pPr>
    </w:p>
    <w:p>
      <w:pPr>
        <w:ind w:left="200" w:right="80"/>
        <w:spacing w:after="0" w:line="241" w:lineRule="auto"/>
        <w:rPr>
          <w:sz w:val="20"/>
          <w:szCs w:val="20"/>
          <w:color w:val="auto"/>
        </w:rPr>
      </w:pPr>
      <w:r>
        <w:rPr>
          <w:rFonts w:ascii="Arial" w:cs="Arial" w:eastAsia="Arial" w:hAnsi="Arial"/>
          <w:sz w:val="18"/>
          <w:szCs w:val="18"/>
          <w:color w:val="auto"/>
        </w:rPr>
        <w:t>The audit committee has also received the written disclosures and confirmation from Deloitte required by PCAOB Ethics and Independence Rule 3526 and discussed with Deloitte their independence. In particular, at each regular meeting during 2017 and at the meeting in February 2018 the audit committee reviewed and discussed the non-audit services provided by Deloitte to us that are described above. The audit committee has considered whether the provision of the non-audit services described above is compatible with the independence of Deloitte and satisfied itself as to the auditor’s independence. The audit committee believes that Deloitte has been objective and impartial in conducting the 2017 audit, and believes that the provision of these services has not adversely affected the integrity of our audit and financial reporting processes.</w:t>
      </w:r>
    </w:p>
    <w:p>
      <w:pPr>
        <w:spacing w:after="0" w:line="112"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related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93"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2017.</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5D89B4"/>
        </w:rPr>
        <w:t>The Audit Committee</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Gina R. Boswell, Chair</w:t>
      </w:r>
    </w:p>
    <w:p>
      <w:pPr>
        <w:jc w:val="center"/>
        <w:ind w:right="-199"/>
        <w:spacing w:after="0" w:line="234" w:lineRule="auto"/>
        <w:rPr>
          <w:sz w:val="20"/>
          <w:szCs w:val="20"/>
          <w:color w:val="auto"/>
        </w:rPr>
      </w:pPr>
      <w:r>
        <w:rPr>
          <w:rFonts w:ascii="Arial" w:cs="Arial" w:eastAsia="Arial" w:hAnsi="Arial"/>
          <w:sz w:val="18"/>
          <w:szCs w:val="18"/>
          <w:color w:val="auto"/>
        </w:rPr>
        <w:t>John F. Ferraro</w:t>
      </w:r>
    </w:p>
    <w:p>
      <w:pPr>
        <w:jc w:val="center"/>
        <w:ind w:right="-199"/>
        <w:spacing w:after="0" w:line="235" w:lineRule="auto"/>
        <w:rPr>
          <w:sz w:val="20"/>
          <w:szCs w:val="20"/>
          <w:color w:val="auto"/>
        </w:rPr>
      </w:pPr>
      <w:r>
        <w:rPr>
          <w:rFonts w:ascii="Arial" w:cs="Arial" w:eastAsia="Arial" w:hAnsi="Arial"/>
          <w:sz w:val="18"/>
          <w:szCs w:val="18"/>
          <w:color w:val="auto"/>
        </w:rPr>
        <w:t>Patricia Hemingway Hall</w:t>
      </w:r>
    </w:p>
    <w:p>
      <w:pPr>
        <w:jc w:val="center"/>
        <w:ind w:right="-199"/>
        <w:spacing w:after="0" w:line="235" w:lineRule="auto"/>
        <w:rPr>
          <w:sz w:val="20"/>
          <w:szCs w:val="20"/>
          <w:color w:val="auto"/>
        </w:rPr>
      </w:pPr>
      <w:r>
        <w:rPr>
          <w:rFonts w:ascii="Arial" w:cs="Arial" w:eastAsia="Arial" w:hAnsi="Arial"/>
          <w:sz w:val="18"/>
          <w:szCs w:val="18"/>
          <w:color w:val="auto"/>
        </w:rPr>
        <w:t>Roberto Mendoza</w:t>
      </w:r>
    </w:p>
    <w:p>
      <w:pPr>
        <w:jc w:val="center"/>
        <w:ind w:right="-199"/>
        <w:spacing w:after="0" w:line="235" w:lineRule="auto"/>
        <w:rPr>
          <w:sz w:val="20"/>
          <w:szCs w:val="20"/>
          <w:color w:val="auto"/>
        </w:rPr>
      </w:pPr>
      <w:r>
        <w:rPr>
          <w:rFonts w:ascii="Arial" w:cs="Arial" w:eastAsia="Arial" w:hAnsi="Arial"/>
          <w:sz w:val="18"/>
          <w:szCs w:val="18"/>
          <w:color w:val="auto"/>
        </w:rPr>
        <w:t>Ulice Payne, Jr.</w:t>
      </w:r>
    </w:p>
    <w:p>
      <w:pPr>
        <w:jc w:val="center"/>
        <w:ind w:right="-199"/>
        <w:spacing w:after="0"/>
        <w:rPr>
          <w:sz w:val="20"/>
          <w:szCs w:val="20"/>
          <w:color w:val="auto"/>
        </w:rPr>
      </w:pPr>
      <w:r>
        <w:rPr>
          <w:rFonts w:ascii="Arial" w:cs="Arial" w:eastAsia="Arial" w:hAnsi="Arial"/>
          <w:sz w:val="18"/>
          <w:szCs w:val="18"/>
          <w:color w:val="auto"/>
        </w:rPr>
        <w:t>Paul Read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79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2. Ratification of Independent Auditors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2. Ratification of Independent Auditors</w:t>
      </w:r>
    </w:p>
    <w:p>
      <w:pPr>
        <w:spacing w:after="0" w:line="245" w:lineRule="exact"/>
        <w:rPr>
          <w:sz w:val="20"/>
          <w:szCs w:val="20"/>
          <w:color w:val="auto"/>
        </w:rPr>
      </w:pPr>
    </w:p>
    <w:p>
      <w:pPr>
        <w:ind w:left="200"/>
        <w:spacing w:after="0" w:line="245" w:lineRule="auto"/>
        <w:rPr>
          <w:sz w:val="20"/>
          <w:szCs w:val="20"/>
          <w:color w:val="auto"/>
        </w:rPr>
      </w:pPr>
      <w:r>
        <w:rPr>
          <w:rFonts w:ascii="Arial" w:cs="Arial" w:eastAsia="Arial" w:hAnsi="Arial"/>
          <w:sz w:val="18"/>
          <w:szCs w:val="18"/>
          <w:color w:val="auto"/>
        </w:rPr>
        <w:t>The audit committee of the board of directors has appointed Deloitte &amp; Touche LLP to audit our consolidated financial statements for the fiscal year ending December 31, 2018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p>
    <w:p>
      <w:pPr>
        <w:spacing w:after="0" w:line="105" w:lineRule="exact"/>
        <w:rPr>
          <w:sz w:val="20"/>
          <w:szCs w:val="20"/>
          <w:color w:val="auto"/>
        </w:rPr>
      </w:pPr>
    </w:p>
    <w:p>
      <w:pPr>
        <w:ind w:left="200" w:right="520"/>
        <w:spacing w:after="0" w:line="276" w:lineRule="auto"/>
        <w:rPr>
          <w:sz w:val="20"/>
          <w:szCs w:val="20"/>
          <w:color w:val="auto"/>
        </w:rPr>
      </w:pPr>
      <w:r>
        <w:rPr>
          <w:rFonts w:ascii="Arial" w:cs="Arial" w:eastAsia="Arial" w:hAnsi="Arial"/>
          <w:sz w:val="18"/>
          <w:szCs w:val="18"/>
          <w:color w:val="auto"/>
        </w:rPr>
        <w:t>If the shareholders do not ratify the appointment of Deloitte &amp; Touche LLP, the audit committee will take such action into account in reconsidering the appointment of our independent auditors for the fiscal year ending December 31, 2018.</w:t>
      </w:r>
    </w:p>
    <w:p>
      <w:pPr>
        <w:spacing w:after="0" w:line="78"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The affirmative vote of a majority of the votes cast on this proposal shall constitute ratification of Deloitte &amp; Touche LLP as our independent auditors for the fiscal year ending December 31, 2018. Abstentions and broker non-votes will not be counted as votes cast and, therefore, will have no impact on the approval of the proposal.</w:t>
      </w:r>
    </w:p>
    <w:p>
      <w:pPr>
        <w:spacing w:after="0" w:line="162" w:lineRule="exact"/>
        <w:rPr>
          <w:sz w:val="20"/>
          <w:szCs w:val="20"/>
          <w:color w:val="auto"/>
        </w:rPr>
      </w:pPr>
    </w:p>
    <w:p>
      <w:pPr>
        <w:ind w:left="1320" w:right="360"/>
        <w:spacing w:after="0" w:line="256" w:lineRule="auto"/>
        <w:rPr>
          <w:sz w:val="20"/>
          <w:szCs w:val="20"/>
          <w:color w:val="auto"/>
        </w:rPr>
      </w:pPr>
      <w:r>
        <w:rPr>
          <w:rFonts w:ascii="Arial" w:cs="Arial" w:eastAsia="Arial" w:hAnsi="Arial"/>
          <w:sz w:val="18"/>
          <w:szCs w:val="18"/>
          <w:color w:val="auto"/>
        </w:rPr>
        <w:t xml:space="preserve">The board of directors recommends you vote </w:t>
      </w:r>
      <w:r>
        <w:rPr>
          <w:rFonts w:ascii="Arial" w:cs="Arial" w:eastAsia="Arial" w:hAnsi="Arial"/>
          <w:sz w:val="18"/>
          <w:szCs w:val="18"/>
          <w:b w:val="1"/>
          <w:bCs w:val="1"/>
          <w:color w:val="5D89B4"/>
        </w:rPr>
        <w:t>FOR</w:t>
      </w:r>
      <w:r>
        <w:rPr>
          <w:rFonts w:ascii="Arial" w:cs="Arial" w:eastAsia="Arial" w:hAnsi="Arial"/>
          <w:sz w:val="18"/>
          <w:szCs w:val="18"/>
          <w:color w:val="auto"/>
        </w:rPr>
        <w:t xml:space="preserve"> the ratification of the appointment of Deloitte &amp; Touche LLP as our independent auditors for the fiscal year ending December 31, 2018,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-404495</wp:posOffset>
            </wp:positionV>
            <wp:extent cx="300355" cy="2832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80</w:t>
      </w:r>
    </w:p>
    <w:p>
      <w:pPr>
        <w:sectPr>
          <w:pgSz w:w="11900" w:h="16838" w:orient="portrait"/>
          <w:cols w:equalWidth="0" w:num="1">
            <w:col w:w="11080"/>
          </w:cols>
          <w:pgMar w:left="240" w:top="455" w:right="5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4980" w:hanging="186"/>
        <w:spacing w:after="0"/>
        <w:tabs>
          <w:tab w:leader="none" w:pos="4980" w:val="left"/>
        </w:tabs>
        <w:numPr>
          <w:ilvl w:val="1"/>
          <w:numId w:val="79"/>
        </w:numPr>
        <w:rPr>
          <w:rFonts w:ascii="Arial" w:cs="Arial" w:eastAsia="Arial" w:hAnsi="Arial"/>
          <w:sz w:val="18"/>
          <w:szCs w:val="18"/>
          <w:color w:val="FFFFFF"/>
        </w:rPr>
      </w:pPr>
      <w:r>
        <w:rPr>
          <w:rFonts w:ascii="Arial" w:cs="Arial" w:eastAsia="Arial" w:hAnsi="Arial"/>
          <w:sz w:val="18"/>
          <w:szCs w:val="18"/>
          <w:color w:val="FFFFFF"/>
        </w:rPr>
        <w:t>Advisory Vote on Approval of the Compensation of Named Executive Officers</w:t>
      </w:r>
    </w:p>
    <w:p>
      <w:pPr>
        <w:spacing w:after="0" w:line="210" w:lineRule="exact"/>
        <w:rPr>
          <w:rFonts w:ascii="Arial" w:cs="Arial" w:eastAsia="Arial" w:hAnsi="Arial"/>
          <w:sz w:val="18"/>
          <w:szCs w:val="18"/>
          <w:color w:val="FFFFFF"/>
        </w:rPr>
      </w:pPr>
    </w:p>
    <w:p>
      <w:pPr>
        <w:ind w:left="200" w:right="1320" w:firstLine="4"/>
        <w:spacing w:after="0" w:line="287" w:lineRule="auto"/>
        <w:tabs>
          <w:tab w:leader="none" w:pos="638" w:val="left"/>
        </w:tabs>
        <w:numPr>
          <w:ilvl w:val="0"/>
          <w:numId w:val="80"/>
        </w:numPr>
        <w:rPr>
          <w:rFonts w:ascii="Arial" w:cs="Arial" w:eastAsia="Arial" w:hAnsi="Arial"/>
          <w:sz w:val="41"/>
          <w:szCs w:val="41"/>
          <w:color w:val="5D89B4"/>
        </w:rPr>
      </w:pPr>
      <w:r>
        <w:rPr>
          <w:rFonts w:ascii="Arial" w:cs="Arial" w:eastAsia="Arial" w:hAnsi="Arial"/>
          <w:sz w:val="41"/>
          <w:szCs w:val="41"/>
          <w:color w:val="5D89B4"/>
        </w:rPr>
        <w:t>Advisory Vote on Approval of the Compensation of Named Executive Officers</w:t>
      </w:r>
    </w:p>
    <w:p>
      <w:pPr>
        <w:spacing w:after="0" w:line="62" w:lineRule="exact"/>
        <w:rPr>
          <w:sz w:val="20"/>
          <w:szCs w:val="20"/>
          <w:color w:val="auto"/>
        </w:rPr>
      </w:pPr>
    </w:p>
    <w:p>
      <w:pPr>
        <w:ind w:left="200" w:right="140"/>
        <w:spacing w:after="0" w:line="248" w:lineRule="auto"/>
        <w:rPr>
          <w:sz w:val="20"/>
          <w:szCs w:val="20"/>
          <w:color w:val="auto"/>
        </w:rPr>
      </w:pPr>
      <w:r>
        <w:rPr>
          <w:rFonts w:ascii="Arial" w:cs="Arial" w:eastAsia="Arial" w:hAnsi="Arial"/>
          <w:sz w:val="18"/>
          <w:szCs w:val="18"/>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101" w:lineRule="exact"/>
        <w:rPr>
          <w:sz w:val="20"/>
          <w:szCs w:val="20"/>
          <w:color w:val="auto"/>
        </w:rPr>
      </w:pPr>
    </w:p>
    <w:p>
      <w:pPr>
        <w:ind w:left="200" w:right="80"/>
        <w:spacing w:after="0" w:line="261" w:lineRule="auto"/>
        <w:rPr>
          <w:sz w:val="20"/>
          <w:szCs w:val="20"/>
          <w:color w:val="auto"/>
        </w:rPr>
      </w:pPr>
      <w:r>
        <w:rPr>
          <w:rFonts w:ascii="Arial" w:cs="Arial" w:eastAsia="Arial" w:hAnsi="Arial"/>
          <w:sz w:val="18"/>
          <w:szCs w:val="18"/>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83" w:lineRule="exact"/>
        <w:rPr>
          <w:sz w:val="20"/>
          <w:szCs w:val="20"/>
          <w:color w:val="auto"/>
        </w:rPr>
      </w:pPr>
    </w:p>
    <w:p>
      <w:pPr>
        <w:ind w:left="200" w:right="200"/>
        <w:spacing w:after="0" w:line="243" w:lineRule="auto"/>
        <w:rPr>
          <w:sz w:val="20"/>
          <w:szCs w:val="20"/>
          <w:color w:val="auto"/>
        </w:rPr>
      </w:pPr>
      <w:r>
        <w:rPr>
          <w:rFonts w:ascii="Arial" w:cs="Arial" w:eastAsia="Arial" w:hAnsi="Arial"/>
          <w:sz w:val="18"/>
          <w:szCs w:val="18"/>
          <w:color w:val="auto"/>
        </w:rPr>
        <w:t>ManpowerGroup derives approximately 87% of its revenues from outside the United States, with the largest portions coming from the company’s operating segments in Southern Europe (41%), Northern Europe (25%) and Asia Pacific Middle East (13%). Our business is truly global in nature and complexity. Through our global network of nearly 2,700 offices in 80 countries and territories, we put millions of people to work in 2017 with our global, multinational and local clients across all major industry segments and provided a broad range of workforce solutions including recruitment and assessment, training and development, career management, outsourcing and workforce consulting.</w:t>
      </w:r>
    </w:p>
    <w:p>
      <w:pPr>
        <w:spacing w:after="0" w:line="93" w:lineRule="exact"/>
        <w:rPr>
          <w:sz w:val="20"/>
          <w:szCs w:val="20"/>
          <w:color w:val="auto"/>
        </w:rPr>
      </w:pPr>
    </w:p>
    <w:p>
      <w:pPr>
        <w:ind w:left="200" w:right="120"/>
        <w:spacing w:after="0" w:line="248" w:lineRule="auto"/>
        <w:rPr>
          <w:sz w:val="20"/>
          <w:szCs w:val="20"/>
          <w:color w:val="auto"/>
        </w:rPr>
      </w:pPr>
      <w:r>
        <w:rPr>
          <w:rFonts w:ascii="Arial" w:cs="Arial" w:eastAsia="Arial" w:hAnsi="Arial"/>
          <w:sz w:val="18"/>
          <w:szCs w:val="18"/>
          <w:color w:val="auto"/>
        </w:rPr>
        <w:t>To be successful, ManpowerGroup needs senior executives who have the capability and experience to operate effectively in this environment. A guiding principle of the company’s compensation program is to provide pay opportunities to the executive officers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103" w:lineRule="exact"/>
        <w:rPr>
          <w:sz w:val="20"/>
          <w:szCs w:val="20"/>
          <w:color w:val="auto"/>
        </w:rPr>
      </w:pPr>
    </w:p>
    <w:p>
      <w:pPr>
        <w:ind w:left="200" w:right="120"/>
        <w:spacing w:after="0" w:line="245" w:lineRule="auto"/>
        <w:rPr>
          <w:sz w:val="20"/>
          <w:szCs w:val="20"/>
          <w:color w:val="auto"/>
        </w:rPr>
      </w:pPr>
      <w:r>
        <w:rPr>
          <w:rFonts w:ascii="Arial" w:cs="Arial" w:eastAsia="Arial" w:hAnsi="Arial"/>
          <w:sz w:val="18"/>
          <w:szCs w:val="18"/>
          <w:color w:val="auto"/>
        </w:rPr>
        <w:t>Compensation packages for the executive officers generally include, as short-term arrangements, a base salary and an annual incentive bonus, and for long-term focus and value accumulation, performance share units (PSUs), stock options and restricted stock units.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105" w:lineRule="exact"/>
        <w:rPr>
          <w:sz w:val="20"/>
          <w:szCs w:val="20"/>
          <w:color w:val="auto"/>
        </w:rPr>
      </w:pPr>
    </w:p>
    <w:p>
      <w:pPr>
        <w:ind w:left="200" w:right="80"/>
        <w:spacing w:after="0" w:line="243" w:lineRule="auto"/>
        <w:rPr>
          <w:sz w:val="20"/>
          <w:szCs w:val="20"/>
          <w:color w:val="auto"/>
        </w:rPr>
      </w:pPr>
      <w:r>
        <w:rPr>
          <w:rFonts w:ascii="Arial" w:cs="Arial" w:eastAsia="Arial" w:hAnsi="Arial"/>
          <w:sz w:val="18"/>
          <w:szCs w:val="18"/>
          <w:color w:val="auto"/>
        </w:rPr>
        <w:t>The Company structures the compensation packages of the executive officers so that the overall outcomes at target fall generally within the median range of the competitive market. For the annual incentive and the PSU components of the package, award levels for achievement of the applicable goals generally are set at the median of the competitive market for target results and the 75th percentile for outstanding results. However, actual outcomes may vary among the executive officers due to experience and other individual factors. In addition, because of the cyclical nature of the Company’s business, actual outcomes may significantly exceed or fall short of this range after taking into account performance factors.</w:t>
      </w:r>
    </w:p>
    <w:p>
      <w:pPr>
        <w:spacing w:after="0" w:line="93" w:lineRule="exact"/>
        <w:rPr>
          <w:sz w:val="20"/>
          <w:szCs w:val="20"/>
          <w:color w:val="auto"/>
        </w:rPr>
      </w:pPr>
    </w:p>
    <w:p>
      <w:pPr>
        <w:ind w:left="200" w:right="120"/>
        <w:spacing w:after="0" w:line="241" w:lineRule="auto"/>
        <w:rPr>
          <w:sz w:val="20"/>
          <w:szCs w:val="20"/>
          <w:color w:val="auto"/>
        </w:rPr>
      </w:pPr>
      <w:r>
        <w:rPr>
          <w:rFonts w:ascii="Arial" w:cs="Arial" w:eastAsia="Arial" w:hAnsi="Arial"/>
          <w:sz w:val="18"/>
          <w:szCs w:val="18"/>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and PSUs are earned based on operating profit margin percentage goals, a measure of how efficiently our executive officers have deployed our operating resources to generate a profit. We believe using this metric drives a long-term focus on achieving sustainable profits. In addition, a substantial portion of the annual incentive award paid to the executive officers is based on achievement of earnings per share and return on invested capital for the year. Earnings per share focuses our executive officers on producing financial results that align with the interests of our shareholders, while return on invested capital incentivizes our executive officers to manage our accounts receivable and other capital investments carefully in order to maximize capital deployed</w:t>
      </w:r>
      <w:r>
        <w:rPr>
          <w:rFonts w:ascii="Arial" w:cs="Arial" w:eastAsia="Arial" w:hAnsi="Arial"/>
          <w:sz w:val="18"/>
          <w:szCs w:val="18"/>
          <w:b w:val="1"/>
          <w:bCs w:val="1"/>
          <w:color w:val="auto"/>
        </w:rPr>
        <w:t>.</w:t>
      </w:r>
    </w:p>
    <w:p>
      <w:pPr>
        <w:spacing w:after="0" w:line="101" w:lineRule="exact"/>
        <w:rPr>
          <w:sz w:val="20"/>
          <w:szCs w:val="20"/>
          <w:color w:val="auto"/>
        </w:rPr>
      </w:pPr>
    </w:p>
    <w:p>
      <w:pPr>
        <w:ind w:left="200" w:right="20"/>
        <w:spacing w:after="0" w:line="276" w:lineRule="auto"/>
        <w:rPr>
          <w:sz w:val="20"/>
          <w:szCs w:val="20"/>
          <w:color w:val="auto"/>
        </w:rPr>
      </w:pPr>
      <w:r>
        <w:rPr>
          <w:rFonts w:ascii="Arial" w:cs="Arial" w:eastAsia="Arial" w:hAnsi="Arial"/>
          <w:sz w:val="18"/>
          <w:szCs w:val="18"/>
          <w:color w:val="auto"/>
        </w:rPr>
        <w:t>Both the short-term and long-term components of the compensation program reflect the objective that senior executives should be paid for results and not paid for failure. The executive officers’ base salaries generally are at</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81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3. Advisory Vote on Approval of the Compensation of Named Executive Officers</w:t>
      </w:r>
    </w:p>
    <w:p>
      <w:pPr>
        <w:spacing w:after="0" w:line="239" w:lineRule="exact"/>
        <w:rPr>
          <w:sz w:val="20"/>
          <w:szCs w:val="20"/>
          <w:color w:val="auto"/>
        </w:rPr>
      </w:pPr>
    </w:p>
    <w:p>
      <w:pPr>
        <w:ind w:left="200" w:right="440"/>
        <w:spacing w:after="0" w:line="276" w:lineRule="auto"/>
        <w:rPr>
          <w:sz w:val="20"/>
          <w:szCs w:val="20"/>
          <w:color w:val="auto"/>
        </w:rPr>
      </w:pPr>
      <w:r>
        <w:rPr>
          <w:rFonts w:ascii="Arial" w:cs="Arial" w:eastAsia="Arial" w:hAnsi="Arial"/>
          <w:sz w:val="18"/>
          <w:szCs w:val="18"/>
          <w:color w:val="auto"/>
        </w:rPr>
        <w:t>or below market median with a significant component of the annual cash opportunity based on the level of attainment of performance goals for the year. If the actual results fall short of the goals, the award level is correspondingly reduced or eliminated.</w:t>
      </w:r>
    </w:p>
    <w:p>
      <w:pPr>
        <w:spacing w:after="0" w:line="78" w:lineRule="exact"/>
        <w:rPr>
          <w:sz w:val="20"/>
          <w:szCs w:val="20"/>
          <w:color w:val="auto"/>
        </w:rPr>
      </w:pPr>
    </w:p>
    <w:p>
      <w:pPr>
        <w:ind w:left="200" w:right="200"/>
        <w:spacing w:after="0" w:line="248" w:lineRule="auto"/>
        <w:rPr>
          <w:sz w:val="20"/>
          <w:szCs w:val="20"/>
          <w:color w:val="auto"/>
        </w:rPr>
      </w:pPr>
      <w:r>
        <w:rPr>
          <w:rFonts w:ascii="Arial" w:cs="Arial" w:eastAsia="Arial" w:hAnsi="Arial"/>
          <w:sz w:val="18"/>
          <w:szCs w:val="18"/>
          <w:color w:val="auto"/>
        </w:rPr>
        <w:t>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performance share units which are earned only to the extent the company achieves a pre-established level of performance tied to a designated performance metric, in this instance operating profit margin percent.</w:t>
      </w:r>
    </w:p>
    <w:p>
      <w:pPr>
        <w:spacing w:after="0" w:line="103"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color w:val="auto"/>
        </w:rPr>
        <w:t>Approval of the company’s executive compensation policies and procedures requires that the number of votes cast in favor of the proposal exceeds the number of votes cast against it. Abstentions and broker non-votes will not be counted as votes cast. Because this shareholder vote is advisory, it will not be binding upon the board of directors. However, the executive compensation and human resources committee will take into account the outcome of the vote when considering future executive compensation arrangements.</w:t>
      </w:r>
    </w:p>
    <w:p>
      <w:pPr>
        <w:spacing w:after="0" w:line="182" w:lineRule="exact"/>
        <w:rPr>
          <w:sz w:val="20"/>
          <w:szCs w:val="20"/>
          <w:color w:val="auto"/>
        </w:rPr>
      </w:pPr>
    </w:p>
    <w:p>
      <w:pPr>
        <w:ind w:left="1320" w:right="200"/>
        <w:spacing w:after="0" w:line="278" w:lineRule="auto"/>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5D89B4"/>
        </w:rPr>
        <w:t>FOR</w:t>
      </w:r>
      <w:r>
        <w:rPr>
          <w:rFonts w:ascii="Arial" w:cs="Arial" w:eastAsia="Arial" w:hAnsi="Arial"/>
          <w:sz w:val="18"/>
          <w:szCs w:val="18"/>
          <w:color w:val="auto"/>
        </w:rPr>
        <w:t xml:space="preserve"> the proposal to approve the compensation of our named executive officers,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-296545</wp:posOffset>
            </wp:positionV>
            <wp:extent cx="300355" cy="2832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5D89B4"/>
        </w:rPr>
        <w:t xml:space="preserve">2018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82</w:t>
      </w:r>
    </w:p>
    <w:p>
      <w:pPr>
        <w:sectPr>
          <w:pgSz w:w="11900" w:h="16838" w:orient="portrait"/>
          <w:cols w:equalWidth="0" w:num="1">
            <w:col w:w="11200"/>
          </w:cols>
          <w:pgMar w:left="24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6997700" cy="2400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spacing w:after="0" w:line="366" w:lineRule="exact"/>
        <w:rPr>
          <w:sz w:val="20"/>
          <w:szCs w:val="20"/>
          <w:color w:val="auto"/>
        </w:rPr>
      </w:pPr>
    </w:p>
    <w:p>
      <w:pPr>
        <w:ind w:left="8120"/>
        <w:spacing w:after="0"/>
        <w:rPr>
          <w:sz w:val="20"/>
          <w:szCs w:val="20"/>
          <w:color w:val="auto"/>
        </w:rPr>
      </w:pPr>
      <w:r>
        <w:rPr>
          <w:rFonts w:ascii="Arial" w:cs="Arial" w:eastAsia="Arial" w:hAnsi="Arial"/>
          <w:sz w:val="18"/>
          <w:szCs w:val="18"/>
          <w:color w:val="FFFFFF"/>
        </w:rPr>
        <w:t>Submission of Shareholder Proposals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Submission of Shareholder Proposals</w:t>
      </w:r>
    </w:p>
    <w:p>
      <w:pPr>
        <w:spacing w:after="0" w:line="245"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In accordance with our bylaws, nominations, other than by or at the direction of the board of directors, of candidates for election as directors at the 2019 Annual Meeting of Shareholders must be received by us no earlier than December 5, 2018 and no later than February 3, 2019, and any other shareholder proposed business to be brought before the 2019 annual meeting of shareholders must be received by us no later than February 3, 2019. Unlike shareholder proposals properly made under Rule 14a-8 of the Securities Exchange Act of 1934, we are not required to include such nominations and other shareholder proposed business in the proxy statement solicited by the board of directors. To be considered for inclusion in the proxy statement solicited by the board of directors, shareholder proposals under Rule 14a-8 for consideration at the 2019 annual meeting of shareholders must be received by us at our principal executive offices by November 22, 2018. Such nominations or proposals must be submitted to Richard Buchband, Secretary, ManpowerGroup Inc., 100 Manpower Place, Milwaukee, Wisconsin 53212. To avoid disputes as to the date of receipt, it is suggested that any shareholder proposal be submitted by certified mail, return receipt requested.</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Section 16(a) Beneficial Ownership Reporting Compliance</w:t>
      </w:r>
    </w:p>
    <w:p>
      <w:pPr>
        <w:spacing w:after="0" w:line="245" w:lineRule="exact"/>
        <w:rPr>
          <w:sz w:val="20"/>
          <w:szCs w:val="20"/>
          <w:color w:val="auto"/>
        </w:rPr>
      </w:pPr>
    </w:p>
    <w:p>
      <w:pPr>
        <w:ind w:left="200" w:right="260"/>
        <w:spacing w:after="0" w:line="255" w:lineRule="auto"/>
        <w:rPr>
          <w:sz w:val="20"/>
          <w:szCs w:val="20"/>
          <w:color w:val="auto"/>
        </w:rPr>
      </w:pPr>
      <w:r>
        <w:rPr>
          <w:rFonts w:ascii="Arial" w:cs="Arial" w:eastAsia="Arial" w:hAnsi="Arial"/>
          <w:sz w:val="18"/>
          <w:szCs w:val="18"/>
          <w:color w:val="auto"/>
        </w:rPr>
        <w:t>Section 16(a) of the Securities Exchange Act of 1934 requires our directors and officers to file reports with the Securities and Exchange Commission disclosing their ownership, and changes in their ownership, of our common stock. Copies of these reports must also be furnished to us. Based solely on a review of these copies, we believe that during 2017 all filing requirements were met.</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Other Voting Information</w:t>
      </w:r>
    </w:p>
    <w:p>
      <w:pPr>
        <w:spacing w:after="0" w:line="245"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Shareholders may vote over the Internet, by telephone or by completing a traditional proxy card. Votes submitted electronically over the Internet or by telephone must be received by 11:59 p.m., Eastern Time, on May 3, 2018. To vote over the Internet or by telephone, please refer to the instructions on the accompanying proxy card.</w:t>
      </w:r>
    </w:p>
    <w:p>
      <w:pPr>
        <w:spacing w:after="0" w:line="97" w:lineRule="exact"/>
        <w:rPr>
          <w:sz w:val="20"/>
          <w:szCs w:val="20"/>
          <w:color w:val="auto"/>
        </w:rPr>
      </w:pPr>
    </w:p>
    <w:p>
      <w:pPr>
        <w:ind w:left="200" w:right="80"/>
        <w:spacing w:after="0" w:line="248" w:lineRule="auto"/>
        <w:rPr>
          <w:sz w:val="20"/>
          <w:szCs w:val="20"/>
          <w:color w:val="auto"/>
        </w:rPr>
      </w:pPr>
      <w:r>
        <w:rPr>
          <w:rFonts w:ascii="Arial" w:cs="Arial" w:eastAsia="Arial" w:hAnsi="Arial"/>
          <w:sz w:val="18"/>
          <w:szCs w:val="18"/>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41"/>
          <w:szCs w:val="41"/>
          <w:color w:val="5D89B4"/>
        </w:rPr>
        <w:t>Other Matters</w:t>
      </w:r>
    </w:p>
    <w:p>
      <w:pPr>
        <w:spacing w:after="0" w:line="245" w:lineRule="exact"/>
        <w:rPr>
          <w:sz w:val="20"/>
          <w:szCs w:val="20"/>
          <w:color w:val="auto"/>
        </w:rPr>
      </w:pPr>
    </w:p>
    <w:p>
      <w:pPr>
        <w:ind w:left="200" w:right="260"/>
        <w:spacing w:after="0" w:line="255" w:lineRule="auto"/>
        <w:rPr>
          <w:sz w:val="20"/>
          <w:szCs w:val="20"/>
          <w:color w:val="auto"/>
        </w:rPr>
      </w:pPr>
      <w:r>
        <w:rPr>
          <w:rFonts w:ascii="Arial" w:cs="Arial" w:eastAsia="Arial" w:hAnsi="Arial"/>
          <w:sz w:val="18"/>
          <w:szCs w:val="18"/>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w:t>
      </w:r>
    </w:p>
    <w:p>
      <w:pPr>
        <w:spacing w:after="0" w:line="97" w:lineRule="exact"/>
        <w:rPr>
          <w:sz w:val="20"/>
          <w:szCs w:val="20"/>
          <w:color w:val="auto"/>
        </w:rPr>
      </w:pPr>
    </w:p>
    <w:p>
      <w:pPr>
        <w:ind w:left="200" w:right="320"/>
        <w:spacing w:after="0" w:line="255" w:lineRule="auto"/>
        <w:rPr>
          <w:sz w:val="20"/>
          <w:szCs w:val="20"/>
          <w:color w:val="auto"/>
        </w:rPr>
      </w:pPr>
      <w:r>
        <w:rPr>
          <w:rFonts w:ascii="Arial" w:cs="Arial" w:eastAsia="Arial" w:hAnsi="Arial"/>
          <w:sz w:val="18"/>
          <w:szCs w:val="18"/>
          <w:color w:val="auto"/>
        </w:rPr>
        <w:t xml:space="preserve">Shareholders may obtain a copy of our annual report on Form 10-K at no cost by requesting a copy on our Internet web site at </w:t>
      </w:r>
      <w:r>
        <w:rPr>
          <w:rFonts w:ascii="Arial" w:cs="Arial" w:eastAsia="Arial" w:hAnsi="Arial"/>
          <w:sz w:val="18"/>
          <w:szCs w:val="18"/>
          <w:u w:val="single" w:color="auto"/>
          <w:color w:val="auto"/>
        </w:rPr>
        <w:t>http://investor.manpowergroup.com/investorkit.cfm</w:t>
      </w:r>
      <w:r>
        <w:rPr>
          <w:rFonts w:ascii="Arial" w:cs="Arial" w:eastAsia="Arial" w:hAnsi="Arial"/>
          <w:sz w:val="18"/>
          <w:szCs w:val="18"/>
          <w:color w:val="auto"/>
        </w:rPr>
        <w:t xml:space="preserve"> or by writing to Richard Buchband, Secretary, ManpowerGroup Inc., 100 Manpower Place, Milwaukee, Wisconsin 53212.</w:t>
      </w:r>
    </w:p>
    <w:p>
      <w:pPr>
        <w:spacing w:after="0" w:line="8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14"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Richard Buchband, Secretary</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83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220"/>
          </w:cols>
          <w:pgMar w:left="240" w:top="455" w:right="4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200" w:type="dxa"/>
        <w:tblCellMar>
          <w:top w:w="0" w:type="dxa"/>
          <w:left w:w="0" w:type="dxa"/>
          <w:bottom w:w="0" w:type="dxa"/>
          <w:right w:w="0" w:type="dxa"/>
        </w:tblCellMar>
      </w:tblPr>
      <w:tr>
        <w:trPr>
          <w:trHeight w:val="301"/>
        </w:trPr>
        <w:tc>
          <w:tcPr>
            <w:tcW w:w="20" w:type="dxa"/>
            <w:vAlign w:val="bottom"/>
          </w:tcPr>
          <w:p>
            <w:pPr>
              <w:spacing w:after="0"/>
              <w:rPr>
                <w:sz w:val="24"/>
                <w:szCs w:val="24"/>
                <w:color w:val="auto"/>
              </w:rPr>
            </w:pPr>
          </w:p>
        </w:tc>
        <w:tc>
          <w:tcPr>
            <w:tcW w:w="4960" w:type="dxa"/>
            <w:vAlign w:val="bottom"/>
            <w:shd w:val="clear" w:color="auto" w:fill="5D89B4"/>
          </w:tcPr>
          <w:p>
            <w:pPr>
              <w:spacing w:after="0"/>
              <w:rPr>
                <w:sz w:val="24"/>
                <w:szCs w:val="24"/>
                <w:color w:val="auto"/>
              </w:rPr>
            </w:pPr>
          </w:p>
        </w:tc>
        <w:tc>
          <w:tcPr>
            <w:tcW w:w="6060" w:type="dxa"/>
            <w:vAlign w:val="bottom"/>
            <w:shd w:val="clear" w:color="auto" w:fill="5D89B4"/>
          </w:tcPr>
          <w:p>
            <w:pPr>
              <w:ind w:left="4860"/>
              <w:spacing w:after="0"/>
              <w:rPr>
                <w:sz w:val="20"/>
                <w:szCs w:val="20"/>
                <w:color w:val="auto"/>
              </w:rPr>
            </w:pPr>
            <w:r>
              <w:rPr>
                <w:rFonts w:ascii="Arial" w:cs="Arial" w:eastAsia="Arial" w:hAnsi="Arial"/>
                <w:sz w:val="18"/>
                <w:szCs w:val="18"/>
                <w:color w:val="FFFFFF"/>
              </w:rPr>
              <w:t>Appendix A-1</w:t>
            </w:r>
          </w:p>
        </w:tc>
      </w:tr>
      <w:tr>
        <w:trPr>
          <w:trHeight w:val="77"/>
        </w:trPr>
        <w:tc>
          <w:tcPr>
            <w:tcW w:w="20" w:type="dxa"/>
            <w:vAlign w:val="bottom"/>
          </w:tcPr>
          <w:p>
            <w:pPr>
              <w:spacing w:after="0"/>
              <w:rPr>
                <w:sz w:val="6"/>
                <w:szCs w:val="6"/>
                <w:color w:val="auto"/>
              </w:rPr>
            </w:pPr>
          </w:p>
        </w:tc>
        <w:tc>
          <w:tcPr>
            <w:tcW w:w="4960" w:type="dxa"/>
            <w:vAlign w:val="bottom"/>
            <w:shd w:val="clear" w:color="auto" w:fill="5D89B4"/>
          </w:tcPr>
          <w:p>
            <w:pPr>
              <w:spacing w:after="0"/>
              <w:rPr>
                <w:sz w:val="6"/>
                <w:szCs w:val="6"/>
                <w:color w:val="auto"/>
              </w:rPr>
            </w:pPr>
          </w:p>
        </w:tc>
        <w:tc>
          <w:tcPr>
            <w:tcW w:w="6060" w:type="dxa"/>
            <w:vAlign w:val="bottom"/>
            <w:shd w:val="clear" w:color="auto" w:fill="5D89B4"/>
          </w:tcPr>
          <w:p>
            <w:pPr>
              <w:spacing w:after="0"/>
              <w:rPr>
                <w:sz w:val="6"/>
                <w:szCs w:val="6"/>
                <w:color w:val="auto"/>
              </w:rPr>
            </w:pPr>
          </w:p>
        </w:tc>
      </w:tr>
      <w:tr>
        <w:trPr>
          <w:trHeight w:val="37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060" w:type="dxa"/>
            <w:vAlign w:val="bottom"/>
          </w:tcPr>
          <w:p>
            <w:pPr>
              <w:jc w:val="right"/>
              <w:spacing w:after="0"/>
              <w:rPr>
                <w:sz w:val="20"/>
                <w:szCs w:val="20"/>
                <w:color w:val="auto"/>
              </w:rPr>
            </w:pPr>
            <w:r>
              <w:rPr>
                <w:rFonts w:ascii="Arial" w:cs="Arial" w:eastAsia="Arial" w:hAnsi="Arial"/>
                <w:sz w:val="18"/>
                <w:szCs w:val="18"/>
                <w:b w:val="1"/>
                <w:bCs w:val="1"/>
                <w:color w:val="auto"/>
              </w:rPr>
              <w:t>APPENDIX A-1</w:t>
            </w:r>
          </w:p>
        </w:tc>
      </w:tr>
      <w:tr>
        <w:trPr>
          <w:trHeight w:val="703"/>
        </w:trPr>
        <w:tc>
          <w:tcPr>
            <w:tcW w:w="4980" w:type="dxa"/>
            <w:vAlign w:val="bottom"/>
            <w:gridSpan w:val="2"/>
          </w:tcPr>
          <w:p>
            <w:pPr>
              <w:spacing w:after="0"/>
              <w:rPr>
                <w:sz w:val="20"/>
                <w:szCs w:val="20"/>
                <w:color w:val="auto"/>
              </w:rPr>
            </w:pPr>
            <w:r>
              <w:rPr>
                <w:rFonts w:ascii="Arial" w:cs="Arial" w:eastAsia="Arial" w:hAnsi="Arial"/>
                <w:sz w:val="41"/>
                <w:szCs w:val="41"/>
                <w:color w:val="5D89B4"/>
              </w:rPr>
              <w:t>Peer Group Companies</w:t>
            </w:r>
          </w:p>
        </w:tc>
        <w:tc>
          <w:tcPr>
            <w:tcW w:w="6060" w:type="dxa"/>
            <w:vAlign w:val="bottom"/>
          </w:tcPr>
          <w:p>
            <w:pPr>
              <w:spacing w:after="0"/>
              <w:rPr>
                <w:sz w:val="24"/>
                <w:szCs w:val="24"/>
                <w:color w:val="auto"/>
              </w:rPr>
            </w:pPr>
          </w:p>
        </w:tc>
      </w:tr>
      <w:tr>
        <w:trPr>
          <w:trHeight w:val="4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3M Co</w:t>
            </w:r>
          </w:p>
        </w:tc>
        <w:tc>
          <w:tcPr>
            <w:tcW w:w="6060" w:type="dxa"/>
            <w:vAlign w:val="bottom"/>
          </w:tcPr>
          <w:p>
            <w:pPr>
              <w:ind w:left="640"/>
              <w:spacing w:after="0"/>
              <w:rPr>
                <w:sz w:val="20"/>
                <w:szCs w:val="20"/>
                <w:color w:val="auto"/>
              </w:rPr>
            </w:pPr>
            <w:r>
              <w:rPr>
                <w:rFonts w:ascii="Arial" w:cs="Arial" w:eastAsia="Arial" w:hAnsi="Arial"/>
                <w:sz w:val="18"/>
                <w:szCs w:val="18"/>
                <w:color w:val="auto"/>
              </w:rPr>
              <w:t>Johnson Controls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Abbott Laboratories</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Kellogg Co</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AbbVie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Kimberly-Clark Corp</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Accenture plc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Kinder Morgan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Alcoa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Kohl’s Corporation</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Altria Group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LyondellBasell Industries NV</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Amgen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Macy’s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Apache Corp</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Marriott International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AutoNation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McDonald’s Corp</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Baker Hughes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Medtronic PLC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Bristol-Myers Squibb Co</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Micron Technology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C.H. Robinson Worldwide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Mondelez International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CarMax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Monsanto Co</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Carnival Corp</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National Oilwell Varco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CBS Corp</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Nike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CenturyLink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Nordstrom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Cigna Corp</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Northrop Grumman Corp</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Colgate-Palmolive Co.</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Nucor Corp</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ConAgra Foods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Omnicom Group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Conocophillips</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Oracle Corp</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Cummins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PACCAR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Danaher Corp</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Phillip Morris International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DaVita HealthCare Partners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PPG Industries,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Deere &amp; Co.</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QUALCOMM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Delphi Automotive PLC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Raytheon Co</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Dollar General Corp</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Schlumberger Ltd</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E.I. du Pont de Nemours and Co</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Seagate Technology Plc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Eaton Corporation Plc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Southwest Airlines Co</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Ecolab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Staples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Eli Lilly and Co</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Starbucks Corp</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EMC Corp.</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Tenet Healthcare Corp</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Emerson Electric Co</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Tesoro Corp</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Facebook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Textron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Fluor Corp</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Thermo Fisher Scientific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Freeport-McMoran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Time Warner Cable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Gap Inc. (The)</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Time Warner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General Dynamics Corp</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TJX Companies Inc. (The)</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General Mills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Twenty-First Century Fox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Genuine Parts Co</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Union Pacific Corp</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Gilead Sciences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United Continental Holdings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Goodyear Tire &amp; Rubber Co</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Visa Inc.</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Halliburton Co</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Western Digital Corp.</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HCA Holdings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Whirlpool Corp</w:t>
            </w:r>
          </w:p>
        </w:tc>
      </w:tr>
      <w:tr>
        <w:trPr>
          <w:trHeight w:val="203"/>
        </w:trPr>
        <w:tc>
          <w:tcPr>
            <w:tcW w:w="4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Honeywell Int’l Inc.</w:t>
            </w:r>
          </w:p>
        </w:tc>
        <w:tc>
          <w:tcPr>
            <w:tcW w:w="6060" w:type="dxa"/>
            <w:vAlign w:val="bottom"/>
          </w:tcPr>
          <w:p>
            <w:pPr>
              <w:ind w:left="640"/>
              <w:spacing w:after="0" w:line="202" w:lineRule="exact"/>
              <w:rPr>
                <w:sz w:val="20"/>
                <w:szCs w:val="20"/>
                <w:color w:val="auto"/>
              </w:rPr>
            </w:pPr>
            <w:r>
              <w:rPr>
                <w:rFonts w:ascii="Arial" w:cs="Arial" w:eastAsia="Arial" w:hAnsi="Arial"/>
                <w:sz w:val="18"/>
                <w:szCs w:val="18"/>
                <w:color w:val="auto"/>
              </w:rPr>
              <w:t>Whole Foods Market Inc. (subsequently acquired by Amazon)</w:t>
            </w: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International Paper Co</w:t>
            </w:r>
          </w:p>
        </w:tc>
        <w:tc>
          <w:tcPr>
            <w:tcW w:w="6060" w:type="dxa"/>
            <w:vAlign w:val="bottom"/>
          </w:tcPr>
          <w:p>
            <w:pPr>
              <w:spacing w:after="0"/>
              <w:rPr>
                <w:sz w:val="21"/>
                <w:szCs w:val="21"/>
                <w:color w:val="auto"/>
              </w:rPr>
            </w:pPr>
          </w:p>
        </w:tc>
      </w:tr>
      <w:tr>
        <w:trPr>
          <w:trHeight w:val="53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060" w:type="dxa"/>
            <w:vAlign w:val="bottom"/>
          </w:tcPr>
          <w:p>
            <w:pPr>
              <w:jc w:val="right"/>
              <w:spacing w:after="0"/>
              <w:rPr>
                <w:sz w:val="20"/>
                <w:szCs w:val="20"/>
                <w:color w:val="auto"/>
              </w:rPr>
            </w:pPr>
            <w:r>
              <w:rPr>
                <w:rFonts w:ascii="Arial" w:cs="Arial" w:eastAsia="Arial" w:hAnsi="Arial"/>
                <w:sz w:val="16"/>
                <w:szCs w:val="16"/>
                <w:b w:val="1"/>
                <w:bCs w:val="1"/>
                <w:color w:val="5D89B4"/>
              </w:rPr>
              <w:t xml:space="preserve">A-1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tc>
      </w:tr>
    </w:tbl>
    <w:p>
      <w:pPr>
        <w:sectPr>
          <w:pgSz w:w="11900" w:h="16838" w:orient="portrait"/>
          <w:cols w:equalWidth="0" w:num="1">
            <w:col w:w="11240"/>
          </w:cols>
          <w:pgMar w:left="240" w:top="455" w:right="41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208280</wp:posOffset>
            </wp:positionV>
            <wp:extent cx="6363335" cy="22809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6333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00" w:type="dxa"/>
        <w:tblCellMar>
          <w:top w:w="0" w:type="dxa"/>
          <w:left w:w="0" w:type="dxa"/>
          <w:bottom w:w="0" w:type="dxa"/>
          <w:right w:w="0" w:type="dxa"/>
        </w:tblCellMar>
      </w:tblPr>
      <w:tr>
        <w:trPr>
          <w:trHeight w:val="287"/>
        </w:trPr>
        <w:tc>
          <w:tcPr>
            <w:tcW w:w="4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520" w:type="dxa"/>
            <w:vAlign w:val="bottom"/>
            <w:gridSpan w:val="3"/>
          </w:tcPr>
          <w:p>
            <w:pPr>
              <w:ind w:left="360"/>
              <w:spacing w:after="0"/>
              <w:rPr>
                <w:sz w:val="20"/>
                <w:szCs w:val="20"/>
                <w:color w:val="auto"/>
              </w:rPr>
            </w:pPr>
            <w:r>
              <w:rPr>
                <w:rFonts w:ascii="Times New Roman" w:cs="Times New Roman" w:eastAsia="Times New Roman" w:hAnsi="Times New Roman"/>
                <w:sz w:val="22"/>
                <w:szCs w:val="22"/>
                <w:b w:val="1"/>
                <w:bCs w:val="1"/>
                <w:color w:val="auto"/>
              </w:rPr>
              <w:t>Electronic Voting Instructions</w:t>
            </w:r>
          </w:p>
        </w:tc>
        <w:tc>
          <w:tcPr>
            <w:tcW w:w="0" w:type="dxa"/>
            <w:vAlign w:val="bottom"/>
          </w:tcPr>
          <w:p>
            <w:pPr>
              <w:spacing w:after="0"/>
              <w:rPr>
                <w:sz w:val="1"/>
                <w:szCs w:val="1"/>
                <w:color w:val="auto"/>
              </w:rPr>
            </w:pPr>
          </w:p>
        </w:tc>
      </w:tr>
      <w:tr>
        <w:trPr>
          <w:trHeight w:val="299"/>
        </w:trPr>
        <w:tc>
          <w:tcPr>
            <w:tcW w:w="4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5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Available 24 hours a day, 7 days a week!</w:t>
            </w:r>
          </w:p>
        </w:tc>
        <w:tc>
          <w:tcPr>
            <w:tcW w:w="0" w:type="dxa"/>
            <w:vAlign w:val="bottom"/>
          </w:tcPr>
          <w:p>
            <w:pPr>
              <w:spacing w:after="0"/>
              <w:rPr>
                <w:sz w:val="1"/>
                <w:szCs w:val="1"/>
                <w:color w:val="auto"/>
              </w:rPr>
            </w:pPr>
          </w:p>
        </w:tc>
      </w:tr>
      <w:tr>
        <w:trPr>
          <w:trHeight w:val="220"/>
        </w:trPr>
        <w:tc>
          <w:tcPr>
            <w:tcW w:w="4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52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Instead of mailing your proxy, you may choose one of the voting methods outlined below</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 vote your proxy.</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52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VALIDATION DETAILS ARE LOCATED BELOW IN THE TITLE BAR.</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5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Proxies submitted by the Internet or telephone must be received by 11:59 p.m.,</w:t>
            </w: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5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Eastern Time, on May 3, 2018.</w:t>
            </w:r>
          </w:p>
        </w:tc>
        <w:tc>
          <w:tcPr>
            <w:tcW w:w="0" w:type="dxa"/>
            <w:vAlign w:val="bottom"/>
          </w:tcPr>
          <w:p>
            <w:pPr>
              <w:spacing w:after="0"/>
              <w:rPr>
                <w:sz w:val="1"/>
                <w:szCs w:val="1"/>
                <w:color w:val="auto"/>
              </w:rPr>
            </w:pPr>
          </w:p>
        </w:tc>
      </w:tr>
      <w:tr>
        <w:trPr>
          <w:trHeight w:val="334"/>
        </w:trPr>
        <w:tc>
          <w:tcPr>
            <w:tcW w:w="4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Vote by Internet</w:t>
            </w:r>
          </w:p>
        </w:tc>
        <w:tc>
          <w:tcPr>
            <w:tcW w:w="0" w:type="dxa"/>
            <w:vAlign w:val="bottom"/>
          </w:tcPr>
          <w:p>
            <w:pPr>
              <w:spacing w:after="0"/>
              <w:rPr>
                <w:sz w:val="1"/>
                <w:szCs w:val="1"/>
                <w:color w:val="auto"/>
              </w:rPr>
            </w:pPr>
          </w:p>
        </w:tc>
      </w:tr>
      <w:tr>
        <w:trPr>
          <w:trHeight w:val="220"/>
        </w:trPr>
        <w:tc>
          <w:tcPr>
            <w:tcW w:w="4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3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Go to </w:t>
            </w:r>
            <w:r>
              <w:rPr>
                <w:rFonts w:ascii="Times New Roman" w:cs="Times New Roman" w:eastAsia="Times New Roman" w:hAnsi="Times New Roman"/>
                <w:sz w:val="14"/>
                <w:szCs w:val="14"/>
                <w:b w:val="1"/>
                <w:bCs w:val="1"/>
                <w:color w:val="auto"/>
              </w:rPr>
              <w:t>www.envisionreports.com/MAN</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3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Or scan the QR code with your smartphone</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3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Follow the steps outlined on the secure website</w:t>
            </w:r>
          </w:p>
        </w:tc>
        <w:tc>
          <w:tcPr>
            <w:tcW w:w="0" w:type="dxa"/>
            <w:vAlign w:val="bottom"/>
          </w:tcPr>
          <w:p>
            <w:pPr>
              <w:spacing w:after="0"/>
              <w:rPr>
                <w:sz w:val="1"/>
                <w:szCs w:val="1"/>
                <w:color w:val="auto"/>
              </w:rPr>
            </w:pPr>
          </w:p>
        </w:tc>
      </w:tr>
      <w:tr>
        <w:trPr>
          <w:trHeight w:val="253"/>
        </w:trPr>
        <w:tc>
          <w:tcPr>
            <w:tcW w:w="4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Vote by telephone</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Call toll free 1-800-652-VOTE (8683) within the USA, US territories &amp; Canada on a</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touch tone telephone</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Using a </w:t>
            </w:r>
            <w:r>
              <w:rPr>
                <w:rFonts w:ascii="Times New Roman" w:cs="Times New Roman" w:eastAsia="Times New Roman" w:hAnsi="Times New Roman"/>
                <w:sz w:val="14"/>
                <w:szCs w:val="14"/>
                <w:b w:val="1"/>
                <w:bCs w:val="1"/>
                <w:u w:val="single" w:color="auto"/>
                <w:color w:val="auto"/>
              </w:rPr>
              <w:t>black ink</w:t>
            </w:r>
            <w:r>
              <w:rPr>
                <w:rFonts w:ascii="Times New Roman" w:cs="Times New Roman" w:eastAsia="Times New Roman" w:hAnsi="Times New Roman"/>
                <w:sz w:val="14"/>
                <w:szCs w:val="14"/>
                <w:color w:val="auto"/>
              </w:rPr>
              <w:t xml:space="preserve"> pen, mark your votes with an </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4"/>
                <w:szCs w:val="14"/>
                <w:color w:val="auto"/>
              </w:rPr>
              <w:t xml:space="preserve"> as shown in</w:t>
            </w:r>
          </w:p>
        </w:tc>
        <w:tc>
          <w:tcPr>
            <w:tcW w:w="1440" w:type="dxa"/>
            <w:vAlign w:val="bottom"/>
            <w:vMerge w:val="restart"/>
          </w:tcPr>
          <w:p>
            <w:pPr>
              <w:ind w:left="680"/>
              <w:spacing w:after="0" w:line="347" w:lineRule="exact"/>
              <w:rPr>
                <w:sz w:val="20"/>
                <w:szCs w:val="20"/>
                <w:color w:val="auto"/>
              </w:rPr>
            </w:pPr>
            <w:r>
              <w:rPr>
                <w:rFonts w:ascii="MS PGothic" w:cs="MS PGothic" w:eastAsia="MS PGothic" w:hAnsi="MS PGothic"/>
                <w:sz w:val="45"/>
                <w:szCs w:val="45"/>
                <w:color w:val="auto"/>
              </w:rPr>
              <w:t>☒</w:t>
            </w:r>
          </w:p>
        </w:tc>
        <w:tc>
          <w:tcPr>
            <w:tcW w:w="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Follow the instructions provided by the recorded message</w:t>
            </w:r>
          </w:p>
        </w:tc>
        <w:tc>
          <w:tcPr>
            <w:tcW w:w="0" w:type="dxa"/>
            <w:vAlign w:val="bottom"/>
          </w:tcPr>
          <w:p>
            <w:pPr>
              <w:spacing w:after="0"/>
              <w:rPr>
                <w:sz w:val="1"/>
                <w:szCs w:val="1"/>
                <w:color w:val="auto"/>
              </w:rPr>
            </w:pPr>
          </w:p>
        </w:tc>
      </w:tr>
      <w:tr>
        <w:trPr>
          <w:trHeight w:val="64"/>
        </w:trPr>
        <w:tc>
          <w:tcPr>
            <w:tcW w:w="43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300" w:type="dxa"/>
            <w:vAlign w:val="bottom"/>
            <w:vMerge w:val="continu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-1195705</wp:posOffset>
            </wp:positionV>
            <wp:extent cx="531495" cy="5403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1495" cy="54038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this example. 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150495</wp:posOffset>
            </wp:positionV>
            <wp:extent cx="6346190" cy="3689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4619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 w:hanging="151"/>
        <w:spacing w:after="0"/>
        <w:tabs>
          <w:tab w:leader="none" w:pos="3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IF YOU HAVE NOT VOTED VIA THE INTERNET </w:t>
      </w:r>
      <w:r>
        <w:rPr>
          <w:rFonts w:ascii="Times New Roman" w:cs="Times New Roman" w:eastAsia="Times New Roman" w:hAnsi="Times New Roman"/>
          <w:sz w:val="14"/>
          <w:szCs w:val="14"/>
          <w:b w:val="1"/>
          <w:bCs w:val="1"/>
          <w:u w:val="single" w:color="auto"/>
          <w:color w:val="auto"/>
        </w:rPr>
        <w:t>OR</w:t>
      </w:r>
      <w:r>
        <w:rPr>
          <w:rFonts w:ascii="Times New Roman" w:cs="Times New Roman" w:eastAsia="Times New Roman" w:hAnsi="Times New Roman"/>
          <w:sz w:val="14"/>
          <w:szCs w:val="14"/>
          <w:b w:val="1"/>
          <w:bCs w:val="1"/>
          <w:color w:val="auto"/>
        </w:rPr>
        <w:t xml:space="preserve"> TELEPHONE, FOLD ALONG THE PERFORATION, DETACH AND RETURN THE BOTTOM PORTION IN THE</w:t>
      </w:r>
    </w:p>
    <w:p>
      <w:pPr>
        <w:spacing w:after="0" w:line="5" w:lineRule="exact"/>
        <w:rPr>
          <w:rFonts w:ascii="Times New Roman" w:cs="Times New Roman" w:eastAsia="Times New Roman" w:hAnsi="Times New Roman"/>
          <w:sz w:val="14"/>
          <w:szCs w:val="14"/>
          <w:color w:val="auto"/>
        </w:rPr>
      </w:pPr>
    </w:p>
    <w:p>
      <w:pPr>
        <w:ind w:left="4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ENCLOSED ENVELOPE. </w:t>
      </w:r>
      <w:r>
        <w:rPr>
          <w:rFonts w:ascii="Times New Roman" w:cs="Times New Roman" w:eastAsia="Times New Roman" w:hAnsi="Times New Roman"/>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81915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81915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81915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81915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81915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81915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81915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81915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81915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81915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81915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81915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81915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81915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81915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81915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81915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81915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81915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81915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81915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81915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81915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81915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81915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81915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81915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81915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81915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81915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81915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81915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81915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81915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81915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81915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81915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81915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81915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81915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81915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81915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81915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81915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81915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81915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81915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81915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81915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81915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81915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81915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81915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81915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81915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81915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81915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81915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81915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81915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81915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81915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81915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81915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81915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81915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81915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81915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81915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81915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81915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81915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81915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81915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81915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81915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81915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81915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81915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81915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81915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81915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81915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81915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81915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81915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81915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81915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81915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81915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81915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81915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81915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81915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81915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81915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81915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81915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81915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81915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81915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81915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81915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81915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81915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81915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81915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81915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81915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81915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81915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81915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81915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81915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81915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81915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81915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81915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81915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81915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81915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81915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81915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81915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81915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81915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81915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81915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81915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81915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81915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81915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81915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81915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81915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81915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81915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81915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81915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81915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81915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81915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81915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81915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81915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81915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81915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81915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81915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81915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81915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81915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81915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81915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81915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81915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81915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81915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81915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81915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81915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81915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81915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81915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81915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81915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81915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81915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81915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81915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81915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81915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81915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81915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81915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81915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81915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81915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81915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81915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81915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81915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81915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81915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81915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81915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81915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81915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81915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81915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81915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81915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81915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81915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81915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81915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81915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81915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81915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81915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81915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81915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81915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81915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81915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81915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81915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81915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81915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81915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81915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81915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81915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81915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81915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81915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81915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81915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81915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81915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81915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81915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81915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81915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81915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81915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81915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81915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81915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81915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81915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81915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81915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81915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81915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81915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81915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81915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81915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81915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81915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81915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81915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81915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81915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81915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81915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81915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81915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81915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81915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81915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81915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81915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81915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81915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81915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81915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81915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81915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81915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81915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81915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81915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81915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81915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81915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81915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81915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81915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81915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81915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81915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81915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81915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81915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81915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81915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81915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81915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81915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81915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81915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81915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81915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81915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81915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81915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81915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81915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81915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81915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81915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81915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81915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81915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81915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81915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81915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81915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81915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81915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81915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81915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81915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81915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81915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81915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81915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81915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81915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81915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81915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81915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81915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81915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81915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81915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81915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81915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81915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81915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81915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81915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81915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81915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81915</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81915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81915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81915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81915</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81915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81915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81915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81915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81915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81915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81915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81915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81915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81915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81915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81915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81915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81915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81915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81915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81915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81915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81915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81915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81915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81915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81915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81915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81915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81915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81915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81915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81915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81915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81915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81915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81915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81915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81915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81915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81915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81915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81915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81915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81915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81915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81915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81915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81915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81915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81915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81915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81915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81915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81915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81915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81915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81915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81915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81915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81915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81915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81915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81915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81915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81915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81915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81915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81915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81915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81915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81915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81915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81915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81915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81915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81915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81915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81915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81915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81915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81915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81915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81915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81915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81915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81915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81915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81915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81915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81915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81915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81915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81915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81915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56"/>
        </w:trPr>
        <w:tc>
          <w:tcPr>
            <w:tcW w:w="220" w:type="dxa"/>
            <w:vAlign w:val="bottom"/>
          </w:tcPr>
          <w:p>
            <w:pPr>
              <w:spacing w:after="0"/>
              <w:rPr>
                <w:sz w:val="4"/>
                <w:szCs w:val="4"/>
                <w:color w:val="auto"/>
              </w:rPr>
            </w:pPr>
          </w:p>
        </w:tc>
        <w:tc>
          <w:tcPr>
            <w:tcW w:w="10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Proposals —  THIS PROXY, WHEN PROPERLY EXECUTED, WILL BE VOTED IN THE MATTER DIRECTED HEREIN BY THE UNDERSIGNED SHAREHOLDER.</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45"/>
                <w:szCs w:val="45"/>
                <w:b w:val="1"/>
                <w:bCs w:val="1"/>
                <w:color w:val="auto"/>
              </w:rPr>
              <w:t>+</w:t>
            </w:r>
          </w:p>
        </w:tc>
        <w:tc>
          <w:tcPr>
            <w:tcW w:w="0" w:type="dxa"/>
            <w:vAlign w:val="bottom"/>
          </w:tcPr>
          <w:p>
            <w:pPr>
              <w:spacing w:after="0"/>
              <w:rPr>
                <w:sz w:val="1"/>
                <w:szCs w:val="1"/>
                <w:color w:val="auto"/>
              </w:rPr>
            </w:pPr>
          </w:p>
        </w:tc>
      </w:tr>
      <w:tr>
        <w:trPr>
          <w:trHeight w:val="142"/>
        </w:trPr>
        <w:tc>
          <w:tcPr>
            <w:tcW w:w="220" w:type="dxa"/>
            <w:vAlign w:val="bottom"/>
            <w:shd w:val="clear" w:color="auto" w:fill="000000"/>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FFFFFF"/>
              </w:rPr>
              <w:t>A</w:t>
            </w:r>
          </w:p>
        </w:tc>
        <w:tc>
          <w:tcPr>
            <w:tcW w:w="10840" w:type="dxa"/>
            <w:vAlign w:val="bottom"/>
            <w:gridSpan w:val="3"/>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000000"/>
          </w:tcPr>
          <w:p>
            <w:pPr>
              <w:spacing w:after="0"/>
              <w:rPr>
                <w:sz w:val="11"/>
                <w:szCs w:val="11"/>
                <w:color w:val="auto"/>
              </w:rPr>
            </w:pPr>
          </w:p>
        </w:tc>
        <w:tc>
          <w:tcPr>
            <w:tcW w:w="10840" w:type="dxa"/>
            <w:vAlign w:val="bottom"/>
            <w:gridSpan w:val="3"/>
          </w:tcPr>
          <w:p>
            <w:pPr>
              <w:ind w:left="1000"/>
              <w:spacing w:after="0" w:line="109" w:lineRule="exact"/>
              <w:rPr>
                <w:sz w:val="20"/>
                <w:szCs w:val="20"/>
                <w:color w:val="auto"/>
              </w:rPr>
            </w:pPr>
            <w:r>
              <w:rPr>
                <w:rFonts w:ascii="Times New Roman" w:cs="Times New Roman" w:eastAsia="Times New Roman" w:hAnsi="Times New Roman"/>
                <w:sz w:val="12"/>
                <w:szCs w:val="12"/>
                <w:b w:val="1"/>
                <w:bCs w:val="1"/>
                <w:color w:val="auto"/>
              </w:rPr>
              <w:t>IF NO DIRECTION IS MADE, THIS PROXY WILL BE VOTED FOR PROPOSALS 1, 2 AND 3. PROPOSALS 1, 2 AND 3 ARE BEING PROPOSED BY</w:t>
            </w: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51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MANPOWERGROUP INC.</w:t>
            </w:r>
          </w:p>
        </w:tc>
        <w:tc>
          <w:tcPr>
            <w:tcW w:w="300" w:type="dxa"/>
            <w:vAlign w:val="bottom"/>
            <w:tcBorders>
              <w:top w:val="single" w:sz="8" w:color="auto"/>
            </w:tcBorders>
          </w:tcPr>
          <w:p>
            <w:pPr>
              <w:spacing w:after="0"/>
              <w:rPr>
                <w:sz w:val="21"/>
                <w:szCs w:val="21"/>
                <w:color w:val="auto"/>
              </w:rPr>
            </w:pPr>
          </w:p>
        </w:tc>
        <w:tc>
          <w:tcPr>
            <w:tcW w:w="544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ectPr>
          <w:pgSz w:w="11900" w:h="16838" w:orient="portrait"/>
          <w:cols w:equalWidth="0" w:num="1">
            <w:col w:w="11420"/>
          </w:cols>
          <w:pgMar w:left="240" w:top="455" w:right="23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1. Election of Directors:</w:t>
      </w:r>
    </w:p>
    <w:p>
      <w:pPr>
        <w:spacing w:after="0" w:line="53" w:lineRule="exact"/>
        <w:rPr>
          <w:sz w:val="20"/>
          <w:szCs w:val="20"/>
          <w:color w:val="auto"/>
        </w:rPr>
      </w:pPr>
    </w:p>
    <w:p>
      <w:pPr>
        <w:ind w:left="160"/>
        <w:spacing w:after="0"/>
        <w:tabs>
          <w:tab w:leader="none" w:pos="1960" w:val="left"/>
          <w:tab w:leader="none" w:pos="2320" w:val="left"/>
        </w:tabs>
        <w:rPr>
          <w:sz w:val="20"/>
          <w:szCs w:val="20"/>
          <w:color w:val="auto"/>
        </w:rPr>
      </w:pPr>
      <w:r>
        <w:rPr>
          <w:rFonts w:ascii="Times New Roman" w:cs="Times New Roman" w:eastAsia="Times New Roman" w:hAnsi="Times New Roman"/>
          <w:sz w:val="14"/>
          <w:szCs w:val="14"/>
          <w:color w:val="auto"/>
        </w:rPr>
        <w:t>Nominees:</w:t>
      </w:r>
      <w:r>
        <w:rPr>
          <w:sz w:val="20"/>
          <w:szCs w:val="20"/>
          <w:color w:val="auto"/>
        </w:rPr>
        <w:tab/>
      </w:r>
      <w:r>
        <w:rPr>
          <w:rFonts w:ascii="Times New Roman" w:cs="Times New Roman" w:eastAsia="Times New Roman" w:hAnsi="Times New Roman"/>
          <w:sz w:val="14"/>
          <w:szCs w:val="14"/>
          <w:b w:val="1"/>
          <w:bCs w:val="1"/>
          <w:color w:val="auto"/>
        </w:rPr>
        <w:t>For</w:t>
        <w:tab/>
        <w:t>Against Abstain</w:t>
      </w:r>
    </w:p>
    <w:p>
      <w:pPr>
        <w:spacing w:after="0" w:line="26" w:lineRule="exact"/>
        <w:rPr>
          <w:sz w:val="20"/>
          <w:szCs w:val="20"/>
          <w:color w:val="auto"/>
        </w:rPr>
      </w:pPr>
    </w:p>
    <w:tbl>
      <w:tblPr>
        <w:tblLayout w:type="fixed"/>
        <w:tblInd w:w="160" w:type="dxa"/>
        <w:tblCellMar>
          <w:top w:w="0" w:type="dxa"/>
          <w:left w:w="0" w:type="dxa"/>
          <w:bottom w:w="0" w:type="dxa"/>
          <w:right w:w="0" w:type="dxa"/>
        </w:tblCellMar>
      </w:tblPr>
      <w:tr>
        <w:trPr>
          <w:trHeight w:val="270"/>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1.A - Gina R. Boswell</w:t>
            </w:r>
          </w:p>
        </w:tc>
        <w:tc>
          <w:tcPr>
            <w:tcW w:w="108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 ☐</w:t>
            </w:r>
          </w:p>
        </w:tc>
        <w:tc>
          <w:tcPr>
            <w:tcW w:w="380" w:type="dxa"/>
            <w:vAlign w:val="bottom"/>
          </w:tcPr>
          <w:p>
            <w:pPr>
              <w:ind w:left="14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44"/>
        </w:trPr>
        <w:tc>
          <w:tcPr>
            <w:tcW w:w="1600" w:type="dxa"/>
            <w:vAlign w:val="bottom"/>
            <w:vMerge w:val="continue"/>
          </w:tcPr>
          <w:p>
            <w:pPr>
              <w:spacing w:after="0"/>
              <w:rPr>
                <w:sz w:val="3"/>
                <w:szCs w:val="3"/>
                <w:color w:val="auto"/>
              </w:rPr>
            </w:pPr>
          </w:p>
        </w:tc>
        <w:tc>
          <w:tcPr>
            <w:tcW w:w="1080" w:type="dxa"/>
            <w:vAlign w:val="bottom"/>
            <w:vMerge w:val="restart"/>
          </w:tcPr>
          <w:p>
            <w:pPr>
              <w:ind w:left="220"/>
              <w:spacing w:after="0" w:line="271" w:lineRule="exact"/>
              <w:rPr>
                <w:sz w:val="20"/>
                <w:szCs w:val="20"/>
                <w:color w:val="auto"/>
              </w:rPr>
            </w:pPr>
            <w:r>
              <w:rPr>
                <w:rFonts w:ascii="MS PGothic" w:cs="MS PGothic" w:eastAsia="MS PGothic" w:hAnsi="MS PGothic"/>
                <w:sz w:val="27"/>
                <w:szCs w:val="27"/>
                <w:color w:val="auto"/>
              </w:rPr>
              <w:t>☐ ☐</w:t>
            </w:r>
          </w:p>
        </w:tc>
        <w:tc>
          <w:tcPr>
            <w:tcW w:w="380" w:type="dxa"/>
            <w:vAlign w:val="bottom"/>
            <w:vMerge w:val="restart"/>
          </w:tcPr>
          <w:p>
            <w:pPr>
              <w:ind w:left="14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388"/>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1.D - John F. Ferraro</w:t>
            </w:r>
          </w:p>
        </w:tc>
        <w:tc>
          <w:tcPr>
            <w:tcW w:w="108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600" w:type="dxa"/>
            <w:vAlign w:val="bottom"/>
            <w:vMerge w:val="continue"/>
          </w:tcPr>
          <w:p>
            <w:pPr>
              <w:spacing w:after="0"/>
              <w:rPr>
                <w:sz w:val="3"/>
                <w:szCs w:val="3"/>
                <w:color w:val="auto"/>
              </w:rPr>
            </w:pPr>
          </w:p>
        </w:tc>
        <w:tc>
          <w:tcPr>
            <w:tcW w:w="1080" w:type="dxa"/>
            <w:vAlign w:val="bottom"/>
            <w:vMerge w:val="restart"/>
          </w:tcPr>
          <w:p>
            <w:pPr>
              <w:ind w:left="220"/>
              <w:spacing w:after="0" w:line="271" w:lineRule="exact"/>
              <w:rPr>
                <w:sz w:val="20"/>
                <w:szCs w:val="20"/>
                <w:color w:val="auto"/>
              </w:rPr>
            </w:pPr>
            <w:r>
              <w:rPr>
                <w:rFonts w:ascii="MS PGothic" w:cs="MS PGothic" w:eastAsia="MS PGothic" w:hAnsi="MS PGothic"/>
                <w:sz w:val="27"/>
                <w:szCs w:val="27"/>
                <w:color w:val="auto"/>
              </w:rPr>
              <w:t>☐ ☐</w:t>
            </w:r>
          </w:p>
        </w:tc>
        <w:tc>
          <w:tcPr>
            <w:tcW w:w="380" w:type="dxa"/>
            <w:vAlign w:val="bottom"/>
            <w:vMerge w:val="restart"/>
          </w:tcPr>
          <w:p>
            <w:pPr>
              <w:ind w:left="14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388"/>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1.G - Ulice Payne, Jr.</w:t>
            </w:r>
          </w:p>
        </w:tc>
        <w:tc>
          <w:tcPr>
            <w:tcW w:w="108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600" w:type="dxa"/>
            <w:vAlign w:val="bottom"/>
            <w:vMerge w:val="continue"/>
          </w:tcPr>
          <w:p>
            <w:pPr>
              <w:spacing w:after="0"/>
              <w:rPr>
                <w:sz w:val="3"/>
                <w:szCs w:val="3"/>
                <w:color w:val="auto"/>
              </w:rPr>
            </w:pPr>
          </w:p>
        </w:tc>
        <w:tc>
          <w:tcPr>
            <w:tcW w:w="1080" w:type="dxa"/>
            <w:vAlign w:val="bottom"/>
            <w:vMerge w:val="restart"/>
          </w:tcPr>
          <w:p>
            <w:pPr>
              <w:ind w:left="220"/>
              <w:spacing w:after="0" w:line="271" w:lineRule="exact"/>
              <w:rPr>
                <w:sz w:val="20"/>
                <w:szCs w:val="20"/>
                <w:color w:val="auto"/>
              </w:rPr>
            </w:pPr>
            <w:r>
              <w:rPr>
                <w:rFonts w:ascii="MS PGothic" w:cs="MS PGothic" w:eastAsia="MS PGothic" w:hAnsi="MS PGothic"/>
                <w:sz w:val="27"/>
                <w:szCs w:val="27"/>
                <w:color w:val="auto"/>
              </w:rPr>
              <w:t>☐ ☐</w:t>
            </w:r>
          </w:p>
        </w:tc>
        <w:tc>
          <w:tcPr>
            <w:tcW w:w="380" w:type="dxa"/>
            <w:vAlign w:val="bottom"/>
            <w:vMerge w:val="restart"/>
          </w:tcPr>
          <w:p>
            <w:pPr>
              <w:ind w:left="14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388"/>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1.J - Elizabeth P. Sartain</w:t>
            </w:r>
          </w:p>
        </w:tc>
        <w:tc>
          <w:tcPr>
            <w:tcW w:w="108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60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ind w:left="160" w:right="580" w:hanging="152"/>
        <w:spacing w:after="0" w:line="262" w:lineRule="auto"/>
        <w:tabs>
          <w:tab w:leader="none" w:pos="153"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Deloitte &amp; Touche LLP as our independent auditors for 2018.</w:t>
      </w:r>
    </w:p>
    <w:p>
      <w:pPr>
        <w:spacing w:after="0" w:line="189" w:lineRule="exact"/>
        <w:rPr>
          <w:sz w:val="20"/>
          <w:szCs w:val="20"/>
          <w:color w:val="auto"/>
        </w:rPr>
      </w:pPr>
    </w:p>
    <w:p>
      <w:pPr>
        <w:ind w:left="160" w:right="40" w:hanging="152"/>
        <w:spacing w:after="0" w:line="241" w:lineRule="auto"/>
        <w:tabs>
          <w:tab w:leader="none" w:pos="153"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their discretion, the Proxies are authorized to vote upon such other business as may properly come before the meeting.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19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For  Against  Abstain</w:t>
            </w:r>
          </w:p>
        </w:tc>
        <w:tc>
          <w:tcPr>
            <w:tcW w:w="136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For  Against  Abstain</w:t>
            </w:r>
          </w:p>
        </w:tc>
        <w:tc>
          <w:tcPr>
            <w:tcW w:w="0" w:type="dxa"/>
            <w:vAlign w:val="bottom"/>
          </w:tcPr>
          <w:p>
            <w:pPr>
              <w:spacing w:after="0"/>
              <w:rPr>
                <w:sz w:val="1"/>
                <w:szCs w:val="1"/>
                <w:color w:val="auto"/>
              </w:rPr>
            </w:pPr>
          </w:p>
        </w:tc>
      </w:tr>
      <w:tr>
        <w:trPr>
          <w:trHeight w:val="431"/>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1.B - Cari M. Dominguez</w:t>
            </w:r>
          </w:p>
        </w:tc>
        <w:tc>
          <w:tcPr>
            <w:tcW w:w="1280" w:type="dxa"/>
            <w:vAlign w:val="bottom"/>
          </w:tcPr>
          <w:p>
            <w:pPr>
              <w:ind w:left="400"/>
              <w:spacing w:after="0" w:line="271" w:lineRule="exact"/>
              <w:rPr>
                <w:sz w:val="20"/>
                <w:szCs w:val="20"/>
                <w:color w:val="auto"/>
              </w:rPr>
            </w:pPr>
            <w:r>
              <w:rPr>
                <w:rFonts w:ascii="MS PGothic" w:cs="MS PGothic" w:eastAsia="MS PGothic" w:hAnsi="MS PGothic"/>
                <w:sz w:val="27"/>
                <w:szCs w:val="27"/>
                <w:color w:val="auto"/>
              </w:rPr>
              <w:t>☐ ☐</w:t>
            </w:r>
          </w:p>
        </w:tc>
        <w:tc>
          <w:tcPr>
            <w:tcW w:w="620" w:type="dxa"/>
            <w:vAlign w:val="bottom"/>
          </w:tcPr>
          <w:p>
            <w:pPr>
              <w:ind w:left="160"/>
              <w:spacing w:after="0" w:line="271" w:lineRule="exact"/>
              <w:rPr>
                <w:sz w:val="20"/>
                <w:szCs w:val="20"/>
                <w:color w:val="auto"/>
              </w:rPr>
            </w:pPr>
            <w:r>
              <w:rPr>
                <w:rFonts w:ascii="MS PGothic" w:cs="MS PGothic" w:eastAsia="MS PGothic" w:hAnsi="MS PGothic"/>
                <w:sz w:val="27"/>
                <w:szCs w:val="27"/>
                <w:color w:val="auto"/>
              </w:rPr>
              <w:t>☐</w:t>
            </w:r>
          </w:p>
        </w:tc>
        <w:tc>
          <w:tcPr>
            <w:tcW w:w="2400" w:type="dxa"/>
            <w:vAlign w:val="bottom"/>
            <w:gridSpan w:val="2"/>
          </w:tcPr>
          <w:p>
            <w:pPr>
              <w:ind w:left="80"/>
              <w:spacing w:after="0" w:line="311" w:lineRule="exact"/>
              <w:rPr>
                <w:sz w:val="20"/>
                <w:szCs w:val="20"/>
                <w:color w:val="auto"/>
              </w:rPr>
            </w:pPr>
            <w:r>
              <w:rPr>
                <w:rFonts w:ascii="Times New Roman" w:cs="Times New Roman" w:eastAsia="Times New Roman" w:hAnsi="Times New Roman"/>
                <w:sz w:val="14"/>
                <w:szCs w:val="14"/>
                <w:color w:val="auto"/>
              </w:rPr>
              <w:t xml:space="preserve">1.C - William Downe  </w:t>
            </w:r>
            <w:r>
              <w:rPr>
                <w:rFonts w:ascii="MS PGothic" w:cs="MS PGothic" w:eastAsia="MS PGothic" w:hAnsi="MS PGothic"/>
                <w:sz w:val="27"/>
                <w:szCs w:val="27"/>
                <w:color w:val="auto"/>
              </w:rPr>
              <w:t>☐ ☐</w:t>
            </w:r>
          </w:p>
        </w:tc>
        <w:tc>
          <w:tcPr>
            <w:tcW w:w="540" w:type="dxa"/>
            <w:vAlign w:val="bottom"/>
          </w:tcPr>
          <w:p>
            <w:pPr>
              <w:ind w:left="18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r>
        <w:trPr>
          <w:trHeight w:val="191"/>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1.E - Patricia Hemingway</w:t>
            </w:r>
          </w:p>
        </w:tc>
        <w:tc>
          <w:tcPr>
            <w:tcW w:w="1280" w:type="dxa"/>
            <w:vAlign w:val="bottom"/>
            <w:vMerge w:val="restart"/>
          </w:tcPr>
          <w:p>
            <w:pPr>
              <w:ind w:left="400"/>
              <w:spacing w:after="0" w:line="271" w:lineRule="exact"/>
              <w:rPr>
                <w:sz w:val="20"/>
                <w:szCs w:val="20"/>
                <w:color w:val="auto"/>
              </w:rPr>
            </w:pPr>
            <w:r>
              <w:rPr>
                <w:rFonts w:ascii="MS PGothic" w:cs="MS PGothic" w:eastAsia="MS PGothic" w:hAnsi="MS PGothic"/>
                <w:sz w:val="27"/>
                <w:szCs w:val="27"/>
                <w:color w:val="auto"/>
              </w:rPr>
              <w:t>☐ ☐</w:t>
            </w:r>
          </w:p>
        </w:tc>
        <w:tc>
          <w:tcPr>
            <w:tcW w:w="620" w:type="dxa"/>
            <w:vAlign w:val="bottom"/>
            <w:vMerge w:val="restart"/>
          </w:tcPr>
          <w:p>
            <w:pPr>
              <w:ind w:left="160"/>
              <w:spacing w:after="0" w:line="271" w:lineRule="exact"/>
              <w:rPr>
                <w:sz w:val="20"/>
                <w:szCs w:val="20"/>
                <w:color w:val="auto"/>
              </w:rPr>
            </w:pPr>
            <w:r>
              <w:rPr>
                <w:rFonts w:ascii="MS PGothic" w:cs="MS PGothic" w:eastAsia="MS PGothic" w:hAnsi="MS PGothic"/>
                <w:sz w:val="27"/>
                <w:szCs w:val="27"/>
                <w:color w:val="auto"/>
              </w:rPr>
              <w:t>☐</w:t>
            </w:r>
          </w:p>
        </w:tc>
        <w:tc>
          <w:tcPr>
            <w:tcW w:w="2400" w:type="dxa"/>
            <w:vAlign w:val="bottom"/>
            <w:gridSpan w:val="2"/>
            <w:vMerge w:val="restart"/>
          </w:tcPr>
          <w:p>
            <w:pPr>
              <w:ind w:left="80"/>
              <w:spacing w:after="0" w:line="311" w:lineRule="exact"/>
              <w:rPr>
                <w:sz w:val="20"/>
                <w:szCs w:val="20"/>
                <w:color w:val="auto"/>
              </w:rPr>
            </w:pPr>
            <w:r>
              <w:rPr>
                <w:rFonts w:ascii="Times New Roman" w:cs="Times New Roman" w:eastAsia="Times New Roman" w:hAnsi="Times New Roman"/>
                <w:sz w:val="14"/>
                <w:szCs w:val="14"/>
                <w:color w:val="auto"/>
              </w:rPr>
              <w:t xml:space="preserve">1.F - Julie M. Howard  </w:t>
            </w:r>
            <w:r>
              <w:rPr>
                <w:rFonts w:ascii="MS PGothic" w:cs="MS PGothic" w:eastAsia="MS PGothic" w:hAnsi="MS PGothic"/>
                <w:sz w:val="27"/>
                <w:szCs w:val="27"/>
                <w:color w:val="auto"/>
              </w:rPr>
              <w:t>☐ ☐</w:t>
            </w:r>
          </w:p>
        </w:tc>
        <w:tc>
          <w:tcPr>
            <w:tcW w:w="540" w:type="dxa"/>
            <w:vAlign w:val="bottom"/>
            <w:vMerge w:val="restart"/>
          </w:tcPr>
          <w:p>
            <w:pPr>
              <w:ind w:left="18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r>
        <w:trPr>
          <w:trHeight w:val="241"/>
        </w:trPr>
        <w:tc>
          <w:tcPr>
            <w:tcW w:w="2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Hall</w:t>
            </w:r>
          </w:p>
        </w:tc>
        <w:tc>
          <w:tcPr>
            <w:tcW w:w="128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40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1.H - Jonas Prising</w:t>
            </w:r>
          </w:p>
        </w:tc>
        <w:tc>
          <w:tcPr>
            <w:tcW w:w="1280" w:type="dxa"/>
            <w:vAlign w:val="bottom"/>
          </w:tcPr>
          <w:p>
            <w:pPr>
              <w:ind w:left="400"/>
              <w:spacing w:after="0" w:line="271" w:lineRule="exact"/>
              <w:rPr>
                <w:sz w:val="20"/>
                <w:szCs w:val="20"/>
                <w:color w:val="auto"/>
              </w:rPr>
            </w:pPr>
            <w:r>
              <w:rPr>
                <w:rFonts w:ascii="MS PGothic" w:cs="MS PGothic" w:eastAsia="MS PGothic" w:hAnsi="MS PGothic"/>
                <w:sz w:val="27"/>
                <w:szCs w:val="27"/>
                <w:color w:val="auto"/>
              </w:rPr>
              <w:t>☐ ☐</w:t>
            </w:r>
          </w:p>
        </w:tc>
        <w:tc>
          <w:tcPr>
            <w:tcW w:w="620" w:type="dxa"/>
            <w:vAlign w:val="bottom"/>
          </w:tcPr>
          <w:p>
            <w:pPr>
              <w:ind w:left="160"/>
              <w:spacing w:after="0" w:line="271" w:lineRule="exact"/>
              <w:rPr>
                <w:sz w:val="20"/>
                <w:szCs w:val="20"/>
                <w:color w:val="auto"/>
              </w:rPr>
            </w:pPr>
            <w:r>
              <w:rPr>
                <w:rFonts w:ascii="MS PGothic" w:cs="MS PGothic" w:eastAsia="MS PGothic" w:hAnsi="MS PGothic"/>
                <w:sz w:val="27"/>
                <w:szCs w:val="27"/>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1.I - Paul Read</w:t>
            </w:r>
          </w:p>
        </w:tc>
        <w:tc>
          <w:tcPr>
            <w:tcW w:w="1040" w:type="dxa"/>
            <w:vAlign w:val="bottom"/>
          </w:tcPr>
          <w:p>
            <w:pPr>
              <w:ind w:left="120"/>
              <w:spacing w:after="0" w:line="271" w:lineRule="exact"/>
              <w:rPr>
                <w:sz w:val="20"/>
                <w:szCs w:val="20"/>
                <w:color w:val="auto"/>
              </w:rPr>
            </w:pPr>
            <w:r>
              <w:rPr>
                <w:rFonts w:ascii="MS PGothic" w:cs="MS PGothic" w:eastAsia="MS PGothic" w:hAnsi="MS PGothic"/>
                <w:sz w:val="27"/>
                <w:szCs w:val="27"/>
                <w:color w:val="auto"/>
              </w:rPr>
              <w:t>☐ ☐</w:t>
            </w:r>
          </w:p>
        </w:tc>
        <w:tc>
          <w:tcPr>
            <w:tcW w:w="540" w:type="dxa"/>
            <w:vAlign w:val="bottom"/>
          </w:tcPr>
          <w:p>
            <w:pPr>
              <w:ind w:left="18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r>
        <w:trPr>
          <w:trHeight w:val="432"/>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1.K - Michael J. Van Handel</w:t>
            </w:r>
          </w:p>
        </w:tc>
        <w:tc>
          <w:tcPr>
            <w:tcW w:w="1280" w:type="dxa"/>
            <w:vAlign w:val="bottom"/>
          </w:tcPr>
          <w:p>
            <w:pPr>
              <w:ind w:left="400"/>
              <w:spacing w:after="0" w:line="271" w:lineRule="exact"/>
              <w:rPr>
                <w:sz w:val="20"/>
                <w:szCs w:val="20"/>
                <w:color w:val="auto"/>
              </w:rPr>
            </w:pPr>
            <w:r>
              <w:rPr>
                <w:rFonts w:ascii="MS PGothic" w:cs="MS PGothic" w:eastAsia="MS PGothic" w:hAnsi="MS PGothic"/>
                <w:sz w:val="27"/>
                <w:szCs w:val="27"/>
                <w:color w:val="auto"/>
              </w:rPr>
              <w:t>☐ ☐</w:t>
            </w:r>
          </w:p>
        </w:tc>
        <w:tc>
          <w:tcPr>
            <w:tcW w:w="620" w:type="dxa"/>
            <w:vAlign w:val="bottom"/>
          </w:tcPr>
          <w:p>
            <w:pPr>
              <w:ind w:left="160"/>
              <w:spacing w:after="0" w:line="271" w:lineRule="exact"/>
              <w:rPr>
                <w:sz w:val="20"/>
                <w:szCs w:val="20"/>
                <w:color w:val="auto"/>
              </w:rPr>
            </w:pPr>
            <w:r>
              <w:rPr>
                <w:rFonts w:ascii="MS PGothic" w:cs="MS PGothic" w:eastAsia="MS PGothic" w:hAnsi="MS PGothic"/>
                <w:sz w:val="27"/>
                <w:szCs w:val="27"/>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1.L- John R. Walter</w:t>
            </w:r>
          </w:p>
        </w:tc>
        <w:tc>
          <w:tcPr>
            <w:tcW w:w="1040" w:type="dxa"/>
            <w:vAlign w:val="bottom"/>
          </w:tcPr>
          <w:p>
            <w:pPr>
              <w:ind w:left="120"/>
              <w:spacing w:after="0" w:line="271" w:lineRule="exact"/>
              <w:rPr>
                <w:sz w:val="20"/>
                <w:szCs w:val="20"/>
                <w:color w:val="auto"/>
              </w:rPr>
            </w:pPr>
            <w:r>
              <w:rPr>
                <w:rFonts w:ascii="MS PGothic" w:cs="MS PGothic" w:eastAsia="MS PGothic" w:hAnsi="MS PGothic"/>
                <w:sz w:val="27"/>
                <w:szCs w:val="27"/>
                <w:color w:val="auto"/>
              </w:rPr>
              <w:t>☐ ☐</w:t>
            </w:r>
          </w:p>
        </w:tc>
        <w:tc>
          <w:tcPr>
            <w:tcW w:w="540" w:type="dxa"/>
            <w:vAlign w:val="bottom"/>
          </w:tcPr>
          <w:p>
            <w:pPr>
              <w:ind w:left="18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34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3. Advisory vote to approve the compensation of our</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0" w:type="dxa"/>
            <w:vAlign w:val="bottom"/>
          </w:tcPr>
          <w:p>
            <w:pPr>
              <w:spacing w:after="0"/>
              <w:rPr>
                <w:sz w:val="1"/>
                <w:szCs w:val="1"/>
                <w:color w:val="auto"/>
              </w:rPr>
            </w:pPr>
          </w:p>
        </w:tc>
      </w:tr>
      <w:tr>
        <w:trPr>
          <w:trHeight w:val="153"/>
        </w:trPr>
        <w:tc>
          <w:tcPr>
            <w:tcW w:w="520" w:type="dxa"/>
            <w:vAlign w:val="bottom"/>
            <w:vMerge w:val="restart"/>
          </w:tcPr>
          <w:p>
            <w:pPr>
              <w:spacing w:after="0" w:line="271" w:lineRule="exact"/>
              <w:rPr>
                <w:sz w:val="20"/>
                <w:szCs w:val="20"/>
                <w:color w:val="auto"/>
              </w:rPr>
            </w:pPr>
            <w:r>
              <w:rPr>
                <w:rFonts w:ascii="MS PGothic" w:cs="MS PGothic" w:eastAsia="MS PGothic" w:hAnsi="MS PGothic"/>
                <w:sz w:val="27"/>
                <w:szCs w:val="27"/>
                <w:color w:val="auto"/>
              </w:rPr>
              <w:t>☐</w:t>
            </w:r>
          </w:p>
        </w:tc>
        <w:tc>
          <w:tcPr>
            <w:tcW w:w="96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9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3420" w:type="dxa"/>
            <w:vAlign w:val="bottom"/>
            <w:vMerge w:val="continue"/>
          </w:tcPr>
          <w:p>
            <w:pPr>
              <w:spacing w:after="0"/>
              <w:rPr>
                <w:sz w:val="13"/>
                <w:szCs w:val="13"/>
                <w:color w:val="auto"/>
              </w:rPr>
            </w:pPr>
          </w:p>
        </w:tc>
        <w:tc>
          <w:tcPr>
            <w:tcW w:w="540" w:type="dxa"/>
            <w:vAlign w:val="bottom"/>
            <w:vMerge w:val="restart"/>
          </w:tcPr>
          <w:p>
            <w:pPr>
              <w:jc w:val="right"/>
              <w:spacing w:after="0" w:line="271" w:lineRule="exact"/>
              <w:rPr>
                <w:sz w:val="20"/>
                <w:szCs w:val="20"/>
                <w:color w:val="auto"/>
              </w:rPr>
            </w:pPr>
            <w:r>
              <w:rPr>
                <w:rFonts w:ascii="MS PGothic" w:cs="MS PGothic" w:eastAsia="MS PGothic" w:hAnsi="MS PGothic"/>
                <w:sz w:val="27"/>
                <w:szCs w:val="27"/>
                <w:color w:val="auto"/>
              </w:rPr>
              <w:t>☐</w:t>
            </w:r>
          </w:p>
        </w:tc>
        <w:tc>
          <w:tcPr>
            <w:tcW w:w="64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540" w:type="dxa"/>
            <w:vAlign w:val="bottom"/>
            <w:vMerge w:val="restart"/>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r>
        <w:trPr>
          <w:trHeight w:val="272"/>
        </w:trPr>
        <w:tc>
          <w:tcPr>
            <w:tcW w:w="520" w:type="dxa"/>
            <w:vAlign w:val="bottom"/>
            <w:vMerge w:val="continue"/>
          </w:tcPr>
          <w:p>
            <w:pPr>
              <w:spacing w:after="0"/>
              <w:rPr>
                <w:sz w:val="23"/>
                <w:szCs w:val="23"/>
                <w:color w:val="auto"/>
              </w:rPr>
            </w:pPr>
          </w:p>
        </w:tc>
        <w:tc>
          <w:tcPr>
            <w:tcW w:w="960" w:type="dxa"/>
            <w:vAlign w:val="bottom"/>
            <w:vMerge w:val="continue"/>
          </w:tcPr>
          <w:p>
            <w:pPr>
              <w:spacing w:after="0"/>
              <w:rPr>
                <w:sz w:val="23"/>
                <w:szCs w:val="23"/>
                <w:color w:val="auto"/>
              </w:rPr>
            </w:pPr>
          </w:p>
        </w:tc>
        <w:tc>
          <w:tcPr>
            <w:tcW w:w="900" w:type="dxa"/>
            <w:vAlign w:val="bottom"/>
            <w:vMerge w:val="continue"/>
          </w:tcPr>
          <w:p>
            <w:pPr>
              <w:spacing w:after="0"/>
              <w:rPr>
                <w:sz w:val="23"/>
                <w:szCs w:val="23"/>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named executive officers.</w:t>
            </w:r>
          </w:p>
        </w:tc>
        <w:tc>
          <w:tcPr>
            <w:tcW w:w="54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790" w:lineRule="exact"/>
        <w:rPr>
          <w:sz w:val="20"/>
          <w:szCs w:val="20"/>
          <w:color w:val="auto"/>
        </w:rPr>
      </w:pPr>
    </w:p>
    <w:p>
      <w:pPr>
        <w:sectPr>
          <w:pgSz w:w="11900" w:h="16838" w:orient="portrait"/>
          <w:cols w:equalWidth="0" w:num="2">
            <w:col w:w="3340" w:space="260"/>
            <w:col w:w="7820"/>
          </w:cols>
          <w:pgMar w:left="240" w:top="455"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 xml:space="preserve">IF VOTING BY MAIL, YOU </w:t>
      </w:r>
      <w:r>
        <w:rPr>
          <w:rFonts w:ascii="Times New Roman" w:cs="Times New Roman" w:eastAsia="Times New Roman" w:hAnsi="Times New Roman"/>
          <w:sz w:val="19"/>
          <w:szCs w:val="19"/>
          <w:b w:val="1"/>
          <w:bCs w:val="1"/>
          <w:u w:val="single" w:color="auto"/>
          <w:color w:val="auto"/>
        </w:rPr>
        <w:t>MUST</w:t>
      </w:r>
      <w:r>
        <w:rPr>
          <w:rFonts w:ascii="Times New Roman" w:cs="Times New Roman" w:eastAsia="Times New Roman" w:hAnsi="Times New Roman"/>
          <w:sz w:val="19"/>
          <w:szCs w:val="19"/>
          <w:b w:val="1"/>
          <w:bCs w:val="1"/>
          <w:color w:val="auto"/>
        </w:rPr>
        <w:t xml:space="preserve"> COMPLETE SECTIONS A - C ON BOTH SIDES OF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178435</wp:posOffset>
            </wp:positionV>
            <wp:extent cx="6217285" cy="43751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217285" cy="43751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1"/>
          <w:szCs w:val="11"/>
          <w:color w:val="auto"/>
        </w:rPr>
        <w:t>02R2WB</w:t>
      </w:r>
    </w:p>
    <w:p>
      <w:pPr>
        <w:sectPr>
          <w:pgSz w:w="11900" w:h="16838" w:orient="portrait"/>
          <w:cols w:equalWidth="0" w:num="1">
            <w:col w:w="11420"/>
          </w:cols>
          <w:pgMar w:left="240" w:top="455" w:right="239" w:bottom="1440" w:gutter="0" w:footer="0" w:header="0"/>
          <w:type w:val="continuous"/>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ManpowerGroup Inc.</w:t>
      </w:r>
    </w:p>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Annual Meeting of ManpowerGroup Inc. Shareholders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Friday, May 4, 2018</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9:00 a.m.</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International Headquarters of ManpowerGroup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100 Manpower Place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Milwaukee, Wisconsin</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Agenda</w:t>
      </w:r>
    </w:p>
    <w:p>
      <w:pPr>
        <w:spacing w:after="0" w:line="31" w:lineRule="exact"/>
        <w:rPr>
          <w:sz w:val="20"/>
          <w:szCs w:val="20"/>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twelve individuals nominated by the Board of Directors of ManpowerGroup Inc. to serve until 2019 as directors.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Deloitte &amp; Touche LLP as our independent auditors for 2018.</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compensation of our named executive officers.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meeting.</w:t>
      </w:r>
    </w:p>
    <w:p>
      <w:pPr>
        <w:spacing w:after="0" w:line="20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Internet availability of proxy materials for the Annual Meeting of Shareholders. </w:t>
      </w:r>
      <w:r>
        <w:rPr>
          <w:rFonts w:ascii="Times New Roman" w:cs="Times New Roman" w:eastAsia="Times New Roman" w:hAnsi="Times New Roman"/>
          <w:sz w:val="18"/>
          <w:szCs w:val="18"/>
          <w:color w:val="auto"/>
        </w:rPr>
        <w:t>The Proxy Statement and the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Annual Report on Form 10-K are available at: </w:t>
      </w:r>
      <w:r>
        <w:rPr>
          <w:rFonts w:ascii="Times New Roman" w:cs="Times New Roman" w:eastAsia="Times New Roman" w:hAnsi="Times New Roman"/>
          <w:sz w:val="18"/>
          <w:szCs w:val="18"/>
          <w:b w:val="1"/>
          <w:bCs w:val="1"/>
          <w:u w:val="single" w:color="auto"/>
          <w:color w:val="auto"/>
        </w:rPr>
        <w:t>www.envisionreports.com/MAN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line="265" w:lineRule="auto"/>
        <w:rPr>
          <w:sz w:val="20"/>
          <w:szCs w:val="20"/>
          <w:color w:val="auto"/>
        </w:rPr>
      </w:pPr>
      <w:r>
        <w:rPr>
          <w:rFonts w:ascii="Times New Roman" w:cs="Times New Roman" w:eastAsia="Times New Roman" w:hAnsi="Times New Roman"/>
          <w:sz w:val="14"/>
          <w:szCs w:val="14"/>
          <w:color w:val="auto"/>
        </w:rPr>
        <w:t xml:space="preserve">q </w:t>
      </w:r>
      <w:r>
        <w:rPr>
          <w:rFonts w:ascii="Times New Roman" w:cs="Times New Roman" w:eastAsia="Times New Roman" w:hAnsi="Times New Roman"/>
          <w:sz w:val="14"/>
          <w:szCs w:val="14"/>
          <w:b w:val="1"/>
          <w:bCs w:val="1"/>
          <w:color w:val="auto"/>
        </w:rPr>
        <w:t>IF YOU HAVE NOT VOTED VIA THE INTERNET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TELEPHONE, FOLD ALONG THE PERFORATION, DETACH AND RETURN THE BOTTOM PORTION IN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ENCLOSED ENVELOPE. </w:t>
      </w:r>
      <w:r>
        <w:rPr>
          <w:rFonts w:ascii="Times New Roman" w:cs="Times New Roman" w:eastAsia="Times New Roman" w:hAnsi="Times New Roman"/>
          <w:sz w:val="14"/>
          <w:szCs w:val="14"/>
          <w:color w:val="auto"/>
        </w:rPr>
        <w:t>q</w:t>
      </w:r>
    </w:p>
    <w:p>
      <w:pPr>
        <w:spacing w:after="0" w:line="200" w:lineRule="exact"/>
        <w:rPr>
          <w:sz w:val="20"/>
          <w:szCs w:val="20"/>
          <w:color w:val="auto"/>
        </w:rPr>
      </w:pPr>
    </w:p>
    <w:p>
      <w:pPr>
        <w:spacing w:after="0" w:line="208" w:lineRule="exact"/>
        <w:rPr>
          <w:sz w:val="20"/>
          <w:szCs w:val="20"/>
          <w:color w:val="auto"/>
        </w:rPr>
      </w:pPr>
    </w:p>
    <w:p>
      <w:pPr>
        <w:spacing w:after="0"/>
        <w:tabs>
          <w:tab w:leader="none" w:pos="11200" w:val="left"/>
        </w:tabs>
        <w:rPr>
          <w:sz w:val="20"/>
          <w:szCs w:val="20"/>
          <w:color w:val="auto"/>
        </w:rPr>
      </w:pPr>
      <w:r>
        <w:rPr>
          <w:rFonts w:ascii="Times New Roman" w:cs="Times New Roman" w:eastAsia="Times New Roman" w:hAnsi="Times New Roman"/>
          <w:sz w:val="25"/>
          <w:szCs w:val="25"/>
          <w:b w:val="1"/>
          <w:bCs w:val="1"/>
          <w:color w:val="auto"/>
        </w:rPr>
        <w:t>Proxy — ManpowerGroup Inc.</w:t>
      </w:r>
      <w:r>
        <w:rPr>
          <w:sz w:val="20"/>
          <w:szCs w:val="20"/>
          <w:color w:val="auto"/>
        </w:rPr>
        <w:tab/>
      </w:r>
      <w:r>
        <w:rPr>
          <w:rFonts w:ascii="Times New Roman" w:cs="Times New Roman" w:eastAsia="Times New Roman" w:hAnsi="Times New Roman"/>
          <w:sz w:val="35"/>
          <w:szCs w:val="3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6963410"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9634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696341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963410" cy="171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THIS PROXY IS SOLICITED ON BEHALF OF THE BOARD OF DIRECTORS OF MANPOWERGROUP INC.</w:t>
      </w:r>
    </w:p>
    <w:p>
      <w:pPr>
        <w:spacing w:after="0" w:line="22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hereby appoints Jonas Prising, John T. McGinnis and Richard Buchband proxies, each with power to act without the other and with power of substitution, and hereby authorizes them to represent and vote, as designated on the other side, all the shares of stock of ManpowerGroup Inc. standing in the name of the undersigned with all powers which the undersigned would possess if present at the Annual Meeting of Shareholders of ManpowerGroup Inc. to be held May 4, 2018 or any adjournment thereof.</w:t>
      </w:r>
    </w:p>
    <w:p>
      <w:pPr>
        <w:spacing w:after="0" w:line="176" w:lineRule="exact"/>
        <w:rPr>
          <w:sz w:val="20"/>
          <w:szCs w:val="20"/>
          <w:color w:val="auto"/>
        </w:rPr>
      </w:pPr>
    </w:p>
    <w:p>
      <w:pPr>
        <w:ind w:right="2160"/>
        <w:spacing w:after="0" w:line="537" w:lineRule="auto"/>
        <w:rPr>
          <w:sz w:val="20"/>
          <w:szCs w:val="20"/>
          <w:color w:val="auto"/>
        </w:rPr>
      </w:pPr>
      <w:r>
        <w:rPr>
          <w:rFonts w:ascii="Times New Roman" w:cs="Times New Roman" w:eastAsia="Times New Roman" w:hAnsi="Times New Roman"/>
          <w:sz w:val="18"/>
          <w:szCs w:val="18"/>
          <w:b w:val="1"/>
          <w:bCs w:val="1"/>
          <w:color w:val="auto"/>
        </w:rPr>
        <w:t>In their discretion, the Proxies are authorized to vote upon such other business as may properly come before the meeting. (Continued and to be marked, dated and signed, on the other side)</w:t>
      </w:r>
    </w:p>
    <w:p>
      <w:pPr>
        <w:sectPr>
          <w:pgSz w:w="11900" w:h="16838" w:orient="portrait"/>
          <w:cols w:equalWidth="0" w:num="1">
            <w:col w:w="11440"/>
          </w:cols>
          <w:pgMar w:left="240" w:top="455" w:right="219" w:bottom="1440" w:gutter="0" w:footer="0" w:header="0"/>
        </w:sectPr>
      </w:pPr>
    </w:p>
    <w:p>
      <w:pPr>
        <w:spacing w:after="0" w:line="242" w:lineRule="exact"/>
        <w:rPr>
          <w:sz w:val="20"/>
          <w:szCs w:val="20"/>
          <w:color w:val="auto"/>
        </w:rPr>
      </w:pPr>
    </w:p>
    <w:p>
      <w:pPr>
        <w:ind w:left="360" w:hanging="297"/>
        <w:spacing w:after="0"/>
        <w:tabs>
          <w:tab w:leader="none" w:pos="360" w:val="left"/>
        </w:tabs>
        <w:numPr>
          <w:ilvl w:val="0"/>
          <w:numId w:val="85"/>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6"/>
          <w:szCs w:val="16"/>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46050" cy="13716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 xml:space="preserve">Change of Address </w:t>
      </w:r>
      <w:r>
        <w:rPr>
          <w:rFonts w:ascii="Times New Roman" w:cs="Times New Roman" w:eastAsia="Times New Roman" w:hAnsi="Times New Roman"/>
          <w:sz w:val="14"/>
          <w:szCs w:val="14"/>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490595" cy="42037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490595"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4"/>
          <w:szCs w:val="14"/>
          <w:b w:val="1"/>
          <w:bCs w:val="1"/>
          <w:color w:val="auto"/>
        </w:rPr>
        <w:t xml:space="preserve">Comments </w:t>
      </w:r>
      <w:r>
        <w:rPr>
          <w:rFonts w:ascii="Times New Roman" w:cs="Times New Roman" w:eastAsia="Times New Roman" w:hAnsi="Times New Roman"/>
          <w:sz w:val="14"/>
          <w:szCs w:val="14"/>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50800</wp:posOffset>
            </wp:positionV>
            <wp:extent cx="3627755" cy="42037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627755" cy="42037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5040" w:space="720"/>
            <w:col w:w="5680"/>
          </w:cols>
          <w:pgMar w:left="240" w:top="45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hanging="307"/>
        <w:spacing w:after="0"/>
        <w:tabs>
          <w:tab w:leader="none" w:pos="360" w:val="left"/>
        </w:tabs>
        <w:numPr>
          <w:ilvl w:val="0"/>
          <w:numId w:val="86"/>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6"/>
          <w:szCs w:val="16"/>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54305" cy="13716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54305" cy="137160"/>
                    </a:xfrm>
                    <a:prstGeom prst="rect">
                      <a:avLst/>
                    </a:prstGeom>
                    <a:noFill/>
                  </pic:spPr>
                </pic:pic>
              </a:graphicData>
            </a:graphic>
          </wp:anchor>
        </w:drawing>
      </w:r>
    </w:p>
    <w:p>
      <w:pPr>
        <w:spacing w:after="0" w:line="23"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4"/>
          <w:szCs w:val="14"/>
          <w:color w:val="auto"/>
        </w:rPr>
        <w:t>Please sign exactly as name(s) appears hereon. Joint owners should each sign. When signing as attorney, executor, administrator, corporate officer, trustee, guardian, or custodian, please give full title.</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3680" w:type="dxa"/>
            <w:vAlign w:val="bottom"/>
            <w:gridSpan w:val="2"/>
          </w:tcPr>
          <w:p>
            <w:pPr>
              <w:jc w:val="right"/>
              <w:ind w:right="690"/>
              <w:spacing w:after="0"/>
              <w:rPr>
                <w:sz w:val="20"/>
                <w:szCs w:val="20"/>
                <w:color w:val="auto"/>
              </w:rPr>
            </w:pPr>
            <w:r>
              <w:rPr>
                <w:rFonts w:ascii="Times New Roman" w:cs="Times New Roman" w:eastAsia="Times New Roman" w:hAnsi="Times New Roman"/>
                <w:sz w:val="14"/>
                <w:szCs w:val="14"/>
                <w:color w:val="auto"/>
              </w:rPr>
              <w:t>Date (mm/dd/yyyy) — Please print date below.</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Signature 1 — Please keep signature within the box.</w:t>
            </w: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Signature 2 — Please keep signature within the box.</w:t>
            </w:r>
          </w:p>
        </w:tc>
      </w:tr>
      <w:tr>
        <w:trPr>
          <w:trHeight w:val="628"/>
        </w:trPr>
        <w:tc>
          <w:tcPr>
            <w:tcW w:w="1540" w:type="dxa"/>
            <w:vAlign w:val="bottom"/>
            <w:tcBorders>
              <w:top w:val="single" w:sz="8" w:color="auto"/>
              <w:left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54"/>
                <w:szCs w:val="54"/>
                <w:color w:val="auto"/>
              </w:rPr>
              <w:t>/</w:t>
            </w:r>
          </w:p>
        </w:tc>
        <w:tc>
          <w:tcPr>
            <w:tcW w:w="2140" w:type="dxa"/>
            <w:vAlign w:val="bottom"/>
            <w:tcBorders>
              <w:top w:val="single" w:sz="8" w:color="auto"/>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54"/>
                <w:szCs w:val="54"/>
                <w:color w:val="auto"/>
              </w:rPr>
              <w:t>/</w:t>
            </w:r>
          </w:p>
        </w:tc>
        <w:tc>
          <w:tcPr>
            <w:tcW w:w="260" w:type="dxa"/>
            <w:vAlign w:val="bottom"/>
            <w:tcBorders>
              <w:right w:val="single" w:sz="8" w:color="auto"/>
            </w:tcBorders>
          </w:tcPr>
          <w:p>
            <w:pPr>
              <w:spacing w:after="0"/>
              <w:rPr>
                <w:sz w:val="24"/>
                <w:szCs w:val="24"/>
                <w:color w:val="auto"/>
              </w:rPr>
            </w:pPr>
          </w:p>
        </w:tc>
        <w:tc>
          <w:tcPr>
            <w:tcW w:w="3660" w:type="dxa"/>
            <w:vAlign w:val="bottom"/>
            <w:tcBorders>
              <w:top w:val="single" w:sz="8" w:color="auto"/>
              <w:bottom w:val="single" w:sz="8" w:color="auto"/>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40" w:type="dxa"/>
            <w:vAlign w:val="bottom"/>
            <w:tcBorders>
              <w:top w:val="single" w:sz="8" w:color="auto"/>
              <w:bottom w:val="single" w:sz="8" w:color="auto"/>
              <w:right w:val="single" w:sz="8" w:color="auto"/>
            </w:tcBorders>
          </w:tcPr>
          <w:p>
            <w:pPr>
              <w:spacing w:after="0"/>
              <w:rPr>
                <w:sz w:val="24"/>
                <w:szCs w:val="24"/>
                <w:color w:val="auto"/>
              </w:rPr>
            </w:pPr>
          </w:p>
        </w:tc>
      </w:tr>
    </w:tbl>
    <w:p>
      <w:pPr>
        <w:spacing w:after="0" w:line="9" w:lineRule="exact"/>
        <w:rPr>
          <w:sz w:val="20"/>
          <w:szCs w:val="20"/>
          <w:color w:val="auto"/>
        </w:rPr>
      </w:pPr>
    </w:p>
    <w:tbl>
      <w:tblPr>
        <w:tblLayout w:type="fixed"/>
        <w:tblInd w:w="1660" w:type="dxa"/>
        <w:tblCellMar>
          <w:top w:w="0" w:type="dxa"/>
          <w:left w:w="0" w:type="dxa"/>
          <w:bottom w:w="0" w:type="dxa"/>
          <w:right w:w="0" w:type="dxa"/>
        </w:tblCellMar>
      </w:tblPr>
      <w:tr>
        <w:trPr>
          <w:trHeight w:val="531"/>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IF VOTING BY MAIL, YOU MUST COMPLETE SECTIONS A - C ON BOTH SIDES OF THIS CARD.</w:t>
            </w:r>
          </w:p>
        </w:tc>
        <w:tc>
          <w:tcPr>
            <w:tcW w:w="940" w:type="dxa"/>
            <w:vAlign w:val="bottom"/>
          </w:tcPr>
          <w:p>
            <w:pPr>
              <w:jc w:val="right"/>
              <w:spacing w:after="0"/>
              <w:rPr>
                <w:sz w:val="20"/>
                <w:szCs w:val="20"/>
                <w:color w:val="auto"/>
              </w:rPr>
            </w:pPr>
            <w:r>
              <w:rPr>
                <w:rFonts w:ascii="Times New Roman" w:cs="Times New Roman" w:eastAsia="Times New Roman" w:hAnsi="Times New Roman"/>
                <w:sz w:val="45"/>
                <w:szCs w:val="45"/>
                <w:b w:val="1"/>
                <w:bCs w:val="1"/>
                <w:color w:val="auto"/>
              </w:rPr>
              <w:t>+</w:t>
            </w:r>
          </w:p>
        </w:tc>
      </w:tr>
      <w:tr>
        <w:trPr>
          <w:trHeight w:val="20"/>
        </w:trPr>
        <w:tc>
          <w:tcPr>
            <w:tcW w:w="2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455"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lvl w:ilvl="1">
      <w:lvlJc w:val="left"/>
      <w:lvlText w:val="(%2)"/>
      <w:numFmt w:val="decimal"/>
      <w:start w:val="1"/>
    </w:lvl>
  </w:abstractNum>
  <w:abstractNum w:abstractNumId="5">
    <w:nsid w:val="4B588F54"/>
    <w:multiLevelType w:val="hybridMultilevel"/>
    <w:lvl w:ilvl="0">
      <w:lvlJc w:val="left"/>
      <w:lvlText w:val="☐"/>
      <w:numFmt w:val="bullet"/>
      <w:start w:val="1"/>
    </w:lvl>
    <w:lvl w:ilvl="1">
      <w:lvlJc w:val="left"/>
      <w:lvlText w:val="(%2)"/>
      <w:numFmt w:val="decimal"/>
      <w:start w:val="4"/>
    </w:lvl>
  </w:abstractNum>
  <w:abstractNum w:abstractNumId="6">
    <w:nsid w:val="542289EC"/>
    <w:multiLevelType w:val="hybridMultilevel"/>
    <w:lvl w:ilvl="0">
      <w:lvlJc w:val="left"/>
      <w:lvlText w:val="☐"/>
      <w:numFmt w:val="bullet"/>
      <w:start w:val="1"/>
    </w:lvl>
    <w:lvl w:ilvl="1">
      <w:lvlJc w:val="left"/>
      <w:lvlText w:val="(%2)"/>
      <w:numFmt w:val="decimal"/>
      <w:start w:val="1"/>
    </w:lvl>
  </w:abstractNum>
  <w:abstractNum w:abstractNumId="7">
    <w:nsid w:val="6DE91B18"/>
    <w:multiLevelType w:val="hybridMultilevel"/>
    <w:lvl w:ilvl="0">
      <w:lvlJc w:val="left"/>
      <w:lvlText w:val="(%1)"/>
      <w:numFmt w:val="decimal"/>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1)"/>
      <w:numFmt w:val="decimal"/>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1)"/>
      <w:numFmt w:val="decimal"/>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5"/>
      <w:numFmt w:val="bullet"/>
      <w:start w:val="1"/>
    </w:lvl>
  </w:abstractNum>
  <w:abstractNum w:abstractNumId="19">
    <w:nsid w:val="70C6A529"/>
    <w:multiLevelType w:val="hybridMultilevel"/>
    <w:lvl w:ilvl="0">
      <w:lvlJc w:val="left"/>
      <w:lvlText w:val="6"/>
      <w:numFmt w:val="bullet"/>
      <w:start w:val="1"/>
    </w:lvl>
  </w:abstractNum>
  <w:abstractNum w:abstractNumId="20">
    <w:nsid w:val="520EEDD1"/>
    <w:multiLevelType w:val="hybridMultilevel"/>
    <w:lvl w:ilvl="0">
      <w:lvlJc w:val="left"/>
      <w:lvlText w:val="1"/>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decimal"/>
      <w:start w:val="4"/>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decimal"/>
      <w:start w:val="2"/>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lvl w:ilvl="1">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1)"/>
      <w:numFmt w:val="decimal"/>
      <w:start w:val="1"/>
    </w:lvl>
  </w:abstractNum>
  <w:abstractNum w:abstractNumId="56">
    <w:nsid w:val="6B94764"/>
    <w:multiLevelType w:val="hybridMultilevel"/>
    <w:lvl w:ilvl="0">
      <w:lvlJc w:val="left"/>
      <w:lvlText w:val="(%1)"/>
      <w:numFmt w:val="decimal"/>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1)"/>
      <w:numFmt w:val="decimal"/>
      <w:start w:val="1"/>
    </w:lvl>
  </w:abstractNum>
  <w:abstractNum w:abstractNumId="60">
    <w:nsid w:val="661E3F1E"/>
    <w:multiLevelType w:val="hybridMultilevel"/>
    <w:lvl w:ilvl="0">
      <w:lvlJc w:val="left"/>
      <w:lvlText w:val="(%1)"/>
      <w:numFmt w:val="decimal"/>
      <w:start w:val="2"/>
    </w:lvl>
  </w:abstractNum>
  <w:abstractNum w:abstractNumId="61">
    <w:nsid w:val="5DC79EA8"/>
    <w:multiLevelType w:val="hybridMultilevel"/>
    <w:lvl w:ilvl="0">
      <w:lvlJc w:val="left"/>
      <w:lvlText w:val="(%1)"/>
      <w:numFmt w:val="decimal"/>
      <w:start w:val="1"/>
    </w:lvl>
  </w:abstractNum>
  <w:abstractNum w:abstractNumId="62">
    <w:nsid w:val="540A471C"/>
    <w:multiLevelType w:val="hybridMultilevel"/>
    <w:lvl w:ilvl="0">
      <w:lvlJc w:val="left"/>
      <w:lvlText w:val="(%1)"/>
      <w:numFmt w:val="decimal"/>
      <w:start w:val="1"/>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decimal"/>
      <w:start w:val="1"/>
    </w:lvl>
  </w:abstractNum>
  <w:abstractNum w:abstractNumId="66">
    <w:nsid w:val="BF72B14"/>
    <w:multiLevelType w:val="hybridMultilevel"/>
    <w:lvl w:ilvl="0">
      <w:lvlJc w:val="left"/>
      <w:lvlText w:val="(%1)"/>
      <w:numFmt w:val="decimal"/>
      <w:start w:val="1"/>
    </w:lvl>
  </w:abstractNum>
  <w:abstractNum w:abstractNumId="67">
    <w:nsid w:val="11447B73"/>
    <w:multiLevelType w:val="hybridMultilevel"/>
    <w:lvl w:ilvl="0">
      <w:lvlJc w:val="left"/>
      <w:lvlText w:val="(%1)"/>
      <w:numFmt w:val="decimal"/>
      <w:start w:val="1"/>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1)"/>
      <w:numFmt w:val="decimal"/>
      <w:start w:val="1"/>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1)"/>
      <w:numFmt w:val="decimal"/>
      <w:start w:val="1"/>
    </w:lvl>
  </w:abstractNum>
  <w:abstractNum w:abstractNumId="74">
    <w:nsid w:val="4962813B"/>
    <w:multiLevelType w:val="hybridMultilevel"/>
    <w:lvl w:ilvl="0">
      <w:lvlJc w:val="left"/>
      <w:lvlText w:val="(%1)"/>
      <w:numFmt w:val="decimal"/>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1"/>
      <w:numFmt w:val="decimal"/>
      <w:start w:val="1"/>
    </w:lvl>
    <w:lvl w:ilvl="1">
      <w:lvlJc w:val="left"/>
      <w:lvlText w:val="%2."/>
      <w:numFmt w:val="decimal"/>
      <w:start w:val="3"/>
    </w:lvl>
  </w:abstractNum>
  <w:abstractNum w:abstractNumId="79">
    <w:nsid w:val="1A27709E"/>
    <w:multiLevelType w:val="hybridMultilevel"/>
    <w:lvl w:ilvl="0">
      <w:lvlJc w:val="left"/>
      <w:lvlText w:val="%1."/>
      <w:numFmt w:val="decimal"/>
      <w:start w:val="3"/>
    </w:lvl>
    <w:lvl w:ilvl="1">
      <w:lvlJc w:val="left"/>
      <w:lvlText w:val="%2"/>
      <w:numFmt w:val="decimal"/>
      <w:start w:val="1"/>
    </w:lvl>
  </w:abstractNum>
  <w:abstractNum w:abstractNumId="80">
    <w:nsid w:val="71EA1109"/>
    <w:multiLevelType w:val="hybridMultilevel"/>
    <w:lvl w:ilvl="0">
      <w:lvlJc w:val="left"/>
      <w:lvlText w:val="q"/>
      <w:numFmt w:val="bullet"/>
      <w:start w:val="1"/>
    </w:lvl>
  </w:abstractNum>
  <w:abstractNum w:abstractNumId="81">
    <w:nsid w:val="100F59DC"/>
    <w:multiLevelType w:val="hybridMultilevel"/>
    <w:lvl w:ilvl="0">
      <w:lvlJc w:val="left"/>
      <w:lvlText w:val="%1."/>
      <w:numFmt w:val="decimal"/>
      <w:start w:val="2"/>
    </w:lvl>
  </w:abstractNum>
  <w:abstractNum w:abstractNumId="82">
    <w:nsid w:val="7FB7E0AA"/>
    <w:multiLevelType w:val="hybridMultilevel"/>
    <w:lvl w:ilvl="0">
      <w:lvlJc w:val="left"/>
      <w:lvlText w:val="%1."/>
      <w:numFmt w:val="decimal"/>
      <w:start w:val="4"/>
    </w:lvl>
  </w:abstractNum>
  <w:abstractNum w:abstractNumId="83">
    <w:nsid w:val="6EB5BD4"/>
    <w:multiLevelType w:val="hybridMultilevel"/>
    <w:lvl w:ilvl="0">
      <w:lvlJc w:val="left"/>
      <w:lvlText w:val="%1."/>
      <w:numFmt w:val="decimal"/>
      <w:start w:val="1"/>
    </w:lvl>
  </w:abstractNum>
  <w:abstractNum w:abstractNumId="84">
    <w:nsid w:val="6F6DD9AC"/>
    <w:multiLevelType w:val="hybridMultilevel"/>
    <w:lvl w:ilvl="0">
      <w:lvlJc w:val="left"/>
      <w:lvlText w:val="B"/>
      <w:numFmt w:val="bullet"/>
      <w:start w:val="1"/>
    </w:lvl>
  </w:abstractNum>
  <w:abstractNum w:abstractNumId="85">
    <w:nsid w:val="94211F2"/>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2019-12-05T21:31:12Z</dcterms:created>
  <dcterms:modified xsi:type="dcterms:W3CDTF">2019-12-05T21:31:12Z</dcterms:modified>
</cp:coreProperties>
</file>